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15.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D25D2A" w14:textId="77777777" w:rsidR="0062768B" w:rsidRDefault="00136729">
      <w:pPr>
        <w:spacing w:line="300" w:lineRule="auto"/>
        <w:rPr>
          <w:rFonts w:ascii="楷体" w:eastAsia="楷体" w:hAnsi="楷体"/>
          <w:sz w:val="32"/>
          <w:szCs w:val="32"/>
        </w:rPr>
      </w:pPr>
      <w:r>
        <w:rPr>
          <w:rFonts w:ascii="楷体" w:eastAsia="楷体" w:hAnsi="楷体" w:hint="eastAsia"/>
          <w:sz w:val="32"/>
          <w:szCs w:val="32"/>
        </w:rPr>
        <w:t>备案号：</w:t>
      </w:r>
    </w:p>
    <w:p w14:paraId="0D4CF212" w14:textId="77777777" w:rsidR="0062768B" w:rsidRDefault="00136729">
      <w:pPr>
        <w:spacing w:line="300" w:lineRule="auto"/>
        <w:rPr>
          <w:rFonts w:ascii="楷体" w:eastAsia="楷体" w:hAnsi="楷体"/>
          <w:sz w:val="32"/>
          <w:szCs w:val="32"/>
        </w:rPr>
      </w:pPr>
      <w:r>
        <w:rPr>
          <w:rFonts w:ascii="楷体" w:eastAsia="楷体" w:hAnsi="楷体" w:hint="eastAsia"/>
          <w:sz w:val="32"/>
          <w:szCs w:val="32"/>
        </w:rPr>
        <w:t>查询码：</w:t>
      </w:r>
    </w:p>
    <w:p w14:paraId="5BEF5FE6" w14:textId="77777777" w:rsidR="0062768B" w:rsidRDefault="0062768B">
      <w:pPr>
        <w:spacing w:line="300" w:lineRule="auto"/>
        <w:rPr>
          <w:rFonts w:ascii="Arial" w:hAnsi="Arial" w:cs="Arial"/>
          <w:b/>
          <w:sz w:val="44"/>
        </w:rPr>
      </w:pPr>
    </w:p>
    <w:p w14:paraId="093EDFB6" w14:textId="77777777" w:rsidR="0062768B" w:rsidRDefault="0062768B">
      <w:pPr>
        <w:spacing w:line="300" w:lineRule="auto"/>
        <w:rPr>
          <w:rFonts w:ascii="Arial" w:hAnsi="Arial" w:cs="Arial"/>
          <w:b/>
          <w:sz w:val="44"/>
        </w:rPr>
      </w:pPr>
    </w:p>
    <w:p w14:paraId="4C1904D6" w14:textId="77777777" w:rsidR="0062768B" w:rsidRDefault="0062768B">
      <w:pPr>
        <w:spacing w:line="300" w:lineRule="auto"/>
        <w:rPr>
          <w:rFonts w:ascii="Arial" w:hAnsi="Arial" w:cs="Arial"/>
          <w:b/>
          <w:sz w:val="44"/>
        </w:rPr>
      </w:pPr>
    </w:p>
    <w:p w14:paraId="76DB56A9" w14:textId="77777777" w:rsidR="0062768B" w:rsidRDefault="00136729">
      <w:pPr>
        <w:spacing w:line="300" w:lineRule="auto"/>
        <w:jc w:val="center"/>
        <w:rPr>
          <w:rFonts w:ascii="Arial" w:hAnsi="Arial" w:cs="Arial"/>
          <w:b/>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p>
    <w:p w14:paraId="57989830" w14:textId="77777777" w:rsidR="0062768B" w:rsidRDefault="0062768B">
      <w:pPr>
        <w:spacing w:line="300" w:lineRule="auto"/>
        <w:jc w:val="center"/>
        <w:rPr>
          <w:rFonts w:ascii="Arial" w:eastAsia="昆仑仿宋" w:hAnsi="Arial" w:cs="Arial"/>
          <w:b/>
          <w:sz w:val="44"/>
        </w:rPr>
      </w:pPr>
    </w:p>
    <w:p w14:paraId="141360F3" w14:textId="77777777" w:rsidR="0062768B" w:rsidRDefault="0062768B">
      <w:pPr>
        <w:spacing w:line="300" w:lineRule="auto"/>
        <w:jc w:val="center"/>
        <w:rPr>
          <w:rFonts w:ascii="Arial" w:eastAsia="昆仑仿宋" w:hAnsi="Arial" w:cs="Arial"/>
          <w:b/>
          <w:sz w:val="44"/>
        </w:rPr>
      </w:pPr>
    </w:p>
    <w:p w14:paraId="467B1940" w14:textId="77777777" w:rsidR="0062768B" w:rsidRDefault="0062768B">
      <w:pPr>
        <w:spacing w:line="300" w:lineRule="auto"/>
        <w:rPr>
          <w:rFonts w:ascii="Arial" w:eastAsia="楷体_GB2312" w:hAnsi="Arial" w:cs="Arial"/>
          <w:b/>
          <w:sz w:val="32"/>
        </w:rPr>
      </w:pPr>
    </w:p>
    <w:p w14:paraId="7B849752" w14:textId="77777777" w:rsidR="0062768B" w:rsidRDefault="00136729">
      <w:pPr>
        <w:spacing w:line="300"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bookmarkStart w:id="0" w:name="_Hlk138693155"/>
      <w:r>
        <w:rPr>
          <w:rFonts w:ascii="Arial" w:eastAsia="楷体_GB2312" w:hAnsi="Arial" w:cs="Arial" w:hint="eastAsia"/>
          <w:b/>
          <w:sz w:val="32"/>
        </w:rPr>
        <w:t>北京市顺义区高丽营镇夏县营村</w:t>
      </w:r>
      <w:r>
        <w:rPr>
          <w:rFonts w:ascii="Arial" w:eastAsia="楷体_GB2312" w:hAnsi="Arial" w:cs="Arial" w:hint="eastAsia"/>
          <w:b/>
          <w:sz w:val="32"/>
        </w:rPr>
        <w:t>01-008</w:t>
      </w:r>
      <w:r>
        <w:rPr>
          <w:rFonts w:ascii="Arial" w:eastAsia="楷体_GB2312" w:hAnsi="Arial" w:cs="Arial" w:hint="eastAsia"/>
          <w:b/>
          <w:sz w:val="32"/>
        </w:rPr>
        <w:t>、</w:t>
      </w:r>
      <w:r>
        <w:rPr>
          <w:rFonts w:ascii="Arial" w:eastAsia="楷体_GB2312" w:hAnsi="Arial" w:cs="Arial" w:hint="eastAsia"/>
          <w:b/>
          <w:sz w:val="32"/>
        </w:rPr>
        <w:t>01-016</w:t>
      </w:r>
      <w:r>
        <w:rPr>
          <w:rFonts w:ascii="Arial" w:eastAsia="楷体_GB2312" w:hAnsi="Arial" w:cs="Arial" w:hint="eastAsia"/>
          <w:b/>
          <w:sz w:val="32"/>
        </w:rPr>
        <w:t>、</w:t>
      </w:r>
      <w:r>
        <w:rPr>
          <w:rFonts w:ascii="Arial" w:eastAsia="楷体_GB2312" w:hAnsi="Arial" w:cs="Arial" w:hint="eastAsia"/>
          <w:b/>
          <w:sz w:val="32"/>
        </w:rPr>
        <w:t>01-026-1</w:t>
      </w:r>
      <w:r>
        <w:rPr>
          <w:rFonts w:ascii="Arial" w:eastAsia="楷体_GB2312" w:hAnsi="Arial" w:cs="Arial" w:hint="eastAsia"/>
          <w:b/>
          <w:sz w:val="32"/>
        </w:rPr>
        <w:t>地块</w:t>
      </w:r>
      <w:r>
        <w:rPr>
          <w:rFonts w:ascii="Arial" w:eastAsia="楷体_GB2312" w:hAnsi="Arial" w:cs="Arial" w:hint="eastAsia"/>
          <w:b/>
          <w:sz w:val="32"/>
        </w:rPr>
        <w:t>R2</w:t>
      </w:r>
      <w:proofErr w:type="gramStart"/>
      <w:r>
        <w:rPr>
          <w:rFonts w:ascii="Arial" w:eastAsia="楷体_GB2312" w:hAnsi="Arial" w:cs="Arial" w:hint="eastAsia"/>
          <w:b/>
          <w:sz w:val="32"/>
        </w:rPr>
        <w:t>二</w:t>
      </w:r>
      <w:proofErr w:type="gramEnd"/>
      <w:r>
        <w:rPr>
          <w:rFonts w:ascii="Arial" w:eastAsia="楷体_GB2312" w:hAnsi="Arial" w:cs="Arial" w:hint="eastAsia"/>
          <w:b/>
          <w:sz w:val="32"/>
        </w:rPr>
        <w:t>类居住用地及</w:t>
      </w:r>
      <w:r>
        <w:rPr>
          <w:rFonts w:ascii="Arial" w:eastAsia="楷体_GB2312" w:hAnsi="Arial" w:cs="Arial" w:hint="eastAsia"/>
          <w:b/>
          <w:sz w:val="32"/>
        </w:rPr>
        <w:t>01-020</w:t>
      </w:r>
      <w:r>
        <w:rPr>
          <w:rFonts w:ascii="Arial" w:eastAsia="楷体_GB2312" w:hAnsi="Arial" w:cs="Arial" w:hint="eastAsia"/>
          <w:b/>
          <w:sz w:val="32"/>
        </w:rPr>
        <w:t>地块</w:t>
      </w:r>
      <w:r>
        <w:rPr>
          <w:rFonts w:ascii="Arial" w:eastAsia="楷体_GB2312" w:hAnsi="Arial" w:cs="Arial" w:hint="eastAsia"/>
          <w:b/>
          <w:sz w:val="32"/>
        </w:rPr>
        <w:t>A334</w:t>
      </w:r>
      <w:r>
        <w:rPr>
          <w:rFonts w:ascii="Arial" w:eastAsia="楷体_GB2312" w:hAnsi="Arial" w:cs="Arial" w:hint="eastAsia"/>
          <w:b/>
          <w:sz w:val="32"/>
        </w:rPr>
        <w:t>托幼用地项目</w:t>
      </w:r>
      <w:r>
        <w:rPr>
          <w:rFonts w:ascii="Arial" w:eastAsia="楷体_GB2312" w:hAnsi="Arial" w:cs="Arial"/>
          <w:b/>
          <w:sz w:val="32"/>
        </w:rPr>
        <w:t>国有建设用地使用权出让价格评估</w:t>
      </w:r>
      <w:bookmarkEnd w:id="0"/>
    </w:p>
    <w:p w14:paraId="28AE1449" w14:textId="77777777" w:rsidR="0062768B" w:rsidRDefault="0062768B">
      <w:pPr>
        <w:spacing w:line="300" w:lineRule="auto"/>
        <w:ind w:left="1925" w:hangingChars="685" w:hanging="1925"/>
        <w:jc w:val="both"/>
        <w:rPr>
          <w:rFonts w:ascii="Arial" w:eastAsia="楷体_GB2312" w:hAnsi="Arial" w:cs="Arial"/>
          <w:b/>
          <w:sz w:val="28"/>
          <w:szCs w:val="28"/>
        </w:rPr>
      </w:pPr>
    </w:p>
    <w:p w14:paraId="394CF2C9" w14:textId="77777777" w:rsidR="0062768B" w:rsidRDefault="00136729">
      <w:pPr>
        <w:spacing w:line="300" w:lineRule="auto"/>
        <w:jc w:val="both"/>
        <w:rPr>
          <w:rFonts w:ascii="Arial" w:eastAsia="楷体_GB2312" w:hAnsi="Arial" w:cs="Arial"/>
          <w:b/>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14:paraId="580AE0AF" w14:textId="77777777" w:rsidR="0062768B" w:rsidRDefault="0062768B">
      <w:pPr>
        <w:spacing w:line="300" w:lineRule="auto"/>
        <w:jc w:val="both"/>
        <w:rPr>
          <w:rFonts w:ascii="Arial" w:eastAsia="楷体_GB2312" w:hAnsi="Arial" w:cs="Arial"/>
          <w:b/>
          <w:sz w:val="32"/>
        </w:rPr>
      </w:pPr>
    </w:p>
    <w:p w14:paraId="345A8758" w14:textId="77777777" w:rsidR="0062768B" w:rsidRDefault="00136729">
      <w:pPr>
        <w:spacing w:line="300" w:lineRule="auto"/>
        <w:jc w:val="both"/>
        <w:rPr>
          <w:rFonts w:ascii="Arial" w:eastAsia="楷体_GB2312" w:hAnsi="Arial" w:cs="Arial"/>
          <w:b/>
          <w:sz w:val="32"/>
        </w:rPr>
      </w:pPr>
      <w:r>
        <w:rPr>
          <w:rFonts w:ascii="Arial" w:eastAsia="楷体_GB2312" w:hAnsi="Arial" w:cs="Arial"/>
          <w:b/>
          <w:sz w:val="32"/>
        </w:rPr>
        <w:t>土地估价报告编号：</w:t>
      </w:r>
      <w:proofErr w:type="gramStart"/>
      <w:r>
        <w:rPr>
          <w:rFonts w:ascii="Arial" w:eastAsia="楷体_GB2312" w:hAnsi="Arial" w:cs="Arial"/>
          <w:b/>
          <w:sz w:val="32"/>
        </w:rPr>
        <w:t>北京康正</w:t>
      </w:r>
      <w:proofErr w:type="gramEnd"/>
      <w:r>
        <w:rPr>
          <w:rFonts w:ascii="Arial" w:eastAsia="楷体_GB2312" w:hAnsi="Arial" w:cs="Arial"/>
          <w:b/>
          <w:sz w:val="32"/>
        </w:rPr>
        <w:t>2023</w:t>
      </w:r>
      <w:r>
        <w:rPr>
          <w:rFonts w:ascii="Arial" w:eastAsia="楷体_GB2312" w:hAnsi="Arial" w:cs="Arial"/>
          <w:b/>
          <w:sz w:val="32"/>
        </w:rPr>
        <w:t>（估）字第</w:t>
      </w:r>
      <w:r>
        <w:rPr>
          <w:rFonts w:ascii="Arial" w:eastAsia="楷体_GB2312" w:hAnsi="Arial" w:cs="Arial"/>
          <w:b/>
          <w:sz w:val="32"/>
        </w:rPr>
        <w:t>0007</w:t>
      </w:r>
      <w:r>
        <w:rPr>
          <w:rFonts w:ascii="Arial" w:eastAsia="楷体_GB2312" w:hAnsi="Arial" w:cs="Arial"/>
          <w:b/>
          <w:sz w:val="32"/>
        </w:rPr>
        <w:t>号</w:t>
      </w:r>
      <w:r>
        <w:rPr>
          <w:rFonts w:ascii="Arial" w:eastAsia="楷体_GB2312" w:hAnsi="Arial" w:cs="Arial" w:hint="eastAsia"/>
          <w:b/>
          <w:sz w:val="32"/>
        </w:rPr>
        <w:t xml:space="preserve">                   </w:t>
      </w:r>
    </w:p>
    <w:p w14:paraId="100718C8" w14:textId="77777777" w:rsidR="0062768B" w:rsidRDefault="00136729">
      <w:pPr>
        <w:spacing w:line="300" w:lineRule="auto"/>
        <w:ind w:firstLineChars="900" w:firstLine="2891"/>
        <w:jc w:val="both"/>
        <w:rPr>
          <w:rFonts w:ascii="Arial" w:eastAsia="楷体_GB2312" w:hAnsi="Arial" w:cs="Arial"/>
          <w:b/>
          <w:sz w:val="32"/>
        </w:rPr>
      </w:pPr>
      <w:r>
        <w:rPr>
          <w:rFonts w:ascii="Arial" w:eastAsia="楷体_GB2312" w:hAnsi="Arial" w:cs="Arial"/>
          <w:b/>
          <w:sz w:val="32"/>
        </w:rPr>
        <w:t>2023 -1- 0340 -</w:t>
      </w:r>
      <w:r w:rsidR="00550FB0">
        <w:rPr>
          <w:rFonts w:ascii="Arial" w:eastAsia="楷体_GB2312" w:hAnsi="Arial" w:cs="Arial"/>
          <w:b/>
          <w:sz w:val="32"/>
        </w:rPr>
        <w:t>F06TDCR9</w:t>
      </w:r>
    </w:p>
    <w:p w14:paraId="7B4E7403" w14:textId="77777777" w:rsidR="0062768B" w:rsidRDefault="0062768B">
      <w:pPr>
        <w:spacing w:line="300" w:lineRule="auto"/>
        <w:jc w:val="both"/>
        <w:rPr>
          <w:rFonts w:ascii="Arial" w:eastAsia="楷体_GB2312" w:hAnsi="Arial" w:cs="Arial"/>
          <w:b/>
          <w:sz w:val="32"/>
        </w:rPr>
      </w:pPr>
    </w:p>
    <w:p w14:paraId="0BC5A29C" w14:textId="19DA23A1" w:rsidR="0062768B" w:rsidRDefault="00136729">
      <w:pPr>
        <w:spacing w:line="300" w:lineRule="auto"/>
        <w:jc w:val="both"/>
        <w:rPr>
          <w:rFonts w:ascii="Arial" w:eastAsia="仿宋_GB2312" w:hAnsi="Arial" w:cs="Arial"/>
          <w:b/>
          <w:sz w:val="44"/>
        </w:rPr>
        <w:sectPr w:rsidR="0062768B">
          <w:headerReference w:type="even" r:id="rId10"/>
          <w:headerReference w:type="default" r:id="rId11"/>
          <w:footerReference w:type="even" r:id="rId12"/>
          <w:footerReference w:type="default" r:id="rId13"/>
          <w:headerReference w:type="first" r:id="rId14"/>
          <w:footerReference w:type="first" r:id="rId15"/>
          <w:type w:val="nextColumn"/>
          <w:pgSz w:w="11907" w:h="16840"/>
          <w:pgMar w:top="1418" w:right="1418" w:bottom="1134" w:left="1418" w:header="851" w:footer="1134" w:gutter="0"/>
          <w:pgNumType w:start="0"/>
          <w:cols w:space="720"/>
          <w:titlePg/>
        </w:sectPr>
      </w:pPr>
      <w:r>
        <w:rPr>
          <w:rFonts w:ascii="Arial" w:eastAsia="楷体_GB2312" w:hAnsi="Arial" w:cs="Arial"/>
          <w:b/>
          <w:sz w:val="32"/>
        </w:rPr>
        <w:t>提交估价报告日期：</w:t>
      </w:r>
      <w:r w:rsidR="00036F92">
        <w:rPr>
          <w:rFonts w:ascii="Arial" w:eastAsia="楷体_GB2312" w:hAnsi="Arial" w:cs="Arial"/>
          <w:b/>
          <w:sz w:val="32"/>
        </w:rPr>
        <w:t>2023</w:t>
      </w:r>
      <w:r w:rsidR="00036F92">
        <w:rPr>
          <w:rFonts w:ascii="Arial" w:eastAsia="楷体_GB2312" w:hAnsi="Arial" w:cs="Arial"/>
          <w:b/>
          <w:sz w:val="32"/>
        </w:rPr>
        <w:t>年</w:t>
      </w:r>
      <w:r w:rsidR="00036F92">
        <w:rPr>
          <w:rFonts w:ascii="Arial" w:eastAsia="楷体_GB2312" w:hAnsi="Arial" w:cs="Arial"/>
          <w:b/>
          <w:sz w:val="32"/>
        </w:rPr>
        <w:t>6</w:t>
      </w:r>
      <w:r w:rsidR="00036F92">
        <w:rPr>
          <w:rFonts w:ascii="Arial" w:eastAsia="楷体_GB2312" w:hAnsi="Arial" w:cs="Arial"/>
          <w:b/>
          <w:sz w:val="32"/>
        </w:rPr>
        <w:t>月</w:t>
      </w:r>
      <w:r w:rsidR="00036F92">
        <w:rPr>
          <w:rFonts w:ascii="Arial" w:eastAsia="楷体_GB2312" w:hAnsi="Arial" w:cs="Arial"/>
          <w:b/>
          <w:sz w:val="32"/>
        </w:rPr>
        <w:t>27</w:t>
      </w:r>
      <w:r w:rsidR="00036F92">
        <w:rPr>
          <w:rFonts w:ascii="Arial" w:eastAsia="楷体_GB2312" w:hAnsi="Arial" w:cs="Arial"/>
          <w:b/>
          <w:sz w:val="32"/>
        </w:rPr>
        <w:t>日</w:t>
      </w:r>
    </w:p>
    <w:p w14:paraId="37FBF68A" w14:textId="77777777" w:rsidR="0062768B" w:rsidRDefault="00136729">
      <w:pPr>
        <w:pStyle w:val="10"/>
        <w:spacing w:line="300" w:lineRule="auto"/>
        <w:rPr>
          <w:rFonts w:ascii="Arial" w:cs="Arial"/>
          <w:b/>
          <w:sz w:val="32"/>
          <w:szCs w:val="32"/>
        </w:rPr>
      </w:pPr>
      <w:bookmarkStart w:id="1" w:name="_Toc132016601"/>
      <w:bookmarkStart w:id="2" w:name="_Toc132016554"/>
      <w:r>
        <w:rPr>
          <w:rFonts w:ascii="Arial" w:cs="Arial"/>
          <w:b/>
          <w:sz w:val="32"/>
          <w:szCs w:val="32"/>
        </w:rPr>
        <w:lastRenderedPageBreak/>
        <w:t>目录</w:t>
      </w:r>
      <w:bookmarkEnd w:id="1"/>
      <w:bookmarkEnd w:id="2"/>
    </w:p>
    <w:p w14:paraId="582DEAFE" w14:textId="18E8B787" w:rsidR="0062768B" w:rsidRDefault="00136729">
      <w:pPr>
        <w:pStyle w:val="10"/>
        <w:rPr>
          <w:rFonts w:ascii="等线" w:eastAsia="等线" w:hAnsi="等线"/>
          <w:noProof/>
          <w:kern w:val="2"/>
          <w:sz w:val="21"/>
          <w:szCs w:val="22"/>
        </w:rPr>
      </w:pPr>
      <w:r>
        <w:rPr>
          <w:rFonts w:ascii="仿宋" w:eastAsia="仿宋" w:cs="Arial"/>
        </w:rPr>
        <w:fldChar w:fldCharType="begin"/>
      </w:r>
      <w:r>
        <w:rPr>
          <w:rFonts w:ascii="仿宋" w:eastAsia="仿宋" w:cs="Arial"/>
        </w:rPr>
        <w:instrText xml:space="preserve"> TOC \o "1-2" \h \z \u </w:instrText>
      </w:r>
      <w:r>
        <w:rPr>
          <w:rFonts w:ascii="仿宋" w:eastAsia="仿宋" w:cs="Arial"/>
        </w:rPr>
        <w:fldChar w:fldCharType="separate"/>
      </w:r>
      <w:hyperlink w:anchor="_Toc138062989" w:history="1">
        <w:r>
          <w:rPr>
            <w:rStyle w:val="af5"/>
            <w:rFonts w:ascii="Arial" w:cs="Arial"/>
            <w:b/>
            <w:noProof/>
          </w:rPr>
          <w:t>第一部分</w:t>
        </w:r>
        <w:r>
          <w:rPr>
            <w:rStyle w:val="af5"/>
            <w:rFonts w:ascii="Arial" w:cs="Arial"/>
            <w:b/>
            <w:noProof/>
          </w:rPr>
          <w:t xml:space="preserve">  </w:t>
        </w:r>
        <w:r>
          <w:rPr>
            <w:rStyle w:val="af5"/>
            <w:rFonts w:ascii="Arial" w:cs="Arial"/>
            <w:b/>
            <w:noProof/>
          </w:rPr>
          <w:t>摘</w:t>
        </w:r>
        <w:r>
          <w:rPr>
            <w:rStyle w:val="af5"/>
            <w:rFonts w:ascii="Arial" w:cs="Arial"/>
            <w:b/>
            <w:noProof/>
          </w:rPr>
          <w:t xml:space="preserve">  </w:t>
        </w:r>
        <w:r>
          <w:rPr>
            <w:rStyle w:val="af5"/>
            <w:rFonts w:ascii="Arial" w:cs="Arial"/>
            <w:b/>
            <w:noProof/>
          </w:rPr>
          <w:t>要</w:t>
        </w:r>
        <w:r>
          <w:rPr>
            <w:noProof/>
          </w:rPr>
          <w:tab/>
        </w:r>
        <w:r>
          <w:rPr>
            <w:noProof/>
          </w:rPr>
          <w:fldChar w:fldCharType="begin"/>
        </w:r>
        <w:r>
          <w:rPr>
            <w:noProof/>
          </w:rPr>
          <w:instrText xml:space="preserve"> PAGEREF _Toc138062989 \h </w:instrText>
        </w:r>
        <w:r>
          <w:rPr>
            <w:noProof/>
          </w:rPr>
        </w:r>
        <w:r>
          <w:rPr>
            <w:noProof/>
          </w:rPr>
          <w:fldChar w:fldCharType="separate"/>
        </w:r>
        <w:r w:rsidR="00821A1F">
          <w:rPr>
            <w:noProof/>
          </w:rPr>
          <w:t>1</w:t>
        </w:r>
        <w:r>
          <w:rPr>
            <w:noProof/>
          </w:rPr>
          <w:fldChar w:fldCharType="end"/>
        </w:r>
      </w:hyperlink>
    </w:p>
    <w:p w14:paraId="749CEA76" w14:textId="541F9F33" w:rsidR="0062768B" w:rsidRDefault="00BA64ED">
      <w:pPr>
        <w:pStyle w:val="21"/>
        <w:rPr>
          <w:rFonts w:ascii="等线" w:eastAsia="等线" w:hAnsi="等线"/>
          <w:noProof/>
          <w:kern w:val="2"/>
          <w:sz w:val="21"/>
          <w:szCs w:val="22"/>
        </w:rPr>
      </w:pPr>
      <w:hyperlink w:anchor="_Toc138062990" w:history="1">
        <w:r w:rsidR="00136729">
          <w:rPr>
            <w:rStyle w:val="af5"/>
            <w:rFonts w:ascii="Arial" w:eastAsia="仿宋_GB2312" w:hAnsi="Arial" w:cs="Arial"/>
            <w:b/>
            <w:bCs/>
            <w:noProof/>
          </w:rPr>
          <w:t>一、估价项目名称</w:t>
        </w:r>
        <w:r w:rsidR="00136729">
          <w:rPr>
            <w:noProof/>
          </w:rPr>
          <w:tab/>
        </w:r>
        <w:r w:rsidR="00136729">
          <w:rPr>
            <w:noProof/>
          </w:rPr>
          <w:fldChar w:fldCharType="begin"/>
        </w:r>
        <w:r w:rsidR="00136729">
          <w:rPr>
            <w:noProof/>
          </w:rPr>
          <w:instrText xml:space="preserve"> PAGEREF _Toc138062990 \h </w:instrText>
        </w:r>
        <w:r w:rsidR="00136729">
          <w:rPr>
            <w:noProof/>
          </w:rPr>
        </w:r>
        <w:r w:rsidR="00136729">
          <w:rPr>
            <w:noProof/>
          </w:rPr>
          <w:fldChar w:fldCharType="separate"/>
        </w:r>
        <w:r w:rsidR="00821A1F">
          <w:rPr>
            <w:noProof/>
          </w:rPr>
          <w:t>1</w:t>
        </w:r>
        <w:r w:rsidR="00136729">
          <w:rPr>
            <w:noProof/>
          </w:rPr>
          <w:fldChar w:fldCharType="end"/>
        </w:r>
      </w:hyperlink>
    </w:p>
    <w:p w14:paraId="42DBA90D" w14:textId="02972367" w:rsidR="0062768B" w:rsidRDefault="00BA64ED">
      <w:pPr>
        <w:pStyle w:val="21"/>
        <w:rPr>
          <w:rFonts w:ascii="等线" w:eastAsia="等线" w:hAnsi="等线"/>
          <w:noProof/>
          <w:kern w:val="2"/>
          <w:sz w:val="21"/>
          <w:szCs w:val="22"/>
        </w:rPr>
      </w:pPr>
      <w:hyperlink w:anchor="_Toc138062991" w:history="1">
        <w:r w:rsidR="00136729">
          <w:rPr>
            <w:rStyle w:val="af5"/>
            <w:rFonts w:ascii="Arial" w:eastAsia="仿宋_GB2312" w:hAnsi="Arial" w:cs="Arial"/>
            <w:b/>
            <w:bCs/>
            <w:noProof/>
          </w:rPr>
          <w:t>二、委托估价方</w:t>
        </w:r>
        <w:r w:rsidR="00136729">
          <w:rPr>
            <w:noProof/>
          </w:rPr>
          <w:tab/>
        </w:r>
        <w:r w:rsidR="00136729">
          <w:rPr>
            <w:noProof/>
          </w:rPr>
          <w:fldChar w:fldCharType="begin"/>
        </w:r>
        <w:r w:rsidR="00136729">
          <w:rPr>
            <w:noProof/>
          </w:rPr>
          <w:instrText xml:space="preserve"> PAGEREF _Toc138062991 \h </w:instrText>
        </w:r>
        <w:r w:rsidR="00136729">
          <w:rPr>
            <w:noProof/>
          </w:rPr>
        </w:r>
        <w:r w:rsidR="00136729">
          <w:rPr>
            <w:noProof/>
          </w:rPr>
          <w:fldChar w:fldCharType="separate"/>
        </w:r>
        <w:r w:rsidR="00821A1F">
          <w:rPr>
            <w:noProof/>
          </w:rPr>
          <w:t>1</w:t>
        </w:r>
        <w:r w:rsidR="00136729">
          <w:rPr>
            <w:noProof/>
          </w:rPr>
          <w:fldChar w:fldCharType="end"/>
        </w:r>
      </w:hyperlink>
    </w:p>
    <w:p w14:paraId="7FF13F0C" w14:textId="5AD864AB" w:rsidR="0062768B" w:rsidRDefault="00BA64ED">
      <w:pPr>
        <w:pStyle w:val="21"/>
        <w:rPr>
          <w:rFonts w:ascii="等线" w:eastAsia="等线" w:hAnsi="等线"/>
          <w:noProof/>
          <w:kern w:val="2"/>
          <w:sz w:val="21"/>
          <w:szCs w:val="22"/>
        </w:rPr>
      </w:pPr>
      <w:hyperlink w:anchor="_Toc138062992" w:history="1">
        <w:r w:rsidR="00136729">
          <w:rPr>
            <w:rStyle w:val="af5"/>
            <w:rFonts w:ascii="Arial" w:eastAsia="仿宋_GB2312" w:hAnsi="Arial" w:cs="Arial"/>
            <w:b/>
            <w:bCs/>
            <w:noProof/>
          </w:rPr>
          <w:t>三、估价目的</w:t>
        </w:r>
        <w:r w:rsidR="00136729">
          <w:rPr>
            <w:noProof/>
          </w:rPr>
          <w:tab/>
        </w:r>
        <w:r w:rsidR="00136729">
          <w:rPr>
            <w:noProof/>
          </w:rPr>
          <w:fldChar w:fldCharType="begin"/>
        </w:r>
        <w:r w:rsidR="00136729">
          <w:rPr>
            <w:noProof/>
          </w:rPr>
          <w:instrText xml:space="preserve"> PAGEREF _Toc138062992 \h </w:instrText>
        </w:r>
        <w:r w:rsidR="00136729">
          <w:rPr>
            <w:noProof/>
          </w:rPr>
        </w:r>
        <w:r w:rsidR="00136729">
          <w:rPr>
            <w:noProof/>
          </w:rPr>
          <w:fldChar w:fldCharType="separate"/>
        </w:r>
        <w:r w:rsidR="00821A1F">
          <w:rPr>
            <w:noProof/>
          </w:rPr>
          <w:t>1</w:t>
        </w:r>
        <w:r w:rsidR="00136729">
          <w:rPr>
            <w:noProof/>
          </w:rPr>
          <w:fldChar w:fldCharType="end"/>
        </w:r>
      </w:hyperlink>
    </w:p>
    <w:p w14:paraId="650C9BB4" w14:textId="6123D94B" w:rsidR="0062768B" w:rsidRDefault="00BA64ED">
      <w:pPr>
        <w:pStyle w:val="21"/>
        <w:rPr>
          <w:rFonts w:ascii="等线" w:eastAsia="等线" w:hAnsi="等线"/>
          <w:noProof/>
          <w:kern w:val="2"/>
          <w:sz w:val="21"/>
          <w:szCs w:val="22"/>
        </w:rPr>
      </w:pPr>
      <w:hyperlink w:anchor="_Toc138062993" w:history="1">
        <w:r w:rsidR="00136729">
          <w:rPr>
            <w:rStyle w:val="af5"/>
            <w:rFonts w:ascii="Arial" w:eastAsia="仿宋_GB2312" w:hAnsi="Arial" w:cs="Arial"/>
            <w:b/>
            <w:bCs/>
            <w:noProof/>
          </w:rPr>
          <w:t>四、估价期日</w:t>
        </w:r>
        <w:r w:rsidR="00136729">
          <w:rPr>
            <w:noProof/>
          </w:rPr>
          <w:tab/>
        </w:r>
        <w:r w:rsidR="00136729">
          <w:rPr>
            <w:noProof/>
          </w:rPr>
          <w:fldChar w:fldCharType="begin"/>
        </w:r>
        <w:r w:rsidR="00136729">
          <w:rPr>
            <w:noProof/>
          </w:rPr>
          <w:instrText xml:space="preserve"> PAGEREF _Toc138062993 \h </w:instrText>
        </w:r>
        <w:r w:rsidR="00136729">
          <w:rPr>
            <w:noProof/>
          </w:rPr>
        </w:r>
        <w:r w:rsidR="00136729">
          <w:rPr>
            <w:noProof/>
          </w:rPr>
          <w:fldChar w:fldCharType="separate"/>
        </w:r>
        <w:r w:rsidR="00821A1F">
          <w:rPr>
            <w:noProof/>
          </w:rPr>
          <w:t>2</w:t>
        </w:r>
        <w:r w:rsidR="00136729">
          <w:rPr>
            <w:noProof/>
          </w:rPr>
          <w:fldChar w:fldCharType="end"/>
        </w:r>
      </w:hyperlink>
    </w:p>
    <w:p w14:paraId="2FBE3B68" w14:textId="2DD92886" w:rsidR="0062768B" w:rsidRDefault="00BA64ED">
      <w:pPr>
        <w:pStyle w:val="21"/>
        <w:rPr>
          <w:rFonts w:ascii="等线" w:eastAsia="等线" w:hAnsi="等线"/>
          <w:noProof/>
          <w:kern w:val="2"/>
          <w:sz w:val="21"/>
          <w:szCs w:val="22"/>
        </w:rPr>
      </w:pPr>
      <w:hyperlink w:anchor="_Toc138062994" w:history="1">
        <w:r w:rsidR="00136729">
          <w:rPr>
            <w:rStyle w:val="af5"/>
            <w:rFonts w:ascii="Arial" w:eastAsia="仿宋_GB2312" w:hAnsi="Arial" w:cs="Arial"/>
            <w:b/>
            <w:bCs/>
            <w:noProof/>
          </w:rPr>
          <w:t>五、估价日期</w:t>
        </w:r>
        <w:r w:rsidR="00136729">
          <w:rPr>
            <w:noProof/>
          </w:rPr>
          <w:tab/>
        </w:r>
        <w:r w:rsidR="00136729">
          <w:rPr>
            <w:noProof/>
          </w:rPr>
          <w:fldChar w:fldCharType="begin"/>
        </w:r>
        <w:r w:rsidR="00136729">
          <w:rPr>
            <w:noProof/>
          </w:rPr>
          <w:instrText xml:space="preserve"> PAGEREF _Toc138062994 \h </w:instrText>
        </w:r>
        <w:r w:rsidR="00136729">
          <w:rPr>
            <w:noProof/>
          </w:rPr>
        </w:r>
        <w:r w:rsidR="00136729">
          <w:rPr>
            <w:noProof/>
          </w:rPr>
          <w:fldChar w:fldCharType="separate"/>
        </w:r>
        <w:r w:rsidR="00821A1F">
          <w:rPr>
            <w:noProof/>
          </w:rPr>
          <w:t>2</w:t>
        </w:r>
        <w:r w:rsidR="00136729">
          <w:rPr>
            <w:noProof/>
          </w:rPr>
          <w:fldChar w:fldCharType="end"/>
        </w:r>
      </w:hyperlink>
    </w:p>
    <w:p w14:paraId="2FF9D7A7" w14:textId="7EAB1514" w:rsidR="0062768B" w:rsidRDefault="00BA64ED">
      <w:pPr>
        <w:pStyle w:val="21"/>
        <w:rPr>
          <w:rFonts w:ascii="等线" w:eastAsia="等线" w:hAnsi="等线"/>
          <w:noProof/>
          <w:kern w:val="2"/>
          <w:sz w:val="21"/>
          <w:szCs w:val="22"/>
        </w:rPr>
      </w:pPr>
      <w:hyperlink w:anchor="_Toc138062995" w:history="1">
        <w:r w:rsidR="00136729">
          <w:rPr>
            <w:rStyle w:val="af5"/>
            <w:rFonts w:ascii="Arial" w:eastAsia="仿宋_GB2312" w:hAnsi="Arial" w:cs="Arial"/>
            <w:b/>
            <w:bCs/>
            <w:noProof/>
          </w:rPr>
          <w:t>六、地价定义</w:t>
        </w:r>
        <w:r w:rsidR="00136729">
          <w:rPr>
            <w:noProof/>
          </w:rPr>
          <w:tab/>
        </w:r>
        <w:r w:rsidR="00136729">
          <w:rPr>
            <w:noProof/>
          </w:rPr>
          <w:fldChar w:fldCharType="begin"/>
        </w:r>
        <w:r w:rsidR="00136729">
          <w:rPr>
            <w:noProof/>
          </w:rPr>
          <w:instrText xml:space="preserve"> PAGEREF _Toc138062995 \h </w:instrText>
        </w:r>
        <w:r w:rsidR="00136729">
          <w:rPr>
            <w:noProof/>
          </w:rPr>
        </w:r>
        <w:r w:rsidR="00136729">
          <w:rPr>
            <w:noProof/>
          </w:rPr>
          <w:fldChar w:fldCharType="separate"/>
        </w:r>
        <w:r w:rsidR="00821A1F">
          <w:rPr>
            <w:noProof/>
          </w:rPr>
          <w:t>2</w:t>
        </w:r>
        <w:r w:rsidR="00136729">
          <w:rPr>
            <w:noProof/>
          </w:rPr>
          <w:fldChar w:fldCharType="end"/>
        </w:r>
      </w:hyperlink>
    </w:p>
    <w:p w14:paraId="1ED2F777" w14:textId="3C2CFDE5" w:rsidR="0062768B" w:rsidRDefault="00BA64ED">
      <w:pPr>
        <w:pStyle w:val="21"/>
        <w:rPr>
          <w:rFonts w:ascii="等线" w:eastAsia="等线" w:hAnsi="等线"/>
          <w:noProof/>
          <w:kern w:val="2"/>
          <w:sz w:val="21"/>
          <w:szCs w:val="22"/>
        </w:rPr>
      </w:pPr>
      <w:hyperlink w:anchor="_Toc138062996" w:history="1">
        <w:r w:rsidR="00136729">
          <w:rPr>
            <w:rStyle w:val="af5"/>
            <w:rFonts w:ascii="Arial" w:eastAsia="仿宋_GB2312" w:hAnsi="Arial" w:cs="Arial"/>
            <w:b/>
            <w:bCs/>
            <w:noProof/>
          </w:rPr>
          <w:t>七、估价结果</w:t>
        </w:r>
        <w:r w:rsidR="00136729">
          <w:rPr>
            <w:noProof/>
          </w:rPr>
          <w:tab/>
        </w:r>
        <w:r w:rsidR="00136729">
          <w:rPr>
            <w:noProof/>
          </w:rPr>
          <w:fldChar w:fldCharType="begin"/>
        </w:r>
        <w:r w:rsidR="00136729">
          <w:rPr>
            <w:noProof/>
          </w:rPr>
          <w:instrText xml:space="preserve"> PAGEREF _Toc138062996 \h </w:instrText>
        </w:r>
        <w:r w:rsidR="00136729">
          <w:rPr>
            <w:noProof/>
          </w:rPr>
        </w:r>
        <w:r w:rsidR="00136729">
          <w:rPr>
            <w:noProof/>
          </w:rPr>
          <w:fldChar w:fldCharType="separate"/>
        </w:r>
        <w:r w:rsidR="00821A1F">
          <w:rPr>
            <w:noProof/>
          </w:rPr>
          <w:t>5</w:t>
        </w:r>
        <w:r w:rsidR="00136729">
          <w:rPr>
            <w:noProof/>
          </w:rPr>
          <w:fldChar w:fldCharType="end"/>
        </w:r>
      </w:hyperlink>
    </w:p>
    <w:p w14:paraId="1E6C42E2" w14:textId="34386DE2" w:rsidR="0062768B" w:rsidRDefault="00BA64ED">
      <w:pPr>
        <w:pStyle w:val="21"/>
        <w:rPr>
          <w:rFonts w:ascii="等线" w:eastAsia="等线" w:hAnsi="等线"/>
          <w:noProof/>
          <w:kern w:val="2"/>
          <w:sz w:val="21"/>
          <w:szCs w:val="22"/>
        </w:rPr>
      </w:pPr>
      <w:hyperlink w:anchor="_Toc138062997" w:history="1">
        <w:r w:rsidR="00136729">
          <w:rPr>
            <w:rStyle w:val="af5"/>
            <w:rFonts w:ascii="Arial" w:hAnsi="Arial" w:cs="Arial"/>
            <w:b/>
            <w:bCs/>
            <w:noProof/>
          </w:rPr>
          <w:t>八</w:t>
        </w:r>
        <w:r w:rsidR="00136729">
          <w:rPr>
            <w:rStyle w:val="af5"/>
            <w:rFonts w:ascii="Arial" w:eastAsia="仿宋_GB2312" w:hAnsi="Arial" w:cs="Arial"/>
            <w:b/>
            <w:bCs/>
            <w:noProof/>
          </w:rPr>
          <w:t>、土地估价专业评估师签字</w:t>
        </w:r>
        <w:r w:rsidR="00136729">
          <w:rPr>
            <w:noProof/>
          </w:rPr>
          <w:tab/>
        </w:r>
        <w:r w:rsidR="00136729">
          <w:rPr>
            <w:noProof/>
          </w:rPr>
          <w:fldChar w:fldCharType="begin"/>
        </w:r>
        <w:r w:rsidR="00136729">
          <w:rPr>
            <w:noProof/>
          </w:rPr>
          <w:instrText xml:space="preserve"> PAGEREF _Toc138062997 \h </w:instrText>
        </w:r>
        <w:r w:rsidR="00136729">
          <w:rPr>
            <w:noProof/>
          </w:rPr>
        </w:r>
        <w:r w:rsidR="00136729">
          <w:rPr>
            <w:noProof/>
          </w:rPr>
          <w:fldChar w:fldCharType="separate"/>
        </w:r>
        <w:r w:rsidR="00821A1F">
          <w:rPr>
            <w:noProof/>
          </w:rPr>
          <w:t>8</w:t>
        </w:r>
        <w:r w:rsidR="00136729">
          <w:rPr>
            <w:noProof/>
          </w:rPr>
          <w:fldChar w:fldCharType="end"/>
        </w:r>
      </w:hyperlink>
    </w:p>
    <w:p w14:paraId="3A4EA9D9" w14:textId="629C0771" w:rsidR="0062768B" w:rsidRDefault="00BA64ED">
      <w:pPr>
        <w:pStyle w:val="21"/>
        <w:rPr>
          <w:rFonts w:ascii="等线" w:eastAsia="等线" w:hAnsi="等线"/>
          <w:noProof/>
          <w:kern w:val="2"/>
          <w:sz w:val="21"/>
          <w:szCs w:val="22"/>
        </w:rPr>
      </w:pPr>
      <w:hyperlink w:anchor="_Toc138062998" w:history="1">
        <w:r w:rsidR="00136729">
          <w:rPr>
            <w:rStyle w:val="af5"/>
            <w:rFonts w:ascii="Arial" w:eastAsia="仿宋_GB2312" w:hAnsi="Arial" w:cs="Arial"/>
            <w:b/>
            <w:noProof/>
          </w:rPr>
          <w:t>九、土地估价机构</w:t>
        </w:r>
        <w:r w:rsidR="00136729">
          <w:rPr>
            <w:noProof/>
          </w:rPr>
          <w:tab/>
        </w:r>
        <w:r w:rsidR="00136729">
          <w:rPr>
            <w:noProof/>
          </w:rPr>
          <w:fldChar w:fldCharType="begin"/>
        </w:r>
        <w:r w:rsidR="00136729">
          <w:rPr>
            <w:noProof/>
          </w:rPr>
          <w:instrText xml:space="preserve"> PAGEREF _Toc138062998 \h </w:instrText>
        </w:r>
        <w:r w:rsidR="00136729">
          <w:rPr>
            <w:noProof/>
          </w:rPr>
        </w:r>
        <w:r w:rsidR="00136729">
          <w:rPr>
            <w:noProof/>
          </w:rPr>
          <w:fldChar w:fldCharType="separate"/>
        </w:r>
        <w:r w:rsidR="00821A1F">
          <w:rPr>
            <w:noProof/>
          </w:rPr>
          <w:t>8</w:t>
        </w:r>
        <w:r w:rsidR="00136729">
          <w:rPr>
            <w:noProof/>
          </w:rPr>
          <w:fldChar w:fldCharType="end"/>
        </w:r>
      </w:hyperlink>
    </w:p>
    <w:p w14:paraId="76D6CA30" w14:textId="39A7891E" w:rsidR="0062768B" w:rsidRDefault="00BA64ED">
      <w:pPr>
        <w:pStyle w:val="10"/>
        <w:rPr>
          <w:rFonts w:ascii="等线" w:eastAsia="等线" w:hAnsi="等线"/>
          <w:noProof/>
          <w:kern w:val="2"/>
          <w:sz w:val="21"/>
          <w:szCs w:val="22"/>
        </w:rPr>
      </w:pPr>
      <w:hyperlink w:anchor="_Toc138063000" w:history="1">
        <w:r w:rsidR="00136729">
          <w:rPr>
            <w:rStyle w:val="af5"/>
            <w:rFonts w:ascii="Arial" w:cs="Arial"/>
            <w:b/>
            <w:noProof/>
          </w:rPr>
          <w:t>第二部分</w:t>
        </w:r>
        <w:r w:rsidR="00136729">
          <w:rPr>
            <w:rStyle w:val="af5"/>
            <w:rFonts w:ascii="Arial" w:cs="Arial"/>
            <w:b/>
            <w:noProof/>
          </w:rPr>
          <w:t xml:space="preserve">  </w:t>
        </w:r>
        <w:r w:rsidR="00136729">
          <w:rPr>
            <w:rStyle w:val="af5"/>
            <w:rFonts w:ascii="Arial" w:cs="Arial"/>
            <w:b/>
            <w:noProof/>
          </w:rPr>
          <w:t>估价对象界定</w:t>
        </w:r>
        <w:r w:rsidR="00136729">
          <w:rPr>
            <w:noProof/>
          </w:rPr>
          <w:tab/>
        </w:r>
        <w:r w:rsidR="00136729">
          <w:rPr>
            <w:noProof/>
          </w:rPr>
          <w:fldChar w:fldCharType="begin"/>
        </w:r>
        <w:r w:rsidR="00136729">
          <w:rPr>
            <w:noProof/>
          </w:rPr>
          <w:instrText xml:space="preserve"> PAGEREF _Toc138063000 \h </w:instrText>
        </w:r>
        <w:r w:rsidR="00136729">
          <w:rPr>
            <w:noProof/>
          </w:rPr>
        </w:r>
        <w:r w:rsidR="00136729">
          <w:rPr>
            <w:noProof/>
          </w:rPr>
          <w:fldChar w:fldCharType="separate"/>
        </w:r>
        <w:r w:rsidR="00821A1F">
          <w:rPr>
            <w:noProof/>
          </w:rPr>
          <w:t>11</w:t>
        </w:r>
        <w:r w:rsidR="00136729">
          <w:rPr>
            <w:noProof/>
          </w:rPr>
          <w:fldChar w:fldCharType="end"/>
        </w:r>
      </w:hyperlink>
    </w:p>
    <w:p w14:paraId="291783E8" w14:textId="2FA2E86B" w:rsidR="0062768B" w:rsidRDefault="00BA64ED">
      <w:pPr>
        <w:pStyle w:val="21"/>
        <w:rPr>
          <w:rFonts w:ascii="等线" w:eastAsia="等线" w:hAnsi="等线"/>
          <w:noProof/>
          <w:kern w:val="2"/>
          <w:sz w:val="21"/>
          <w:szCs w:val="22"/>
        </w:rPr>
      </w:pPr>
      <w:hyperlink w:anchor="_Toc138063001" w:history="1">
        <w:r w:rsidR="00136729">
          <w:rPr>
            <w:rStyle w:val="af5"/>
            <w:rFonts w:ascii="Arial" w:eastAsia="仿宋_GB2312" w:hAnsi="Arial" w:cs="Arial"/>
            <w:b/>
            <w:noProof/>
          </w:rPr>
          <w:t>一、委托估价方</w:t>
        </w:r>
        <w:r w:rsidR="00136729">
          <w:rPr>
            <w:noProof/>
          </w:rPr>
          <w:tab/>
        </w:r>
        <w:r w:rsidR="00136729">
          <w:rPr>
            <w:noProof/>
          </w:rPr>
          <w:fldChar w:fldCharType="begin"/>
        </w:r>
        <w:r w:rsidR="00136729">
          <w:rPr>
            <w:noProof/>
          </w:rPr>
          <w:instrText xml:space="preserve"> PAGEREF _Toc138063001 \h </w:instrText>
        </w:r>
        <w:r w:rsidR="00136729">
          <w:rPr>
            <w:noProof/>
          </w:rPr>
        </w:r>
        <w:r w:rsidR="00136729">
          <w:rPr>
            <w:noProof/>
          </w:rPr>
          <w:fldChar w:fldCharType="separate"/>
        </w:r>
        <w:r w:rsidR="00821A1F">
          <w:rPr>
            <w:noProof/>
          </w:rPr>
          <w:t>11</w:t>
        </w:r>
        <w:r w:rsidR="00136729">
          <w:rPr>
            <w:noProof/>
          </w:rPr>
          <w:fldChar w:fldCharType="end"/>
        </w:r>
      </w:hyperlink>
    </w:p>
    <w:p w14:paraId="062C277D" w14:textId="01D86000" w:rsidR="0062768B" w:rsidRDefault="00BA64ED">
      <w:pPr>
        <w:pStyle w:val="21"/>
        <w:rPr>
          <w:rFonts w:ascii="等线" w:eastAsia="等线" w:hAnsi="等线"/>
          <w:noProof/>
          <w:kern w:val="2"/>
          <w:sz w:val="21"/>
          <w:szCs w:val="22"/>
        </w:rPr>
      </w:pPr>
      <w:hyperlink w:anchor="_Toc138063002" w:history="1">
        <w:r w:rsidR="00136729">
          <w:rPr>
            <w:rStyle w:val="af5"/>
            <w:rFonts w:ascii="Arial" w:eastAsia="仿宋_GB2312" w:hAnsi="Arial" w:cs="Arial"/>
            <w:b/>
            <w:noProof/>
          </w:rPr>
          <w:t>二、估价对象</w:t>
        </w:r>
        <w:r w:rsidR="00136729">
          <w:rPr>
            <w:noProof/>
          </w:rPr>
          <w:tab/>
        </w:r>
        <w:r w:rsidR="00136729">
          <w:rPr>
            <w:noProof/>
          </w:rPr>
          <w:fldChar w:fldCharType="begin"/>
        </w:r>
        <w:r w:rsidR="00136729">
          <w:rPr>
            <w:noProof/>
          </w:rPr>
          <w:instrText xml:space="preserve"> PAGEREF _Toc138063002 \h </w:instrText>
        </w:r>
        <w:r w:rsidR="00136729">
          <w:rPr>
            <w:noProof/>
          </w:rPr>
        </w:r>
        <w:r w:rsidR="00136729">
          <w:rPr>
            <w:noProof/>
          </w:rPr>
          <w:fldChar w:fldCharType="separate"/>
        </w:r>
        <w:r w:rsidR="00821A1F">
          <w:rPr>
            <w:noProof/>
          </w:rPr>
          <w:t>11</w:t>
        </w:r>
        <w:r w:rsidR="00136729">
          <w:rPr>
            <w:noProof/>
          </w:rPr>
          <w:fldChar w:fldCharType="end"/>
        </w:r>
      </w:hyperlink>
    </w:p>
    <w:p w14:paraId="66F38F78" w14:textId="23E6376D" w:rsidR="0062768B" w:rsidRDefault="00BA64ED">
      <w:pPr>
        <w:pStyle w:val="21"/>
        <w:rPr>
          <w:rFonts w:ascii="等线" w:eastAsia="等线" w:hAnsi="等线"/>
          <w:noProof/>
          <w:kern w:val="2"/>
          <w:sz w:val="21"/>
          <w:szCs w:val="22"/>
        </w:rPr>
      </w:pPr>
      <w:hyperlink w:anchor="_Toc138063003" w:history="1">
        <w:r w:rsidR="00136729">
          <w:rPr>
            <w:rStyle w:val="af5"/>
            <w:rFonts w:ascii="Arial" w:eastAsia="仿宋_GB2312" w:hAnsi="Arial" w:cs="Arial"/>
            <w:b/>
            <w:noProof/>
          </w:rPr>
          <w:t>三、估价对象概况</w:t>
        </w:r>
        <w:r w:rsidR="00136729">
          <w:rPr>
            <w:noProof/>
          </w:rPr>
          <w:tab/>
        </w:r>
        <w:r w:rsidR="00136729">
          <w:rPr>
            <w:noProof/>
          </w:rPr>
          <w:fldChar w:fldCharType="begin"/>
        </w:r>
        <w:r w:rsidR="00136729">
          <w:rPr>
            <w:noProof/>
          </w:rPr>
          <w:instrText xml:space="preserve"> PAGEREF _Toc138063003 \h </w:instrText>
        </w:r>
        <w:r w:rsidR="00136729">
          <w:rPr>
            <w:noProof/>
          </w:rPr>
        </w:r>
        <w:r w:rsidR="00136729">
          <w:rPr>
            <w:noProof/>
          </w:rPr>
          <w:fldChar w:fldCharType="separate"/>
        </w:r>
        <w:r w:rsidR="00821A1F">
          <w:rPr>
            <w:noProof/>
          </w:rPr>
          <w:t>12</w:t>
        </w:r>
        <w:r w:rsidR="00136729">
          <w:rPr>
            <w:noProof/>
          </w:rPr>
          <w:fldChar w:fldCharType="end"/>
        </w:r>
      </w:hyperlink>
    </w:p>
    <w:p w14:paraId="28D3DD1D" w14:textId="76FA1448" w:rsidR="0062768B" w:rsidRDefault="00BA64ED">
      <w:pPr>
        <w:pStyle w:val="21"/>
        <w:rPr>
          <w:rFonts w:ascii="等线" w:eastAsia="等线" w:hAnsi="等线"/>
          <w:noProof/>
          <w:kern w:val="2"/>
          <w:sz w:val="21"/>
          <w:szCs w:val="22"/>
        </w:rPr>
      </w:pPr>
      <w:hyperlink w:anchor="_Toc138063004" w:history="1">
        <w:r w:rsidR="00136729">
          <w:rPr>
            <w:rStyle w:val="af5"/>
            <w:rFonts w:ascii="Arial" w:eastAsia="仿宋_GB2312" w:hAnsi="Arial" w:cs="Arial"/>
            <w:b/>
            <w:noProof/>
          </w:rPr>
          <w:t>四、影响地价的因素说明</w:t>
        </w:r>
        <w:r w:rsidR="00136729">
          <w:rPr>
            <w:noProof/>
          </w:rPr>
          <w:tab/>
        </w:r>
        <w:r w:rsidR="00136729">
          <w:rPr>
            <w:noProof/>
          </w:rPr>
          <w:fldChar w:fldCharType="begin"/>
        </w:r>
        <w:r w:rsidR="00136729">
          <w:rPr>
            <w:noProof/>
          </w:rPr>
          <w:instrText xml:space="preserve"> PAGEREF _Toc138063004 \h </w:instrText>
        </w:r>
        <w:r w:rsidR="00136729">
          <w:rPr>
            <w:noProof/>
          </w:rPr>
        </w:r>
        <w:r w:rsidR="00136729">
          <w:rPr>
            <w:noProof/>
          </w:rPr>
          <w:fldChar w:fldCharType="separate"/>
        </w:r>
        <w:r w:rsidR="00821A1F">
          <w:rPr>
            <w:noProof/>
          </w:rPr>
          <w:t>15</w:t>
        </w:r>
        <w:r w:rsidR="00136729">
          <w:rPr>
            <w:noProof/>
          </w:rPr>
          <w:fldChar w:fldCharType="end"/>
        </w:r>
      </w:hyperlink>
    </w:p>
    <w:p w14:paraId="62D6784D" w14:textId="710C9A46" w:rsidR="0062768B" w:rsidRDefault="00BA64ED">
      <w:pPr>
        <w:pStyle w:val="10"/>
        <w:rPr>
          <w:rFonts w:ascii="等线" w:eastAsia="等线" w:hAnsi="等线"/>
          <w:noProof/>
          <w:kern w:val="2"/>
          <w:sz w:val="21"/>
          <w:szCs w:val="22"/>
        </w:rPr>
      </w:pPr>
      <w:hyperlink w:anchor="_Toc138063006" w:history="1">
        <w:r w:rsidR="00136729">
          <w:rPr>
            <w:rStyle w:val="af5"/>
            <w:rFonts w:ascii="Arial" w:cs="Arial"/>
            <w:b/>
            <w:noProof/>
          </w:rPr>
          <w:t>第三部分</w:t>
        </w:r>
        <w:r w:rsidR="00136729">
          <w:rPr>
            <w:rStyle w:val="af5"/>
            <w:rFonts w:ascii="Arial" w:cs="Arial"/>
            <w:b/>
            <w:noProof/>
          </w:rPr>
          <w:t xml:space="preserve">  </w:t>
        </w:r>
        <w:r w:rsidR="00136729">
          <w:rPr>
            <w:rStyle w:val="af5"/>
            <w:rFonts w:ascii="Arial" w:cs="Arial"/>
            <w:b/>
            <w:noProof/>
          </w:rPr>
          <w:t>土地估价结果及其使用</w:t>
        </w:r>
        <w:r w:rsidR="00136729">
          <w:rPr>
            <w:noProof/>
          </w:rPr>
          <w:tab/>
        </w:r>
        <w:r w:rsidR="00136729">
          <w:rPr>
            <w:noProof/>
          </w:rPr>
          <w:fldChar w:fldCharType="begin"/>
        </w:r>
        <w:r w:rsidR="00136729">
          <w:rPr>
            <w:noProof/>
          </w:rPr>
          <w:instrText xml:space="preserve"> PAGEREF _Toc138063006 \h </w:instrText>
        </w:r>
        <w:r w:rsidR="00136729">
          <w:rPr>
            <w:noProof/>
          </w:rPr>
        </w:r>
        <w:r w:rsidR="00136729">
          <w:rPr>
            <w:noProof/>
          </w:rPr>
          <w:fldChar w:fldCharType="separate"/>
        </w:r>
        <w:r w:rsidR="00821A1F">
          <w:rPr>
            <w:noProof/>
          </w:rPr>
          <w:t>33</w:t>
        </w:r>
        <w:r w:rsidR="00136729">
          <w:rPr>
            <w:noProof/>
          </w:rPr>
          <w:fldChar w:fldCharType="end"/>
        </w:r>
      </w:hyperlink>
    </w:p>
    <w:p w14:paraId="58D208D9" w14:textId="639F04F2" w:rsidR="0062768B" w:rsidRDefault="00BA64ED">
      <w:pPr>
        <w:pStyle w:val="21"/>
        <w:rPr>
          <w:rFonts w:ascii="等线" w:eastAsia="等线" w:hAnsi="等线"/>
          <w:noProof/>
          <w:kern w:val="2"/>
          <w:sz w:val="21"/>
          <w:szCs w:val="22"/>
        </w:rPr>
      </w:pPr>
      <w:hyperlink w:anchor="_Toc138063007" w:history="1">
        <w:r w:rsidR="00136729">
          <w:rPr>
            <w:rStyle w:val="af5"/>
            <w:rFonts w:ascii="Arial" w:eastAsia="仿宋_GB2312" w:hAnsi="Arial" w:cs="Arial"/>
            <w:b/>
            <w:noProof/>
          </w:rPr>
          <w:t>一、估价依据</w:t>
        </w:r>
        <w:r w:rsidR="00136729">
          <w:rPr>
            <w:noProof/>
          </w:rPr>
          <w:tab/>
        </w:r>
        <w:r w:rsidR="00136729">
          <w:rPr>
            <w:noProof/>
          </w:rPr>
          <w:fldChar w:fldCharType="begin"/>
        </w:r>
        <w:r w:rsidR="00136729">
          <w:rPr>
            <w:noProof/>
          </w:rPr>
          <w:instrText xml:space="preserve"> PAGEREF _Toc138063007 \h </w:instrText>
        </w:r>
        <w:r w:rsidR="00136729">
          <w:rPr>
            <w:noProof/>
          </w:rPr>
        </w:r>
        <w:r w:rsidR="00136729">
          <w:rPr>
            <w:noProof/>
          </w:rPr>
          <w:fldChar w:fldCharType="separate"/>
        </w:r>
        <w:r w:rsidR="00821A1F">
          <w:rPr>
            <w:noProof/>
          </w:rPr>
          <w:t>33</w:t>
        </w:r>
        <w:r w:rsidR="00136729">
          <w:rPr>
            <w:noProof/>
          </w:rPr>
          <w:fldChar w:fldCharType="end"/>
        </w:r>
      </w:hyperlink>
    </w:p>
    <w:p w14:paraId="0CAA55BC" w14:textId="6167FBE9" w:rsidR="0062768B" w:rsidRDefault="00BA64ED">
      <w:pPr>
        <w:pStyle w:val="21"/>
        <w:rPr>
          <w:rFonts w:ascii="等线" w:eastAsia="等线" w:hAnsi="等线"/>
          <w:noProof/>
          <w:kern w:val="2"/>
          <w:sz w:val="21"/>
          <w:szCs w:val="22"/>
        </w:rPr>
      </w:pPr>
      <w:hyperlink w:anchor="_Toc138063008" w:history="1">
        <w:r w:rsidR="00136729">
          <w:rPr>
            <w:rStyle w:val="af5"/>
            <w:rFonts w:ascii="Arial" w:eastAsia="仿宋_GB2312" w:hAnsi="Arial" w:cs="Arial"/>
            <w:b/>
            <w:noProof/>
          </w:rPr>
          <w:t>二、土地估价</w:t>
        </w:r>
        <w:r w:rsidR="00136729">
          <w:rPr>
            <w:noProof/>
          </w:rPr>
          <w:tab/>
        </w:r>
        <w:r w:rsidR="00136729">
          <w:rPr>
            <w:noProof/>
          </w:rPr>
          <w:fldChar w:fldCharType="begin"/>
        </w:r>
        <w:r w:rsidR="00136729">
          <w:rPr>
            <w:noProof/>
          </w:rPr>
          <w:instrText xml:space="preserve"> PAGEREF _Toc138063008 \h </w:instrText>
        </w:r>
        <w:r w:rsidR="00136729">
          <w:rPr>
            <w:noProof/>
          </w:rPr>
        </w:r>
        <w:r w:rsidR="00136729">
          <w:rPr>
            <w:noProof/>
          </w:rPr>
          <w:fldChar w:fldCharType="separate"/>
        </w:r>
        <w:r w:rsidR="00821A1F">
          <w:rPr>
            <w:noProof/>
          </w:rPr>
          <w:t>38</w:t>
        </w:r>
        <w:r w:rsidR="00136729">
          <w:rPr>
            <w:noProof/>
          </w:rPr>
          <w:fldChar w:fldCharType="end"/>
        </w:r>
      </w:hyperlink>
    </w:p>
    <w:p w14:paraId="7DA7CC29" w14:textId="1A2AE3B1" w:rsidR="0062768B" w:rsidRDefault="00BA64ED">
      <w:pPr>
        <w:pStyle w:val="10"/>
        <w:rPr>
          <w:rFonts w:ascii="Arial" w:cs="Arial"/>
          <w:sz w:val="44"/>
        </w:rPr>
        <w:sectPr w:rsidR="0062768B">
          <w:headerReference w:type="default" r:id="rId16"/>
          <w:footerReference w:type="even" r:id="rId17"/>
          <w:footerReference w:type="default" r:id="rId18"/>
          <w:headerReference w:type="first" r:id="rId19"/>
          <w:footerReference w:type="first" r:id="rId20"/>
          <w:pgSz w:w="11907" w:h="16840"/>
          <w:pgMar w:top="1418" w:right="1418" w:bottom="1134" w:left="1418" w:header="851" w:footer="1134" w:gutter="0"/>
          <w:pgNumType w:start="1"/>
          <w:cols w:space="720"/>
          <w:titlePg/>
        </w:sectPr>
      </w:pPr>
      <w:hyperlink w:anchor="_Toc138063009" w:history="1">
        <w:r w:rsidR="00136729">
          <w:rPr>
            <w:rStyle w:val="af5"/>
            <w:rFonts w:ascii="Arial" w:cs="Arial"/>
            <w:b/>
            <w:noProof/>
          </w:rPr>
          <w:t>第四部分</w:t>
        </w:r>
        <w:r w:rsidR="00136729">
          <w:rPr>
            <w:rStyle w:val="af5"/>
            <w:rFonts w:ascii="Arial" w:cs="Arial"/>
            <w:b/>
            <w:noProof/>
          </w:rPr>
          <w:t xml:space="preserve">  </w:t>
        </w:r>
        <w:r w:rsidR="00136729">
          <w:rPr>
            <w:rStyle w:val="af5"/>
            <w:rFonts w:ascii="Arial" w:cs="Arial"/>
            <w:b/>
            <w:noProof/>
          </w:rPr>
          <w:t>附</w:t>
        </w:r>
        <w:r w:rsidR="00136729">
          <w:rPr>
            <w:rStyle w:val="af5"/>
            <w:rFonts w:ascii="Arial" w:cs="Arial"/>
            <w:b/>
            <w:noProof/>
          </w:rPr>
          <w:t xml:space="preserve">  </w:t>
        </w:r>
        <w:r w:rsidR="00136729">
          <w:rPr>
            <w:rStyle w:val="af5"/>
            <w:rFonts w:ascii="Arial" w:cs="Arial"/>
            <w:b/>
            <w:noProof/>
          </w:rPr>
          <w:t>件</w:t>
        </w:r>
        <w:r w:rsidR="00136729">
          <w:rPr>
            <w:noProof/>
          </w:rPr>
          <w:tab/>
        </w:r>
        <w:r w:rsidR="00136729">
          <w:rPr>
            <w:noProof/>
          </w:rPr>
          <w:fldChar w:fldCharType="begin"/>
        </w:r>
        <w:r w:rsidR="00136729">
          <w:rPr>
            <w:noProof/>
          </w:rPr>
          <w:instrText xml:space="preserve"> PAGEREF _Toc138063009 \h </w:instrText>
        </w:r>
        <w:r w:rsidR="00136729">
          <w:rPr>
            <w:noProof/>
          </w:rPr>
        </w:r>
        <w:r w:rsidR="00136729">
          <w:rPr>
            <w:noProof/>
          </w:rPr>
          <w:fldChar w:fldCharType="separate"/>
        </w:r>
        <w:r w:rsidR="00821A1F">
          <w:rPr>
            <w:noProof/>
          </w:rPr>
          <w:t>53</w:t>
        </w:r>
        <w:r w:rsidR="00136729">
          <w:rPr>
            <w:noProof/>
          </w:rPr>
          <w:fldChar w:fldCharType="end"/>
        </w:r>
      </w:hyperlink>
      <w:r w:rsidR="00136729">
        <w:rPr>
          <w:rFonts w:ascii="仿宋" w:eastAsia="仿宋" w:cs="Arial"/>
        </w:rPr>
        <w:fldChar w:fldCharType="end"/>
      </w:r>
    </w:p>
    <w:p w14:paraId="295029F2" w14:textId="77777777" w:rsidR="0062768B" w:rsidRDefault="00136729">
      <w:pPr>
        <w:spacing w:line="300" w:lineRule="auto"/>
        <w:jc w:val="center"/>
        <w:rPr>
          <w:rFonts w:ascii="Arial" w:hAnsi="Arial" w:cs="Arial"/>
          <w:b/>
          <w:sz w:val="32"/>
        </w:rPr>
      </w:pPr>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p>
    <w:p w14:paraId="0365F5DF" w14:textId="77777777" w:rsidR="0062768B" w:rsidRDefault="0062768B">
      <w:pPr>
        <w:spacing w:line="300" w:lineRule="auto"/>
        <w:rPr>
          <w:rFonts w:ascii="Arial" w:eastAsia="楷体_GB2312" w:hAnsi="Arial" w:cs="Arial"/>
          <w:b/>
          <w:sz w:val="32"/>
        </w:rPr>
      </w:pPr>
    </w:p>
    <w:p w14:paraId="79960E07" w14:textId="77777777" w:rsidR="0062768B" w:rsidRDefault="00136729">
      <w:pPr>
        <w:tabs>
          <w:tab w:val="center" w:pos="4332"/>
          <w:tab w:val="right" w:pos="8664"/>
        </w:tabs>
        <w:spacing w:line="300" w:lineRule="auto"/>
        <w:outlineLvl w:val="0"/>
        <w:rPr>
          <w:rFonts w:ascii="Arial" w:hAnsi="Arial" w:cs="Arial"/>
          <w:sz w:val="32"/>
        </w:rPr>
      </w:pPr>
      <w:bookmarkStart w:id="3" w:name="_Toc418750878"/>
      <w:bookmarkStart w:id="4" w:name="_Toc416783516"/>
      <w:r>
        <w:rPr>
          <w:rFonts w:ascii="Arial" w:hAnsi="Arial" w:cs="Arial"/>
          <w:b/>
          <w:sz w:val="32"/>
        </w:rPr>
        <w:tab/>
      </w:r>
      <w:bookmarkStart w:id="5" w:name="_Toc132016719"/>
      <w:bookmarkStart w:id="6" w:name="_Toc531701548"/>
      <w:bookmarkStart w:id="7" w:name="_Toc520261123"/>
      <w:bookmarkStart w:id="8" w:name="_Toc469066300"/>
      <w:bookmarkStart w:id="9" w:name="_Toc138062989"/>
      <w:bookmarkStart w:id="10" w:name="_Toc425250300"/>
      <w:r>
        <w:rPr>
          <w:rFonts w:ascii="Arial" w:hAnsi="Arial" w:cs="Arial"/>
          <w:b/>
          <w:sz w:val="32"/>
        </w:rPr>
        <w:t>第一部分</w:t>
      </w:r>
      <w:r>
        <w:rPr>
          <w:rFonts w:ascii="Arial" w:eastAsia="仿宋_GB2312" w:hAnsi="Arial" w:cs="Arial"/>
          <w:b/>
          <w:sz w:val="32"/>
        </w:rPr>
        <w:t xml:space="preserve">  </w:t>
      </w:r>
      <w:r>
        <w:rPr>
          <w:rFonts w:ascii="Arial" w:hAnsi="Arial" w:cs="Arial"/>
          <w:b/>
          <w:sz w:val="32"/>
        </w:rPr>
        <w:t>摘</w:t>
      </w:r>
      <w:r>
        <w:rPr>
          <w:rFonts w:ascii="Arial" w:eastAsia="仿宋_GB2312" w:hAnsi="Arial" w:cs="Arial"/>
          <w:b/>
          <w:sz w:val="32"/>
        </w:rPr>
        <w:t xml:space="preserve">  </w:t>
      </w:r>
      <w:r>
        <w:rPr>
          <w:rFonts w:ascii="Arial" w:hAnsi="Arial" w:cs="Arial"/>
          <w:b/>
          <w:sz w:val="32"/>
        </w:rPr>
        <w:t>要</w:t>
      </w:r>
      <w:bookmarkEnd w:id="3"/>
      <w:bookmarkEnd w:id="4"/>
      <w:bookmarkEnd w:id="5"/>
      <w:bookmarkEnd w:id="6"/>
      <w:bookmarkEnd w:id="7"/>
      <w:bookmarkEnd w:id="8"/>
      <w:bookmarkEnd w:id="9"/>
      <w:bookmarkEnd w:id="10"/>
      <w:r>
        <w:rPr>
          <w:rFonts w:ascii="Arial" w:hAnsi="Arial" w:cs="Arial"/>
          <w:b/>
          <w:sz w:val="32"/>
        </w:rPr>
        <w:tab/>
      </w:r>
    </w:p>
    <w:p w14:paraId="0CA50E38" w14:textId="77777777" w:rsidR="0062768B" w:rsidRDefault="0062768B">
      <w:pPr>
        <w:spacing w:line="300" w:lineRule="auto"/>
        <w:rPr>
          <w:rFonts w:ascii="Arial" w:eastAsia="仿宋_GB2312" w:hAnsi="Arial" w:cs="Arial"/>
          <w:sz w:val="28"/>
        </w:rPr>
      </w:pPr>
    </w:p>
    <w:p w14:paraId="331F2E92" w14:textId="77777777" w:rsidR="0062768B" w:rsidRDefault="00136729">
      <w:pPr>
        <w:spacing w:line="300" w:lineRule="auto"/>
        <w:jc w:val="both"/>
        <w:outlineLvl w:val="1"/>
        <w:rPr>
          <w:rFonts w:ascii="Arial" w:eastAsia="仿宋_GB2312" w:hAnsi="Arial" w:cs="Arial"/>
          <w:b/>
          <w:bCs/>
          <w:sz w:val="28"/>
        </w:rPr>
      </w:pPr>
      <w:bookmarkStart w:id="11" w:name="_Toc138062990"/>
      <w:r>
        <w:rPr>
          <w:rFonts w:ascii="Arial" w:eastAsia="仿宋_GB2312" w:hAnsi="Arial" w:cs="Arial"/>
          <w:b/>
          <w:bCs/>
          <w:sz w:val="28"/>
        </w:rPr>
        <w:t>一、估价项目名称</w:t>
      </w:r>
      <w:bookmarkEnd w:id="11"/>
    </w:p>
    <w:p w14:paraId="4E4A61AB"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北京市顺义区高丽营镇夏县营村</w:t>
      </w:r>
      <w:r>
        <w:rPr>
          <w:rFonts w:ascii="Arial" w:eastAsia="仿宋_GB2312" w:hAnsi="Arial" w:cs="Arial" w:hint="eastAsia"/>
          <w:sz w:val="28"/>
        </w:rPr>
        <w:t>01-008</w:t>
      </w:r>
      <w:r>
        <w:rPr>
          <w:rFonts w:ascii="Arial" w:eastAsia="仿宋_GB2312" w:hAnsi="Arial" w:cs="Arial" w:hint="eastAsia"/>
          <w:sz w:val="28"/>
        </w:rPr>
        <w:t>、</w:t>
      </w:r>
      <w:r>
        <w:rPr>
          <w:rFonts w:ascii="Arial" w:eastAsia="仿宋_GB2312" w:hAnsi="Arial" w:cs="Arial" w:hint="eastAsia"/>
          <w:sz w:val="28"/>
        </w:rPr>
        <w:t>01-016</w:t>
      </w:r>
      <w:r>
        <w:rPr>
          <w:rFonts w:ascii="Arial" w:eastAsia="仿宋_GB2312" w:hAnsi="Arial" w:cs="Arial" w:hint="eastAsia"/>
          <w:sz w:val="28"/>
        </w:rPr>
        <w:t>、</w:t>
      </w:r>
      <w:r>
        <w:rPr>
          <w:rFonts w:ascii="Arial" w:eastAsia="仿宋_GB2312" w:hAnsi="Arial" w:cs="Arial" w:hint="eastAsia"/>
          <w:sz w:val="28"/>
        </w:rPr>
        <w:t>01-026-1</w:t>
      </w:r>
      <w:r>
        <w:rPr>
          <w:rFonts w:ascii="Arial" w:eastAsia="仿宋_GB2312" w:hAnsi="Arial" w:cs="Arial" w:hint="eastAsia"/>
          <w:sz w:val="28"/>
        </w:rPr>
        <w:t>地块</w:t>
      </w:r>
      <w:r>
        <w:rPr>
          <w:rFonts w:ascii="Arial" w:eastAsia="仿宋_GB2312" w:hAnsi="Arial" w:cs="Arial" w:hint="eastAsia"/>
          <w:sz w:val="28"/>
        </w:rPr>
        <w:t>R2</w:t>
      </w:r>
      <w:proofErr w:type="gramStart"/>
      <w:r>
        <w:rPr>
          <w:rFonts w:ascii="Arial" w:eastAsia="仿宋_GB2312" w:hAnsi="Arial" w:cs="Arial" w:hint="eastAsia"/>
          <w:sz w:val="28"/>
        </w:rPr>
        <w:t>二</w:t>
      </w:r>
      <w:proofErr w:type="gramEnd"/>
      <w:r>
        <w:rPr>
          <w:rFonts w:ascii="Arial" w:eastAsia="仿宋_GB2312" w:hAnsi="Arial" w:cs="Arial" w:hint="eastAsia"/>
          <w:sz w:val="28"/>
        </w:rPr>
        <w:t>类居住用地及</w:t>
      </w:r>
      <w:r>
        <w:rPr>
          <w:rFonts w:ascii="Arial" w:eastAsia="仿宋_GB2312" w:hAnsi="Arial" w:cs="Arial" w:hint="eastAsia"/>
          <w:sz w:val="28"/>
        </w:rPr>
        <w:t>01-020</w:t>
      </w:r>
      <w:r>
        <w:rPr>
          <w:rFonts w:ascii="Arial" w:eastAsia="仿宋_GB2312" w:hAnsi="Arial" w:cs="Arial" w:hint="eastAsia"/>
          <w:sz w:val="28"/>
        </w:rPr>
        <w:t>地块</w:t>
      </w:r>
      <w:r>
        <w:rPr>
          <w:rFonts w:ascii="Arial" w:eastAsia="仿宋_GB2312" w:hAnsi="Arial" w:cs="Arial" w:hint="eastAsia"/>
          <w:sz w:val="28"/>
        </w:rPr>
        <w:t>A334</w:t>
      </w:r>
      <w:r>
        <w:rPr>
          <w:rFonts w:ascii="Arial" w:eastAsia="仿宋_GB2312" w:hAnsi="Arial" w:cs="Arial" w:hint="eastAsia"/>
          <w:sz w:val="28"/>
        </w:rPr>
        <w:t>托幼用地项目</w:t>
      </w:r>
      <w:r>
        <w:rPr>
          <w:rFonts w:ascii="Arial" w:eastAsia="仿宋_GB2312" w:hAnsi="Arial" w:cs="Arial"/>
          <w:sz w:val="28"/>
        </w:rPr>
        <w:t>国有建设用地使用权出让价格评估</w:t>
      </w:r>
    </w:p>
    <w:p w14:paraId="1691B3AB" w14:textId="77777777" w:rsidR="0062768B" w:rsidRDefault="0062768B">
      <w:pPr>
        <w:spacing w:line="300" w:lineRule="auto"/>
        <w:jc w:val="both"/>
        <w:rPr>
          <w:rFonts w:ascii="Arial" w:eastAsia="仿宋_GB2312" w:hAnsi="Arial" w:cs="Arial"/>
          <w:b/>
          <w:bCs/>
          <w:sz w:val="28"/>
        </w:rPr>
      </w:pPr>
    </w:p>
    <w:p w14:paraId="6EA652BA" w14:textId="77777777" w:rsidR="0062768B" w:rsidRDefault="00136729">
      <w:pPr>
        <w:spacing w:line="300" w:lineRule="auto"/>
        <w:jc w:val="both"/>
        <w:outlineLvl w:val="1"/>
        <w:rPr>
          <w:rFonts w:ascii="Arial" w:eastAsia="仿宋_GB2312" w:hAnsi="Arial" w:cs="Arial"/>
          <w:b/>
          <w:bCs/>
          <w:sz w:val="28"/>
        </w:rPr>
      </w:pPr>
      <w:bookmarkStart w:id="12" w:name="_Toc418750880"/>
      <w:bookmarkStart w:id="13" w:name="_Toc138062991"/>
      <w:bookmarkStart w:id="14" w:name="_Toc531701550"/>
      <w:bookmarkStart w:id="15" w:name="_Toc132016721"/>
      <w:bookmarkStart w:id="16" w:name="_Toc425250302"/>
      <w:bookmarkStart w:id="17" w:name="_Toc515261586"/>
      <w:bookmarkStart w:id="18" w:name="_Toc515458359"/>
      <w:bookmarkStart w:id="19" w:name="_Toc520261125"/>
      <w:bookmarkStart w:id="20" w:name="_Toc416783518"/>
      <w:bookmarkStart w:id="21" w:name="_Toc469066302"/>
      <w:r>
        <w:rPr>
          <w:rFonts w:ascii="Arial" w:eastAsia="仿宋_GB2312" w:hAnsi="Arial" w:cs="Arial"/>
          <w:b/>
          <w:bCs/>
          <w:sz w:val="28"/>
        </w:rPr>
        <w:t>二、委托估价方</w:t>
      </w:r>
      <w:bookmarkEnd w:id="12"/>
      <w:bookmarkEnd w:id="13"/>
      <w:bookmarkEnd w:id="14"/>
      <w:bookmarkEnd w:id="15"/>
      <w:bookmarkEnd w:id="16"/>
      <w:bookmarkEnd w:id="17"/>
      <w:bookmarkEnd w:id="18"/>
      <w:bookmarkEnd w:id="19"/>
      <w:bookmarkEnd w:id="20"/>
      <w:bookmarkEnd w:id="21"/>
    </w:p>
    <w:p w14:paraId="7DC09ED4" w14:textId="77777777" w:rsidR="0062768B" w:rsidRDefault="00136729">
      <w:pPr>
        <w:spacing w:line="300" w:lineRule="auto"/>
        <w:ind w:firstLineChars="200" w:firstLine="560"/>
        <w:jc w:val="both"/>
        <w:rPr>
          <w:rFonts w:ascii="Arial" w:eastAsia="仿宋_GB2312" w:hAnsi="Arial" w:cs="Arial"/>
          <w:bCs/>
          <w:sz w:val="28"/>
        </w:rPr>
      </w:pPr>
      <w:r>
        <w:rPr>
          <w:rFonts w:ascii="Arial" w:eastAsia="仿宋" w:hAnsi="Arial" w:cs="Arial" w:hint="eastAsia"/>
          <w:bCs/>
          <w:sz w:val="28"/>
          <w:szCs w:val="28"/>
        </w:rPr>
        <w:t>北京市</w:t>
      </w:r>
      <w:r>
        <w:rPr>
          <w:rFonts w:ascii="Arial" w:eastAsia="仿宋" w:hAnsi="Arial" w:cs="Arial"/>
          <w:bCs/>
          <w:sz w:val="28"/>
          <w:szCs w:val="28"/>
        </w:rPr>
        <w:t>规划和自然资源委员会</w:t>
      </w:r>
    </w:p>
    <w:p w14:paraId="619A358E" w14:textId="77777777" w:rsidR="0062768B" w:rsidRDefault="0062768B">
      <w:pPr>
        <w:spacing w:line="300" w:lineRule="auto"/>
        <w:ind w:left="1" w:right="-85" w:firstLineChars="200" w:firstLine="562"/>
        <w:jc w:val="both"/>
        <w:rPr>
          <w:rFonts w:ascii="Arial" w:eastAsia="仿宋_GB2312" w:hAnsi="Arial" w:cs="Arial"/>
          <w:b/>
          <w:bCs/>
          <w:sz w:val="28"/>
        </w:rPr>
      </w:pPr>
    </w:p>
    <w:p w14:paraId="7405833E" w14:textId="77777777" w:rsidR="0062768B" w:rsidRDefault="00136729">
      <w:pPr>
        <w:spacing w:line="300" w:lineRule="auto"/>
        <w:jc w:val="both"/>
        <w:outlineLvl w:val="1"/>
        <w:rPr>
          <w:rFonts w:ascii="Arial" w:eastAsia="仿宋_GB2312" w:hAnsi="Arial" w:cs="Arial"/>
          <w:b/>
          <w:bCs/>
          <w:sz w:val="28"/>
        </w:rPr>
      </w:pPr>
      <w:bookmarkStart w:id="22" w:name="_Toc515458360"/>
      <w:bookmarkStart w:id="23" w:name="_Toc418750881"/>
      <w:bookmarkStart w:id="24" w:name="_Toc469066303"/>
      <w:bookmarkStart w:id="25" w:name="_Toc425250303"/>
      <w:bookmarkStart w:id="26" w:name="_Toc132016722"/>
      <w:bookmarkStart w:id="27" w:name="_Toc515261587"/>
      <w:bookmarkStart w:id="28" w:name="_Toc138062992"/>
      <w:bookmarkStart w:id="29" w:name="_Toc416783519"/>
      <w:bookmarkStart w:id="30" w:name="_Toc531701551"/>
      <w:bookmarkStart w:id="31" w:name="_Toc520261126"/>
      <w:r>
        <w:rPr>
          <w:rFonts w:ascii="Arial" w:eastAsia="仿宋_GB2312" w:hAnsi="Arial" w:cs="Arial"/>
          <w:b/>
          <w:bCs/>
          <w:sz w:val="28"/>
        </w:rPr>
        <w:t>三、估价目的</w:t>
      </w:r>
      <w:bookmarkEnd w:id="22"/>
      <w:bookmarkEnd w:id="23"/>
      <w:bookmarkEnd w:id="24"/>
      <w:bookmarkEnd w:id="25"/>
      <w:bookmarkEnd w:id="26"/>
      <w:bookmarkEnd w:id="27"/>
      <w:bookmarkEnd w:id="28"/>
      <w:bookmarkEnd w:id="29"/>
      <w:bookmarkEnd w:id="30"/>
      <w:bookmarkEnd w:id="31"/>
    </w:p>
    <w:p w14:paraId="1288C8A1"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w:t>
      </w:r>
      <w:r>
        <w:rPr>
          <w:rFonts w:ascii="Arial" w:eastAsia="仿宋" w:hAnsi="Arial" w:cs="Arial"/>
          <w:sz w:val="28"/>
        </w:rPr>
        <w:t>北京市顺义区高丽营镇夏县营村</w:t>
      </w:r>
      <w:r>
        <w:rPr>
          <w:rFonts w:ascii="Arial" w:eastAsia="仿宋" w:hAnsi="Arial" w:cs="Arial"/>
          <w:sz w:val="28"/>
        </w:rPr>
        <w:t>01-008</w:t>
      </w:r>
      <w:r>
        <w:rPr>
          <w:rFonts w:ascii="Arial" w:eastAsia="仿宋" w:hAnsi="Arial" w:cs="Arial"/>
          <w:sz w:val="28"/>
        </w:rPr>
        <w:t>等</w:t>
      </w:r>
      <w:r>
        <w:rPr>
          <w:rFonts w:ascii="Arial" w:eastAsia="仿宋" w:hAnsi="Arial" w:cs="Arial"/>
          <w:sz w:val="28"/>
          <w:szCs w:val="28"/>
        </w:rPr>
        <w:t>地块位于</w:t>
      </w:r>
      <w:r>
        <w:rPr>
          <w:rFonts w:ascii="Arial" w:eastAsia="仿宋" w:hAnsi="Arial" w:cs="Arial"/>
          <w:sz w:val="28"/>
        </w:rPr>
        <w:t>顺义</w:t>
      </w:r>
      <w:r>
        <w:rPr>
          <w:rFonts w:ascii="Arial" w:eastAsia="仿宋" w:hAnsi="Arial" w:cs="Arial"/>
          <w:sz w:val="28"/>
          <w:szCs w:val="28"/>
        </w:rPr>
        <w:t>区</w:t>
      </w:r>
      <w:r>
        <w:rPr>
          <w:rFonts w:ascii="Arial" w:eastAsia="仿宋" w:hAnsi="Arial" w:cs="Arial"/>
          <w:sz w:val="28"/>
        </w:rPr>
        <w:t>高丽营</w:t>
      </w:r>
      <w:r>
        <w:rPr>
          <w:rFonts w:ascii="Arial" w:eastAsia="仿宋" w:hAnsi="Arial" w:cs="Arial"/>
          <w:sz w:val="28"/>
          <w:szCs w:val="28"/>
        </w:rPr>
        <w:t>镇夏县营村，东至</w:t>
      </w:r>
      <w:proofErr w:type="gramStart"/>
      <w:r>
        <w:rPr>
          <w:rFonts w:ascii="Arial" w:eastAsia="仿宋" w:hAnsi="Arial" w:cs="Arial"/>
          <w:sz w:val="28"/>
          <w:szCs w:val="28"/>
        </w:rPr>
        <w:t>火寺路</w:t>
      </w:r>
      <w:proofErr w:type="gramEnd"/>
      <w:r>
        <w:rPr>
          <w:rFonts w:ascii="Arial" w:eastAsia="仿宋" w:hAnsi="Arial" w:cs="Arial"/>
          <w:sz w:val="28"/>
          <w:szCs w:val="28"/>
        </w:rPr>
        <w:t>，</w:t>
      </w:r>
      <w:proofErr w:type="gramStart"/>
      <w:r>
        <w:rPr>
          <w:rFonts w:ascii="Arial" w:eastAsia="仿宋" w:hAnsi="Arial" w:cs="Arial"/>
          <w:sz w:val="28"/>
          <w:szCs w:val="28"/>
        </w:rPr>
        <w:t>西至喜行路</w:t>
      </w:r>
      <w:proofErr w:type="gramEnd"/>
      <w:r>
        <w:rPr>
          <w:rFonts w:ascii="Arial" w:eastAsia="仿宋" w:hAnsi="Arial" w:cs="Arial"/>
          <w:sz w:val="28"/>
          <w:szCs w:val="28"/>
        </w:rPr>
        <w:t>，南</w:t>
      </w:r>
      <w:proofErr w:type="gramStart"/>
      <w:r>
        <w:rPr>
          <w:rFonts w:ascii="Arial" w:eastAsia="仿宋" w:hAnsi="Arial" w:cs="Arial"/>
          <w:sz w:val="28"/>
          <w:szCs w:val="28"/>
        </w:rPr>
        <w:t>至丽喜花园</w:t>
      </w:r>
      <w:proofErr w:type="gramEnd"/>
      <w:r>
        <w:rPr>
          <w:rFonts w:ascii="Arial" w:eastAsia="仿宋" w:hAnsi="Arial" w:cs="Arial"/>
          <w:sz w:val="28"/>
          <w:szCs w:val="28"/>
        </w:rPr>
        <w:t>，北至</w:t>
      </w:r>
      <w:proofErr w:type="gramStart"/>
      <w:r>
        <w:rPr>
          <w:rFonts w:ascii="Arial" w:eastAsia="仿宋" w:hAnsi="Arial" w:cs="Arial"/>
          <w:sz w:val="28"/>
          <w:szCs w:val="28"/>
        </w:rPr>
        <w:t>鑫</w:t>
      </w:r>
      <w:proofErr w:type="gramEnd"/>
      <w:r>
        <w:rPr>
          <w:rFonts w:ascii="Arial" w:eastAsia="仿宋" w:hAnsi="Arial" w:cs="Arial"/>
          <w:sz w:val="28"/>
          <w:szCs w:val="28"/>
        </w:rPr>
        <w:t>鼎街。该宗地已取得</w:t>
      </w:r>
      <w:r>
        <w:rPr>
          <w:rFonts w:ascii="Arial" w:eastAsia="仿宋" w:hAnsi="Arial" w:cs="Arial"/>
          <w:sz w:val="28"/>
        </w:rPr>
        <w:t>《北京市人民政府关于顺义区二〇二〇年度批次建设用地的批复》（</w:t>
      </w:r>
      <w:proofErr w:type="gramStart"/>
      <w:r>
        <w:rPr>
          <w:rFonts w:ascii="Arial" w:eastAsia="仿宋" w:hAnsi="Arial" w:cs="Arial"/>
          <w:sz w:val="28"/>
        </w:rPr>
        <w:t>京政地字</w:t>
      </w:r>
      <w:proofErr w:type="gramEnd"/>
      <w:r>
        <w:rPr>
          <w:rFonts w:ascii="Arial" w:eastAsia="仿宋" w:hAnsi="Arial" w:cs="Arial"/>
          <w:sz w:val="28"/>
        </w:rPr>
        <w:t>【</w:t>
      </w:r>
      <w:r>
        <w:rPr>
          <w:rFonts w:ascii="Arial" w:eastAsia="仿宋" w:hAnsi="Arial" w:cs="Arial"/>
          <w:sz w:val="28"/>
        </w:rPr>
        <w:t>2020</w:t>
      </w:r>
      <w:r>
        <w:rPr>
          <w:rFonts w:ascii="Arial" w:eastAsia="仿宋" w:hAnsi="Arial" w:cs="Arial"/>
          <w:sz w:val="28"/>
        </w:rPr>
        <w:t>】</w:t>
      </w:r>
      <w:r>
        <w:rPr>
          <w:rFonts w:ascii="Arial" w:eastAsia="仿宋" w:hAnsi="Arial" w:cs="Arial"/>
          <w:sz w:val="28"/>
        </w:rPr>
        <w:t>121</w:t>
      </w:r>
      <w:r>
        <w:rPr>
          <w:rFonts w:ascii="Arial" w:eastAsia="仿宋" w:hAnsi="Arial" w:cs="Arial"/>
          <w:sz w:val="28"/>
        </w:rPr>
        <w:t>号）</w:t>
      </w:r>
      <w:r>
        <w:rPr>
          <w:rFonts w:ascii="Arial" w:eastAsia="仿宋" w:hAnsi="Arial" w:cs="Arial"/>
          <w:sz w:val="28"/>
          <w:szCs w:val="28"/>
        </w:rPr>
        <w:t>，同意</w:t>
      </w:r>
      <w:r>
        <w:rPr>
          <w:rFonts w:ascii="Arial" w:eastAsia="仿宋" w:hAnsi="Arial" w:cs="Arial"/>
          <w:sz w:val="28"/>
        </w:rPr>
        <w:t>北京中交城市开发有限公司</w:t>
      </w:r>
      <w:r>
        <w:rPr>
          <w:rFonts w:ascii="Arial" w:eastAsia="仿宋" w:hAnsi="Arial" w:cs="Arial"/>
          <w:sz w:val="28"/>
          <w:szCs w:val="28"/>
        </w:rPr>
        <w:t>实施</w:t>
      </w:r>
      <w:r>
        <w:rPr>
          <w:rFonts w:ascii="Arial" w:eastAsia="仿宋" w:hAnsi="Arial" w:cs="Arial"/>
          <w:sz w:val="28"/>
        </w:rPr>
        <w:t>顺义</w:t>
      </w:r>
      <w:r>
        <w:rPr>
          <w:rFonts w:ascii="Arial" w:eastAsia="仿宋" w:hAnsi="Arial" w:cs="Arial"/>
          <w:sz w:val="28"/>
          <w:szCs w:val="28"/>
        </w:rPr>
        <w:t>区高丽营镇夏县营村棚户区</w:t>
      </w:r>
      <w:r>
        <w:rPr>
          <w:rFonts w:ascii="Arial" w:eastAsia="仿宋" w:hAnsi="Arial" w:cs="Arial"/>
          <w:sz w:val="28"/>
        </w:rPr>
        <w:t>改造土地开发项目</w:t>
      </w:r>
      <w:r>
        <w:rPr>
          <w:rFonts w:ascii="Arial" w:eastAsia="仿宋" w:hAnsi="Arial" w:cs="Arial"/>
          <w:sz w:val="28"/>
          <w:szCs w:val="28"/>
        </w:rPr>
        <w:t>，其中经营性建设用地入市公开交易。根据《北京市规划和自然资源委员会顺义分局关于顺义区高丽营镇夏县营村棚户区改造土地开发项目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01-015-1</w:t>
      </w:r>
      <w:r>
        <w:rPr>
          <w:rFonts w:ascii="Arial" w:eastAsia="仿宋" w:hAnsi="Arial" w:cs="Arial"/>
          <w:sz w:val="28"/>
          <w:szCs w:val="28"/>
        </w:rPr>
        <w:t>、</w:t>
      </w:r>
      <w:r>
        <w:rPr>
          <w:rFonts w:ascii="Arial" w:eastAsia="仿宋" w:hAnsi="Arial" w:cs="Arial"/>
          <w:sz w:val="28"/>
          <w:szCs w:val="28"/>
        </w:rPr>
        <w:t>01-015-2</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w:t>
      </w:r>
      <w:r>
        <w:rPr>
          <w:rFonts w:ascii="Arial" w:eastAsia="仿宋" w:hAnsi="Arial" w:cs="Arial"/>
          <w:sz w:val="28"/>
          <w:szCs w:val="28"/>
        </w:rPr>
        <w:t>01-025</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等二类居住用地、托幼用地、商业用地地块</w:t>
      </w:r>
      <w:r>
        <w:rPr>
          <w:rFonts w:ascii="Arial" w:eastAsia="仿宋" w:hAnsi="Arial" w:cs="Arial"/>
          <w:sz w:val="28"/>
          <w:szCs w:val="28"/>
        </w:rPr>
        <w:t>“</w:t>
      </w:r>
      <w:r>
        <w:rPr>
          <w:rFonts w:ascii="Arial" w:eastAsia="仿宋" w:hAnsi="Arial" w:cs="Arial"/>
          <w:sz w:val="28"/>
          <w:szCs w:val="28"/>
        </w:rPr>
        <w:t>多规合一</w:t>
      </w:r>
      <w:r>
        <w:rPr>
          <w:rFonts w:ascii="Arial" w:eastAsia="仿宋" w:hAnsi="Arial" w:cs="Arial"/>
          <w:sz w:val="28"/>
          <w:szCs w:val="28"/>
        </w:rPr>
        <w:t>”</w:t>
      </w:r>
      <w:r>
        <w:rPr>
          <w:rFonts w:ascii="Arial" w:eastAsia="仿宋" w:hAnsi="Arial" w:cs="Arial"/>
          <w:sz w:val="28"/>
          <w:szCs w:val="28"/>
        </w:rPr>
        <w:t>协同平台供地审核意见的函》（京</w:t>
      </w:r>
      <w:proofErr w:type="gramStart"/>
      <w:r>
        <w:rPr>
          <w:rFonts w:ascii="Arial" w:eastAsia="仿宋" w:hAnsi="Arial" w:cs="Arial"/>
          <w:sz w:val="28"/>
          <w:szCs w:val="28"/>
        </w:rPr>
        <w:t>规</w:t>
      </w:r>
      <w:proofErr w:type="gramEnd"/>
      <w:r>
        <w:rPr>
          <w:rFonts w:ascii="Arial" w:eastAsia="仿宋" w:hAnsi="Arial" w:cs="Arial"/>
          <w:sz w:val="28"/>
          <w:szCs w:val="28"/>
        </w:rPr>
        <w:t>自（顺）</w:t>
      </w:r>
      <w:proofErr w:type="gramStart"/>
      <w:r>
        <w:rPr>
          <w:rFonts w:ascii="Arial" w:eastAsia="仿宋" w:hAnsi="Arial" w:cs="Arial"/>
          <w:sz w:val="28"/>
          <w:szCs w:val="28"/>
        </w:rPr>
        <w:t>供审函</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0004</w:t>
      </w:r>
      <w:r>
        <w:rPr>
          <w:rFonts w:ascii="Arial" w:eastAsia="仿宋" w:hAnsi="Arial" w:cs="Arial"/>
          <w:sz w:val="28"/>
          <w:szCs w:val="28"/>
        </w:rPr>
        <w:t>号）</w:t>
      </w:r>
      <w:r>
        <w:rPr>
          <w:rFonts w:ascii="Arial" w:eastAsia="仿宋" w:hAnsi="Arial" w:cs="Arial"/>
          <w:sz w:val="28"/>
          <w:szCs w:val="28"/>
        </w:rPr>
        <w:t>,</w:t>
      </w:r>
      <w:r>
        <w:rPr>
          <w:rFonts w:ascii="Arial" w:eastAsia="仿宋" w:hAnsi="Arial" w:cs="Arial"/>
          <w:sz w:val="28"/>
          <w:szCs w:val="28"/>
        </w:rPr>
        <w:t>估价对象规划建设用地性质为</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类居住用地及</w:t>
      </w:r>
      <w:r>
        <w:rPr>
          <w:rFonts w:ascii="Arial" w:eastAsia="仿宋" w:hAnsi="Arial" w:cs="Arial"/>
          <w:sz w:val="28"/>
        </w:rPr>
        <w:t>A334</w:t>
      </w:r>
      <w:r>
        <w:rPr>
          <w:rFonts w:ascii="Arial" w:eastAsia="仿宋" w:hAnsi="Arial" w:cs="Arial"/>
          <w:sz w:val="28"/>
        </w:rPr>
        <w:t>托幼</w:t>
      </w:r>
      <w:r>
        <w:rPr>
          <w:rFonts w:ascii="Arial" w:eastAsia="仿宋" w:hAnsi="Arial" w:cs="Arial"/>
          <w:sz w:val="28"/>
          <w:szCs w:val="28"/>
        </w:rPr>
        <w:t>用地，</w:t>
      </w:r>
      <w:r>
        <w:rPr>
          <w:rFonts w:ascii="Arial" w:eastAsia="仿宋" w:hAnsi="Arial" w:cs="Arial"/>
          <w:bCs/>
          <w:sz w:val="28"/>
          <w:szCs w:val="28"/>
        </w:rPr>
        <w:t>北京市规划和自然资源委员会</w:t>
      </w:r>
      <w:proofErr w:type="gramStart"/>
      <w:r>
        <w:rPr>
          <w:rFonts w:ascii="Arial" w:eastAsia="仿宋" w:hAnsi="Arial" w:cs="Arial"/>
          <w:sz w:val="28"/>
          <w:szCs w:val="28"/>
        </w:rPr>
        <w:t>拟按照</w:t>
      </w:r>
      <w:proofErr w:type="gramEnd"/>
      <w:r>
        <w:rPr>
          <w:rFonts w:ascii="Arial" w:eastAsia="仿宋" w:hAnsi="Arial" w:cs="Arial"/>
          <w:sz w:val="28"/>
          <w:szCs w:val="28"/>
        </w:rPr>
        <w:t>规划用途对估价对象实施挂牌供应。</w:t>
      </w:r>
    </w:p>
    <w:p w14:paraId="24857991"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 w:hAnsi="Arial" w:cs="Arial"/>
          <w:sz w:val="28"/>
        </w:rPr>
        <w:t>根据《招标拍卖挂牌出让国有建设用地使用权规定》（国土资源部令第</w:t>
      </w:r>
      <w:r>
        <w:rPr>
          <w:rFonts w:ascii="Arial" w:eastAsia="仿宋" w:hAnsi="Arial" w:cs="Arial"/>
          <w:sz w:val="28"/>
        </w:rPr>
        <w:t>39</w:t>
      </w:r>
      <w:r>
        <w:rPr>
          <w:rFonts w:ascii="Arial" w:eastAsia="仿宋" w:hAnsi="Arial" w:cs="Arial"/>
          <w:sz w:val="28"/>
        </w:rPr>
        <w:t>号）及《国土资源部办公厅关于发布</w:t>
      </w:r>
      <w:r>
        <w:rPr>
          <w:rFonts w:ascii="Arial" w:eastAsia="仿宋" w:hAnsi="Arial" w:cs="Arial"/>
          <w:sz w:val="28"/>
        </w:rPr>
        <w:t>&lt;</w:t>
      </w:r>
      <w:r>
        <w:rPr>
          <w:rFonts w:ascii="Arial" w:eastAsia="仿宋" w:hAnsi="Arial" w:cs="Arial"/>
          <w:sz w:val="28"/>
        </w:rPr>
        <w:t>国有建设用地使用权出让地价评估技术规范</w:t>
      </w:r>
      <w:r>
        <w:rPr>
          <w:rFonts w:ascii="Arial" w:eastAsia="仿宋" w:hAnsi="Arial" w:cs="Arial"/>
          <w:sz w:val="28"/>
        </w:rPr>
        <w:t>&gt;</w:t>
      </w:r>
      <w:r>
        <w:rPr>
          <w:rFonts w:ascii="Arial" w:eastAsia="仿宋" w:hAnsi="Arial" w:cs="Arial"/>
          <w:sz w:val="28"/>
        </w:rPr>
        <w:t>的通知》（</w:t>
      </w:r>
      <w:proofErr w:type="gramStart"/>
      <w:r>
        <w:rPr>
          <w:rFonts w:ascii="Arial" w:eastAsia="仿宋" w:hAnsi="Arial" w:cs="Arial"/>
          <w:sz w:val="28"/>
        </w:rPr>
        <w:t>国土资厅发</w:t>
      </w:r>
      <w:proofErr w:type="gramEnd"/>
      <w:r>
        <w:rPr>
          <w:rFonts w:ascii="Arial" w:eastAsia="仿宋" w:hAnsi="Arial" w:cs="Arial"/>
          <w:sz w:val="28"/>
        </w:rPr>
        <w:t>（</w:t>
      </w:r>
      <w:r>
        <w:rPr>
          <w:rFonts w:ascii="Arial" w:eastAsia="仿宋" w:hAnsi="Arial" w:cs="Arial"/>
          <w:sz w:val="28"/>
        </w:rPr>
        <w:t>2018</w:t>
      </w:r>
      <w:r>
        <w:rPr>
          <w:rFonts w:ascii="Arial" w:eastAsia="仿宋" w:hAnsi="Arial" w:cs="Arial"/>
          <w:sz w:val="28"/>
        </w:rPr>
        <w:t>）</w:t>
      </w:r>
      <w:r>
        <w:rPr>
          <w:rFonts w:ascii="Arial" w:eastAsia="仿宋" w:hAnsi="Arial" w:cs="Arial"/>
          <w:sz w:val="28"/>
        </w:rPr>
        <w:t>4</w:t>
      </w:r>
      <w:r>
        <w:rPr>
          <w:rFonts w:ascii="Arial" w:eastAsia="仿宋" w:hAnsi="Arial" w:cs="Arial"/>
          <w:sz w:val="28"/>
        </w:rPr>
        <w:t>号）的有关规定，受</w:t>
      </w:r>
      <w:r>
        <w:rPr>
          <w:rFonts w:ascii="Arial" w:eastAsia="仿宋" w:hAnsi="Arial" w:cs="Arial"/>
          <w:bCs/>
          <w:sz w:val="28"/>
          <w:szCs w:val="28"/>
        </w:rPr>
        <w:t>北京市规划和自然资源委员会</w:t>
      </w:r>
      <w:r>
        <w:rPr>
          <w:rFonts w:ascii="Arial" w:eastAsia="仿宋" w:hAnsi="Arial" w:cs="Arial"/>
          <w:sz w:val="28"/>
        </w:rPr>
        <w:t>委托评估该宗地（北京市顺义区高丽营镇夏县营村</w:t>
      </w:r>
      <w:r>
        <w:rPr>
          <w:rFonts w:ascii="Arial" w:eastAsia="仿宋" w:hAnsi="Arial" w:cs="Arial"/>
          <w:sz w:val="28"/>
        </w:rPr>
        <w:t>01-008</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类居住用地及</w:t>
      </w:r>
      <w:r>
        <w:rPr>
          <w:rFonts w:ascii="Arial" w:eastAsia="仿宋" w:hAnsi="Arial" w:cs="Arial"/>
          <w:sz w:val="28"/>
        </w:rPr>
        <w:t>01-020</w:t>
      </w:r>
      <w:r>
        <w:rPr>
          <w:rFonts w:ascii="Arial" w:eastAsia="仿宋" w:hAnsi="Arial" w:cs="Arial"/>
          <w:sz w:val="28"/>
        </w:rPr>
        <w:t>地块</w:t>
      </w:r>
      <w:r>
        <w:rPr>
          <w:rFonts w:ascii="Arial" w:eastAsia="仿宋" w:hAnsi="Arial" w:cs="Arial"/>
          <w:sz w:val="28"/>
        </w:rPr>
        <w:t>A334</w:t>
      </w:r>
      <w:r>
        <w:rPr>
          <w:rFonts w:ascii="Arial" w:eastAsia="仿宋" w:hAnsi="Arial" w:cs="Arial"/>
          <w:sz w:val="28"/>
        </w:rPr>
        <w:t>托幼用地）国有建设用地使用权价格，为出让方通过集体决策确定</w:t>
      </w:r>
      <w:r>
        <w:rPr>
          <w:rFonts w:ascii="Arial" w:eastAsia="仿宋_GB2312" w:hAnsi="Arial" w:cs="Arial"/>
          <w:sz w:val="28"/>
        </w:rPr>
        <w:lastRenderedPageBreak/>
        <w:t>土地出让底价提供参考依据。</w:t>
      </w:r>
    </w:p>
    <w:p w14:paraId="2F95888B" w14:textId="77777777" w:rsidR="0062768B" w:rsidRDefault="0062768B">
      <w:pPr>
        <w:spacing w:line="300" w:lineRule="auto"/>
        <w:ind w:firstLineChars="200" w:firstLine="560"/>
        <w:jc w:val="both"/>
        <w:rPr>
          <w:rFonts w:ascii="Arial" w:eastAsia="仿宋_GB2312" w:hAnsi="Arial" w:cs="Arial"/>
          <w:sz w:val="28"/>
        </w:rPr>
      </w:pPr>
    </w:p>
    <w:p w14:paraId="16A4004F" w14:textId="77777777" w:rsidR="0062768B" w:rsidRDefault="00136729">
      <w:pPr>
        <w:spacing w:line="300" w:lineRule="auto"/>
        <w:jc w:val="both"/>
        <w:outlineLvl w:val="1"/>
        <w:rPr>
          <w:rFonts w:ascii="Arial" w:eastAsia="仿宋_GB2312" w:hAnsi="Arial" w:cs="Arial"/>
          <w:b/>
          <w:bCs/>
          <w:sz w:val="28"/>
        </w:rPr>
      </w:pPr>
      <w:bookmarkStart w:id="32" w:name="_Toc515458361"/>
      <w:bookmarkStart w:id="33" w:name="_Toc520261127"/>
      <w:bookmarkStart w:id="34" w:name="_Toc138062993"/>
      <w:bookmarkStart w:id="35" w:name="_Toc132016723"/>
      <w:bookmarkStart w:id="36" w:name="_Toc515261588"/>
      <w:bookmarkStart w:id="37" w:name="_Toc531701552"/>
      <w:bookmarkStart w:id="38" w:name="_Toc418750882"/>
      <w:bookmarkStart w:id="39" w:name="_Toc416783520"/>
      <w:bookmarkStart w:id="40" w:name="_Toc469066304"/>
      <w:bookmarkStart w:id="41" w:name="_Toc425250304"/>
      <w:r>
        <w:rPr>
          <w:rFonts w:ascii="Arial" w:eastAsia="仿宋_GB2312" w:hAnsi="Arial" w:cs="Arial"/>
          <w:b/>
          <w:bCs/>
          <w:sz w:val="28"/>
        </w:rPr>
        <w:t>四、估价期日</w:t>
      </w:r>
      <w:bookmarkEnd w:id="32"/>
      <w:bookmarkEnd w:id="33"/>
      <w:bookmarkEnd w:id="34"/>
      <w:bookmarkEnd w:id="35"/>
      <w:bookmarkEnd w:id="36"/>
      <w:bookmarkEnd w:id="37"/>
      <w:bookmarkEnd w:id="38"/>
      <w:bookmarkEnd w:id="39"/>
      <w:bookmarkEnd w:id="40"/>
      <w:bookmarkEnd w:id="41"/>
    </w:p>
    <w:p w14:paraId="2CAC98F0" w14:textId="77777777" w:rsidR="0062768B" w:rsidRPr="00014C8C" w:rsidRDefault="00550FB0">
      <w:pPr>
        <w:spacing w:line="300" w:lineRule="auto"/>
        <w:ind w:firstLineChars="200" w:firstLine="560"/>
        <w:jc w:val="both"/>
        <w:rPr>
          <w:rFonts w:ascii="Arial" w:eastAsia="仿宋_GB2312" w:hAnsi="Arial" w:cs="Arial"/>
          <w:sz w:val="28"/>
        </w:rPr>
      </w:pPr>
      <w:r w:rsidRPr="00014C8C">
        <w:rPr>
          <w:rFonts w:ascii="Arial" w:eastAsia="仿宋_GB2312" w:hAnsi="Arial" w:cs="Arial"/>
          <w:sz w:val="28"/>
        </w:rPr>
        <w:t>2023</w:t>
      </w:r>
      <w:r w:rsidRPr="00014C8C">
        <w:rPr>
          <w:rFonts w:ascii="Arial" w:eastAsia="仿宋_GB2312" w:hAnsi="Arial" w:cs="Arial"/>
          <w:sz w:val="28"/>
        </w:rPr>
        <w:t>年</w:t>
      </w:r>
      <w:r w:rsidRPr="00014C8C">
        <w:rPr>
          <w:rFonts w:ascii="Arial" w:eastAsia="仿宋_GB2312" w:hAnsi="Arial" w:cs="Arial"/>
          <w:sz w:val="28"/>
        </w:rPr>
        <w:t>6</w:t>
      </w:r>
      <w:r w:rsidRPr="00014C8C">
        <w:rPr>
          <w:rFonts w:ascii="Arial" w:eastAsia="仿宋_GB2312" w:hAnsi="Arial" w:cs="Arial"/>
          <w:sz w:val="28"/>
        </w:rPr>
        <w:t>月</w:t>
      </w:r>
      <w:r w:rsidRPr="00014C8C">
        <w:rPr>
          <w:rFonts w:ascii="Arial" w:eastAsia="仿宋_GB2312" w:hAnsi="Arial" w:cs="Arial"/>
          <w:sz w:val="28"/>
        </w:rPr>
        <w:t>20</w:t>
      </w:r>
      <w:r w:rsidRPr="00014C8C">
        <w:rPr>
          <w:rFonts w:ascii="Arial" w:eastAsia="仿宋_GB2312" w:hAnsi="Arial" w:cs="Arial"/>
          <w:sz w:val="28"/>
        </w:rPr>
        <w:t>日</w:t>
      </w:r>
      <w:r w:rsidR="00136729" w:rsidRPr="00014C8C">
        <w:rPr>
          <w:rFonts w:ascii="Arial" w:eastAsia="仿宋_GB2312" w:hAnsi="Arial" w:cs="Arial"/>
          <w:sz w:val="28"/>
        </w:rPr>
        <w:t>（</w:t>
      </w:r>
      <w:r w:rsidR="00136729" w:rsidRPr="00014C8C">
        <w:rPr>
          <w:rFonts w:ascii="Arial" w:eastAsia="仿宋_GB2312" w:hAnsi="Arial" w:cs="Arial"/>
          <w:sz w:val="28"/>
          <w:szCs w:val="28"/>
        </w:rPr>
        <w:t>根据《国有建设用地使用权出让地价评估委托书》确定</w:t>
      </w:r>
      <w:r w:rsidR="00136729" w:rsidRPr="00014C8C">
        <w:rPr>
          <w:rFonts w:ascii="Arial" w:eastAsia="仿宋_GB2312" w:hAnsi="Arial" w:cs="Arial"/>
          <w:sz w:val="28"/>
        </w:rPr>
        <w:t>）</w:t>
      </w:r>
    </w:p>
    <w:p w14:paraId="7473F88A" w14:textId="77777777" w:rsidR="0062768B" w:rsidRPr="00014C8C" w:rsidRDefault="0062768B">
      <w:pPr>
        <w:spacing w:line="300" w:lineRule="auto"/>
        <w:jc w:val="both"/>
        <w:rPr>
          <w:rFonts w:ascii="Arial" w:eastAsia="仿宋_GB2312" w:hAnsi="Arial" w:cs="Arial"/>
          <w:sz w:val="28"/>
        </w:rPr>
      </w:pPr>
    </w:p>
    <w:p w14:paraId="2012BFAB" w14:textId="77777777" w:rsidR="0062768B" w:rsidRDefault="00136729">
      <w:pPr>
        <w:tabs>
          <w:tab w:val="left" w:pos="6957"/>
        </w:tabs>
        <w:spacing w:line="300" w:lineRule="auto"/>
        <w:jc w:val="both"/>
        <w:outlineLvl w:val="1"/>
        <w:rPr>
          <w:rFonts w:ascii="Arial" w:eastAsia="仿宋_GB2312" w:hAnsi="Arial" w:cs="Arial"/>
          <w:b/>
          <w:bCs/>
          <w:sz w:val="28"/>
        </w:rPr>
      </w:pPr>
      <w:bookmarkStart w:id="42" w:name="_Toc531701553"/>
      <w:bookmarkStart w:id="43" w:name="_Toc469066305"/>
      <w:bookmarkStart w:id="44" w:name="_Toc418750883"/>
      <w:bookmarkStart w:id="45" w:name="_Toc132016724"/>
      <w:bookmarkStart w:id="46" w:name="_Toc515458362"/>
      <w:bookmarkStart w:id="47" w:name="_Toc515261589"/>
      <w:bookmarkStart w:id="48" w:name="_Toc416783521"/>
      <w:bookmarkStart w:id="49" w:name="_Toc425250305"/>
      <w:bookmarkStart w:id="50" w:name="_Toc520261128"/>
      <w:bookmarkStart w:id="51" w:name="_Toc138062994"/>
      <w:r w:rsidRPr="00014C8C">
        <w:rPr>
          <w:rFonts w:ascii="Arial" w:eastAsia="仿宋_GB2312" w:hAnsi="Arial" w:cs="Arial"/>
          <w:b/>
          <w:bCs/>
          <w:sz w:val="28"/>
        </w:rPr>
        <w:t>五、估价日期</w:t>
      </w:r>
      <w:bookmarkEnd w:id="42"/>
      <w:bookmarkEnd w:id="43"/>
      <w:bookmarkEnd w:id="44"/>
      <w:bookmarkEnd w:id="45"/>
      <w:bookmarkEnd w:id="46"/>
      <w:bookmarkEnd w:id="47"/>
      <w:bookmarkEnd w:id="48"/>
      <w:bookmarkEnd w:id="49"/>
      <w:bookmarkEnd w:id="50"/>
      <w:bookmarkEnd w:id="51"/>
      <w:r>
        <w:rPr>
          <w:rFonts w:ascii="Arial" w:eastAsia="仿宋_GB2312" w:hAnsi="Arial" w:cs="Arial"/>
          <w:b/>
          <w:bCs/>
          <w:sz w:val="28"/>
        </w:rPr>
        <w:tab/>
      </w:r>
    </w:p>
    <w:p w14:paraId="0A4FCE94" w14:textId="4B33AA33"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6</w:t>
      </w:r>
      <w:r>
        <w:rPr>
          <w:rFonts w:ascii="Arial" w:eastAsia="仿宋_GB2312" w:hAnsi="Arial" w:cs="Arial"/>
          <w:sz w:val="28"/>
        </w:rPr>
        <w:t>日至</w:t>
      </w:r>
      <w:r w:rsidR="00036F92">
        <w:rPr>
          <w:rFonts w:ascii="Arial" w:eastAsia="仿宋_GB2312" w:hAnsi="Arial" w:cs="Arial"/>
          <w:sz w:val="28"/>
        </w:rPr>
        <w:t>2023</w:t>
      </w:r>
      <w:r w:rsidR="00036F92">
        <w:rPr>
          <w:rFonts w:ascii="Arial" w:eastAsia="仿宋_GB2312" w:hAnsi="Arial" w:cs="Arial"/>
          <w:sz w:val="28"/>
        </w:rPr>
        <w:t>年</w:t>
      </w:r>
      <w:r w:rsidR="00036F92">
        <w:rPr>
          <w:rFonts w:ascii="Arial" w:eastAsia="仿宋_GB2312" w:hAnsi="Arial" w:cs="Arial"/>
          <w:sz w:val="28"/>
        </w:rPr>
        <w:t>6</w:t>
      </w:r>
      <w:r w:rsidR="00036F92">
        <w:rPr>
          <w:rFonts w:ascii="Arial" w:eastAsia="仿宋_GB2312" w:hAnsi="Arial" w:cs="Arial"/>
          <w:sz w:val="28"/>
        </w:rPr>
        <w:t>月</w:t>
      </w:r>
      <w:r w:rsidR="00036F92">
        <w:rPr>
          <w:rFonts w:ascii="Arial" w:eastAsia="仿宋_GB2312" w:hAnsi="Arial" w:cs="Arial"/>
          <w:sz w:val="28"/>
        </w:rPr>
        <w:t>27</w:t>
      </w:r>
      <w:r w:rsidR="00036F92">
        <w:rPr>
          <w:rFonts w:ascii="Arial" w:eastAsia="仿宋_GB2312" w:hAnsi="Arial" w:cs="Arial"/>
          <w:sz w:val="28"/>
        </w:rPr>
        <w:t>日</w:t>
      </w:r>
    </w:p>
    <w:p w14:paraId="32B4B3DF" w14:textId="77777777" w:rsidR="0062768B" w:rsidRDefault="0062768B">
      <w:pPr>
        <w:spacing w:line="300" w:lineRule="auto"/>
        <w:ind w:firstLineChars="200" w:firstLine="560"/>
        <w:jc w:val="both"/>
        <w:rPr>
          <w:rFonts w:ascii="Arial" w:eastAsia="仿宋_GB2312" w:hAnsi="Arial" w:cs="Arial"/>
          <w:sz w:val="28"/>
        </w:rPr>
      </w:pPr>
    </w:p>
    <w:p w14:paraId="59653D04" w14:textId="77777777" w:rsidR="0062768B" w:rsidRDefault="00136729">
      <w:pPr>
        <w:tabs>
          <w:tab w:val="left" w:pos="6957"/>
        </w:tabs>
        <w:spacing w:line="300" w:lineRule="auto"/>
        <w:jc w:val="both"/>
        <w:outlineLvl w:val="1"/>
        <w:rPr>
          <w:rFonts w:ascii="Arial" w:eastAsia="仿宋_GB2312" w:hAnsi="Arial" w:cs="Arial"/>
          <w:b/>
          <w:bCs/>
          <w:sz w:val="28"/>
        </w:rPr>
      </w:pPr>
      <w:bookmarkStart w:id="52" w:name="_Toc531701554"/>
      <w:bookmarkStart w:id="53" w:name="_Toc520261129"/>
      <w:bookmarkStart w:id="54" w:name="_Toc138062995"/>
      <w:bookmarkStart w:id="55" w:name="_Toc132016725"/>
      <w:r>
        <w:rPr>
          <w:rFonts w:ascii="Arial" w:eastAsia="仿宋_GB2312" w:hAnsi="Arial" w:cs="Arial"/>
          <w:b/>
          <w:bCs/>
          <w:sz w:val="28"/>
        </w:rPr>
        <w:t>六、地价定义</w:t>
      </w:r>
      <w:bookmarkEnd w:id="52"/>
      <w:bookmarkEnd w:id="53"/>
      <w:bookmarkEnd w:id="54"/>
      <w:bookmarkEnd w:id="55"/>
    </w:p>
    <w:p w14:paraId="1BE2957A" w14:textId="77777777" w:rsidR="0062768B" w:rsidRDefault="00136729">
      <w:pPr>
        <w:adjustRightInd/>
        <w:spacing w:line="300" w:lineRule="auto"/>
        <w:ind w:firstLineChars="200" w:firstLine="560"/>
        <w:rPr>
          <w:rFonts w:ascii="Arial" w:eastAsia="仿宋" w:hAnsi="Arial" w:cs="Arial"/>
          <w:sz w:val="28"/>
        </w:rPr>
      </w:pPr>
      <w:r>
        <w:rPr>
          <w:rFonts w:ascii="Arial" w:eastAsia="仿宋" w:hAnsi="Arial" w:cs="Arial"/>
          <w:sz w:val="28"/>
        </w:rPr>
        <w:t>土地估价专业评估师根据地价评估的技术规程、方法和项目的具体要求，参照正常市场价格水平，评估拟出让宗地国有建设用地使用权价格。</w:t>
      </w:r>
    </w:p>
    <w:p w14:paraId="5E8D26AF" w14:textId="77777777" w:rsidR="0062768B" w:rsidRDefault="00136729">
      <w:pPr>
        <w:adjustRightInd/>
        <w:spacing w:line="300" w:lineRule="auto"/>
        <w:ind w:firstLineChars="200" w:firstLine="560"/>
        <w:rPr>
          <w:rFonts w:ascii="Arial" w:eastAsia="仿宋" w:hAnsi="Arial" w:cs="Arial"/>
          <w:sz w:val="28"/>
        </w:rPr>
      </w:pPr>
      <w:r>
        <w:rPr>
          <w:rFonts w:ascii="Arial" w:eastAsia="仿宋" w:hAnsi="Arial" w:cs="Arial"/>
          <w:sz w:val="28"/>
        </w:rPr>
        <w:t>此次评估的价格包括熟地价、政府土地出让收益、土地开发成本。</w:t>
      </w:r>
    </w:p>
    <w:p w14:paraId="6811FEB5"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熟地价是在公开市场条件下形成的客观合理价格，即估价对象在设定土地用途、土地使用权性质、开发程度、使用年期及规划利用条件下，于估价期日的出让国有建设用地使用权价格。</w:t>
      </w:r>
    </w:p>
    <w:p w14:paraId="15655E9E"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政府土地出让收益是指以规划用途办理国有建设用地使用权出让手续时应向政府缴纳的地价款。</w:t>
      </w:r>
    </w:p>
    <w:p w14:paraId="6CEB8659"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根据《城镇土地估价规程》（</w:t>
      </w:r>
      <w:r>
        <w:rPr>
          <w:rFonts w:ascii="Arial" w:eastAsia="仿宋" w:hAnsi="Arial" w:cs="Arial"/>
          <w:sz w:val="28"/>
        </w:rPr>
        <w:t>GB/T 18508-2014</w:t>
      </w:r>
      <w:r>
        <w:rPr>
          <w:rFonts w:ascii="Arial" w:eastAsia="仿宋" w:hAnsi="Arial" w:cs="Arial"/>
          <w:sz w:val="28"/>
        </w:rPr>
        <w:t>），对有关事项做出以下设定：</w:t>
      </w:r>
    </w:p>
    <w:p w14:paraId="228DF1F4" w14:textId="77777777" w:rsidR="0062768B" w:rsidRDefault="00136729">
      <w:pPr>
        <w:pStyle w:val="-320"/>
        <w:numPr>
          <w:ilvl w:val="0"/>
          <w:numId w:val="5"/>
        </w:numPr>
        <w:adjustRightInd/>
        <w:spacing w:line="300" w:lineRule="auto"/>
        <w:ind w:left="0" w:firstLine="560"/>
        <w:jc w:val="both"/>
        <w:textAlignment w:val="auto"/>
        <w:rPr>
          <w:rFonts w:ascii="Arial" w:eastAsia="仿宋" w:hAnsi="Arial" w:cs="Arial"/>
          <w:sz w:val="28"/>
        </w:rPr>
      </w:pPr>
      <w:r>
        <w:rPr>
          <w:rFonts w:ascii="Arial" w:eastAsia="仿宋" w:hAnsi="Arial" w:cs="Arial"/>
          <w:sz w:val="28"/>
        </w:rPr>
        <w:t>土地用途设定：</w:t>
      </w:r>
    </w:p>
    <w:p w14:paraId="3A87ED97"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szCs w:val="28"/>
        </w:rPr>
        <w:t>根据《北京市规划和自然资源委员会顺义分局关于顺义区高丽营镇夏县营村棚户区改造土地开发项目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01-015-1</w:t>
      </w:r>
      <w:r>
        <w:rPr>
          <w:rFonts w:ascii="Arial" w:eastAsia="仿宋" w:hAnsi="Arial" w:cs="Arial"/>
          <w:sz w:val="28"/>
          <w:szCs w:val="28"/>
        </w:rPr>
        <w:t>、</w:t>
      </w:r>
      <w:r>
        <w:rPr>
          <w:rFonts w:ascii="Arial" w:eastAsia="仿宋" w:hAnsi="Arial" w:cs="Arial"/>
          <w:sz w:val="28"/>
          <w:szCs w:val="28"/>
        </w:rPr>
        <w:t>01-015-2</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w:t>
      </w:r>
      <w:r>
        <w:rPr>
          <w:rFonts w:ascii="Arial" w:eastAsia="仿宋" w:hAnsi="Arial" w:cs="Arial"/>
          <w:sz w:val="28"/>
          <w:szCs w:val="28"/>
        </w:rPr>
        <w:t>01-025</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等二类居住用地、托幼用地、商业用地地块</w:t>
      </w:r>
      <w:r>
        <w:rPr>
          <w:rFonts w:ascii="Arial" w:eastAsia="仿宋" w:hAnsi="Arial" w:cs="Arial"/>
          <w:sz w:val="28"/>
          <w:szCs w:val="28"/>
        </w:rPr>
        <w:t>“</w:t>
      </w:r>
      <w:r>
        <w:rPr>
          <w:rFonts w:ascii="Arial" w:eastAsia="仿宋" w:hAnsi="Arial" w:cs="Arial"/>
          <w:sz w:val="28"/>
          <w:szCs w:val="28"/>
        </w:rPr>
        <w:t>多规合一</w:t>
      </w:r>
      <w:r>
        <w:rPr>
          <w:rFonts w:ascii="Arial" w:eastAsia="仿宋" w:hAnsi="Arial" w:cs="Arial"/>
          <w:sz w:val="28"/>
          <w:szCs w:val="28"/>
        </w:rPr>
        <w:t>”</w:t>
      </w:r>
      <w:r>
        <w:rPr>
          <w:rFonts w:ascii="Arial" w:eastAsia="仿宋" w:hAnsi="Arial" w:cs="Arial"/>
          <w:sz w:val="28"/>
          <w:szCs w:val="28"/>
        </w:rPr>
        <w:t>协同平台供地审核意见的函》（京</w:t>
      </w:r>
      <w:proofErr w:type="gramStart"/>
      <w:r>
        <w:rPr>
          <w:rFonts w:ascii="Arial" w:eastAsia="仿宋" w:hAnsi="Arial" w:cs="Arial"/>
          <w:sz w:val="28"/>
          <w:szCs w:val="28"/>
        </w:rPr>
        <w:t>规</w:t>
      </w:r>
      <w:proofErr w:type="gramEnd"/>
      <w:r>
        <w:rPr>
          <w:rFonts w:ascii="Arial" w:eastAsia="仿宋" w:hAnsi="Arial" w:cs="Arial"/>
          <w:sz w:val="28"/>
          <w:szCs w:val="28"/>
        </w:rPr>
        <w:t>自（顺）</w:t>
      </w:r>
      <w:proofErr w:type="gramStart"/>
      <w:r>
        <w:rPr>
          <w:rFonts w:ascii="Arial" w:eastAsia="仿宋" w:hAnsi="Arial" w:cs="Arial"/>
          <w:sz w:val="28"/>
          <w:szCs w:val="28"/>
        </w:rPr>
        <w:t>供审函</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0004</w:t>
      </w:r>
      <w:r>
        <w:rPr>
          <w:rFonts w:ascii="Arial" w:eastAsia="仿宋" w:hAnsi="Arial" w:cs="Arial"/>
          <w:sz w:val="28"/>
          <w:szCs w:val="28"/>
        </w:rPr>
        <w:t>号）</w:t>
      </w:r>
      <w:r>
        <w:rPr>
          <w:rFonts w:ascii="Arial" w:eastAsia="仿宋" w:hAnsi="Arial" w:cs="Arial"/>
          <w:sz w:val="28"/>
          <w:szCs w:val="28"/>
        </w:rPr>
        <w:t>,</w:t>
      </w:r>
      <w:r>
        <w:rPr>
          <w:rFonts w:ascii="Arial" w:eastAsia="仿宋" w:hAnsi="Arial" w:cs="Arial"/>
          <w:sz w:val="28"/>
        </w:rPr>
        <w:t>估价对象规划用途为</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类居住用地及</w:t>
      </w:r>
      <w:r>
        <w:rPr>
          <w:rFonts w:ascii="Arial" w:eastAsia="仿宋" w:hAnsi="Arial" w:cs="Arial"/>
          <w:sz w:val="28"/>
        </w:rPr>
        <w:t>A334</w:t>
      </w:r>
      <w:r>
        <w:rPr>
          <w:rFonts w:ascii="Arial" w:eastAsia="仿宋" w:hAnsi="Arial" w:cs="Arial"/>
          <w:sz w:val="28"/>
        </w:rPr>
        <w:t>托幼用地，其中</w:t>
      </w:r>
      <w:r>
        <w:rPr>
          <w:rFonts w:ascii="Arial" w:eastAsia="仿宋" w:hAnsi="Arial" w:cs="Arial"/>
          <w:sz w:val="28"/>
        </w:rPr>
        <w:t>A334</w:t>
      </w:r>
      <w:r>
        <w:rPr>
          <w:rFonts w:ascii="Arial" w:eastAsia="仿宋" w:hAnsi="Arial" w:cs="Arial"/>
          <w:sz w:val="28"/>
        </w:rPr>
        <w:t>托幼用地不出让。</w:t>
      </w:r>
      <w:r>
        <w:rPr>
          <w:rFonts w:ascii="Arial" w:eastAsia="仿宋" w:hAnsi="Arial" w:cs="Arial"/>
          <w:sz w:val="28"/>
          <w:szCs w:val="28"/>
        </w:rPr>
        <w:t>根据《北京市城乡规划与土地利用用地分类对应指南（试行）》（市规划国土发（</w:t>
      </w:r>
      <w:r>
        <w:rPr>
          <w:rFonts w:ascii="Arial" w:eastAsia="仿宋" w:hAnsi="Arial" w:cs="Arial"/>
          <w:sz w:val="28"/>
          <w:szCs w:val="28"/>
        </w:rPr>
        <w:t>2017</w:t>
      </w:r>
      <w:r>
        <w:rPr>
          <w:rFonts w:ascii="Arial" w:eastAsia="仿宋" w:hAnsi="Arial" w:cs="Arial"/>
          <w:sz w:val="28"/>
          <w:szCs w:val="28"/>
        </w:rPr>
        <w:t>）</w:t>
      </w:r>
      <w:r>
        <w:rPr>
          <w:rFonts w:ascii="Arial" w:eastAsia="仿宋" w:hAnsi="Arial" w:cs="Arial"/>
          <w:sz w:val="28"/>
          <w:szCs w:val="28"/>
        </w:rPr>
        <w:t>316</w:t>
      </w:r>
      <w:r>
        <w:rPr>
          <w:rFonts w:ascii="Arial" w:eastAsia="仿宋" w:hAnsi="Arial" w:cs="Arial"/>
          <w:sz w:val="28"/>
          <w:szCs w:val="28"/>
        </w:rPr>
        <w:t>号），</w:t>
      </w:r>
      <w:r>
        <w:rPr>
          <w:rFonts w:ascii="Arial" w:eastAsia="仿宋" w:hAnsi="Arial" w:cs="Arial"/>
          <w:sz w:val="28"/>
          <w:szCs w:val="28"/>
        </w:rPr>
        <w:t>R2</w:t>
      </w:r>
      <w:proofErr w:type="gramStart"/>
      <w:r>
        <w:rPr>
          <w:rFonts w:ascii="Arial" w:eastAsia="仿宋" w:hAnsi="Arial" w:cs="Arial"/>
          <w:sz w:val="28"/>
          <w:szCs w:val="28"/>
        </w:rPr>
        <w:t>二</w:t>
      </w:r>
      <w:proofErr w:type="gramEnd"/>
      <w:r>
        <w:rPr>
          <w:rFonts w:ascii="Arial" w:eastAsia="仿宋" w:hAnsi="Arial" w:cs="Arial"/>
          <w:sz w:val="28"/>
          <w:szCs w:val="28"/>
        </w:rPr>
        <w:t>类居住用地是设施较齐全、环境良好、以多中高层住宅为主用地，可对应土地利用现状分类城镇住宅用地（指城镇用于生活居住的各类房屋用地及附属设施用地）。结合《自然资源部办公厅关于印发〈国土空间调查、规划、用途管</w:t>
      </w:r>
      <w:r>
        <w:rPr>
          <w:rFonts w:ascii="Arial" w:eastAsia="仿宋" w:hAnsi="Arial" w:cs="Arial"/>
          <w:sz w:val="28"/>
          <w:szCs w:val="28"/>
        </w:rPr>
        <w:lastRenderedPageBreak/>
        <w:t>制用地用海分类指南（试行）〉的办通知》（自然资办（</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号）、《土地利用现状分类》（</w:t>
      </w:r>
      <w:r>
        <w:rPr>
          <w:rFonts w:ascii="Arial" w:eastAsia="仿宋" w:hAnsi="Arial" w:cs="Arial"/>
          <w:sz w:val="28"/>
          <w:szCs w:val="28"/>
        </w:rPr>
        <w:t>GB/T21010-2017</w:t>
      </w:r>
      <w:r>
        <w:rPr>
          <w:rFonts w:ascii="Arial" w:eastAsia="仿宋" w:hAnsi="Arial" w:cs="Arial"/>
          <w:sz w:val="28"/>
          <w:szCs w:val="28"/>
        </w:rPr>
        <w:t>）、《北京市人民政府关于更新出让国有建设用地使用权基准地价的通知》（京政发（</w:t>
      </w:r>
      <w:r>
        <w:rPr>
          <w:rFonts w:ascii="Arial" w:eastAsia="仿宋" w:hAnsi="Arial" w:cs="Arial"/>
          <w:sz w:val="28"/>
          <w:szCs w:val="28"/>
        </w:rPr>
        <w:t>2022</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号），按照《北京市国有建设用地使用权出让地价评估技术导则（试行）》（</w:t>
      </w:r>
      <w:proofErr w:type="gramStart"/>
      <w:r>
        <w:rPr>
          <w:rFonts w:ascii="Arial" w:eastAsia="仿宋" w:hAnsi="Arial" w:cs="Arial"/>
          <w:sz w:val="28"/>
          <w:szCs w:val="28"/>
        </w:rPr>
        <w:t>北估秘</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001</w:t>
      </w:r>
      <w:r>
        <w:rPr>
          <w:rFonts w:ascii="Arial" w:eastAsia="仿宋" w:hAnsi="Arial" w:cs="Arial"/>
          <w:sz w:val="28"/>
          <w:szCs w:val="28"/>
        </w:rPr>
        <w:t>）规定</w:t>
      </w:r>
      <w:r>
        <w:rPr>
          <w:rFonts w:ascii="Arial" w:eastAsia="仿宋" w:hAnsi="Arial" w:cs="Arial"/>
          <w:sz w:val="28"/>
        </w:rPr>
        <w:t>，为满足</w:t>
      </w:r>
      <w:proofErr w:type="gramStart"/>
      <w:r>
        <w:rPr>
          <w:rFonts w:ascii="Arial" w:eastAsia="仿宋" w:hAnsi="Arial" w:cs="Arial"/>
          <w:sz w:val="28"/>
        </w:rPr>
        <w:t>招拍挂</w:t>
      </w:r>
      <w:proofErr w:type="gramEnd"/>
      <w:r>
        <w:rPr>
          <w:rFonts w:ascii="Arial" w:eastAsia="仿宋" w:hAnsi="Arial" w:cs="Arial"/>
          <w:sz w:val="28"/>
        </w:rPr>
        <w:t>出让地价管理的需要，需评估住宅、商业（其他商服）及公共服务</w:t>
      </w:r>
      <w:r>
        <w:rPr>
          <w:rFonts w:ascii="Arial" w:eastAsia="仿宋" w:hAnsi="Arial" w:cs="Arial"/>
          <w:sz w:val="28"/>
        </w:rPr>
        <w:t>3</w:t>
      </w:r>
      <w:r>
        <w:rPr>
          <w:rFonts w:ascii="Arial" w:eastAsia="仿宋" w:hAnsi="Arial" w:cs="Arial"/>
          <w:sz w:val="28"/>
        </w:rPr>
        <w:t>个用途的熟地价楼面单价、政府土地出让收益楼面单价。故评估设定用途为住宅、商业（其他商服）及公共服务。</w:t>
      </w:r>
    </w:p>
    <w:p w14:paraId="0BB28C6E" w14:textId="77777777" w:rsidR="0062768B" w:rsidRDefault="00136729">
      <w:pPr>
        <w:pStyle w:val="-320"/>
        <w:numPr>
          <w:ilvl w:val="0"/>
          <w:numId w:val="5"/>
        </w:numPr>
        <w:adjustRightInd/>
        <w:spacing w:line="300" w:lineRule="auto"/>
        <w:ind w:left="0" w:firstLine="560"/>
        <w:jc w:val="both"/>
        <w:textAlignment w:val="auto"/>
        <w:rPr>
          <w:rFonts w:ascii="Arial" w:eastAsia="仿宋" w:hAnsi="Arial" w:cs="Arial"/>
          <w:sz w:val="28"/>
        </w:rPr>
      </w:pPr>
      <w:r>
        <w:rPr>
          <w:rFonts w:ascii="Arial" w:eastAsia="仿宋" w:hAnsi="Arial" w:cs="Arial"/>
          <w:sz w:val="28"/>
        </w:rPr>
        <w:t>土地使用权性质：</w:t>
      </w:r>
    </w:p>
    <w:p w14:paraId="5BC211E1"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根据《北京市人民政府关于顺义区二〇二〇年度批次建设用地的批复》（</w:t>
      </w:r>
      <w:proofErr w:type="gramStart"/>
      <w:r>
        <w:rPr>
          <w:rFonts w:ascii="Arial" w:eastAsia="仿宋" w:hAnsi="Arial" w:cs="Arial"/>
          <w:sz w:val="28"/>
        </w:rPr>
        <w:t>京政地字</w:t>
      </w:r>
      <w:proofErr w:type="gramEnd"/>
      <w:r>
        <w:rPr>
          <w:rFonts w:ascii="Arial" w:eastAsia="仿宋" w:hAnsi="Arial" w:cs="Arial"/>
          <w:sz w:val="28"/>
        </w:rPr>
        <w:t>【</w:t>
      </w:r>
      <w:r>
        <w:rPr>
          <w:rFonts w:ascii="Arial" w:eastAsia="仿宋" w:hAnsi="Arial" w:cs="Arial"/>
          <w:sz w:val="28"/>
        </w:rPr>
        <w:t>2020</w:t>
      </w:r>
      <w:r>
        <w:rPr>
          <w:rFonts w:ascii="Arial" w:eastAsia="仿宋" w:hAnsi="Arial" w:cs="Arial"/>
          <w:sz w:val="28"/>
        </w:rPr>
        <w:t>】</w:t>
      </w:r>
      <w:r>
        <w:rPr>
          <w:rFonts w:ascii="Arial" w:eastAsia="仿宋" w:hAnsi="Arial" w:cs="Arial"/>
          <w:sz w:val="28"/>
        </w:rPr>
        <w:t>121</w:t>
      </w:r>
      <w:r>
        <w:rPr>
          <w:rFonts w:ascii="Arial" w:eastAsia="仿宋" w:hAnsi="Arial" w:cs="Arial"/>
          <w:sz w:val="28"/>
        </w:rPr>
        <w:t>号）、《北京市规划和自然资源委员会顺义分局关于顺义区高丽营镇夏县营村棚户区改造土地开发项目</w:t>
      </w:r>
      <w:r>
        <w:rPr>
          <w:rFonts w:ascii="Arial" w:eastAsia="仿宋" w:hAnsi="Arial" w:cs="Arial"/>
          <w:sz w:val="28"/>
        </w:rPr>
        <w:t>01-008</w:t>
      </w:r>
      <w:r>
        <w:rPr>
          <w:rFonts w:ascii="Arial" w:eastAsia="仿宋" w:hAnsi="Arial" w:cs="Arial"/>
          <w:sz w:val="28"/>
        </w:rPr>
        <w:t>、</w:t>
      </w:r>
      <w:r>
        <w:rPr>
          <w:rFonts w:ascii="Arial" w:eastAsia="仿宋" w:hAnsi="Arial" w:cs="Arial"/>
          <w:sz w:val="28"/>
        </w:rPr>
        <w:t>01-015-1</w:t>
      </w:r>
      <w:r>
        <w:rPr>
          <w:rFonts w:ascii="Arial" w:eastAsia="仿宋" w:hAnsi="Arial" w:cs="Arial"/>
          <w:sz w:val="28"/>
        </w:rPr>
        <w:t>、</w:t>
      </w:r>
      <w:r>
        <w:rPr>
          <w:rFonts w:ascii="Arial" w:eastAsia="仿宋" w:hAnsi="Arial" w:cs="Arial"/>
          <w:sz w:val="28"/>
        </w:rPr>
        <w:t>01-015-2</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01-020</w:t>
      </w:r>
      <w:r>
        <w:rPr>
          <w:rFonts w:ascii="Arial" w:eastAsia="仿宋" w:hAnsi="Arial" w:cs="Arial"/>
          <w:sz w:val="28"/>
        </w:rPr>
        <w:t>、</w:t>
      </w:r>
      <w:r>
        <w:rPr>
          <w:rFonts w:ascii="Arial" w:eastAsia="仿宋" w:hAnsi="Arial" w:cs="Arial"/>
          <w:sz w:val="28"/>
        </w:rPr>
        <w:t>01-025</w:t>
      </w:r>
      <w:r>
        <w:rPr>
          <w:rFonts w:ascii="Arial" w:eastAsia="仿宋" w:hAnsi="Arial" w:cs="Arial"/>
          <w:sz w:val="28"/>
        </w:rPr>
        <w:t>、</w:t>
      </w:r>
      <w:r>
        <w:rPr>
          <w:rFonts w:ascii="Arial" w:eastAsia="仿宋" w:hAnsi="Arial" w:cs="Arial"/>
          <w:sz w:val="28"/>
        </w:rPr>
        <w:t>01-026-1</w:t>
      </w:r>
      <w:r>
        <w:rPr>
          <w:rFonts w:ascii="Arial" w:eastAsia="仿宋" w:hAnsi="Arial" w:cs="Arial"/>
          <w:sz w:val="28"/>
        </w:rPr>
        <w:t>等二类居住用地、托幼用地、商业用地地块</w:t>
      </w:r>
      <w:r>
        <w:rPr>
          <w:rFonts w:ascii="Arial" w:eastAsia="仿宋" w:hAnsi="Arial" w:cs="Arial"/>
          <w:sz w:val="28"/>
        </w:rPr>
        <w:t>“</w:t>
      </w:r>
      <w:r>
        <w:rPr>
          <w:rFonts w:ascii="Arial" w:eastAsia="仿宋" w:hAnsi="Arial" w:cs="Arial"/>
          <w:sz w:val="28"/>
        </w:rPr>
        <w:t>多规合一</w:t>
      </w:r>
      <w:r>
        <w:rPr>
          <w:rFonts w:ascii="Arial" w:eastAsia="仿宋" w:hAnsi="Arial" w:cs="Arial"/>
          <w:sz w:val="28"/>
        </w:rPr>
        <w:t>”</w:t>
      </w:r>
      <w:r>
        <w:rPr>
          <w:rFonts w:ascii="Arial" w:eastAsia="仿宋" w:hAnsi="Arial" w:cs="Arial"/>
          <w:sz w:val="28"/>
        </w:rPr>
        <w:t>协同平台供地审核意见的函》（京</w:t>
      </w:r>
      <w:proofErr w:type="gramStart"/>
      <w:r>
        <w:rPr>
          <w:rFonts w:ascii="Arial" w:eastAsia="仿宋" w:hAnsi="Arial" w:cs="Arial"/>
          <w:sz w:val="28"/>
        </w:rPr>
        <w:t>规</w:t>
      </w:r>
      <w:proofErr w:type="gramEnd"/>
      <w:r>
        <w:rPr>
          <w:rFonts w:ascii="Arial" w:eastAsia="仿宋" w:hAnsi="Arial" w:cs="Arial"/>
          <w:sz w:val="28"/>
        </w:rPr>
        <w:t>自（顺）</w:t>
      </w:r>
      <w:proofErr w:type="gramStart"/>
      <w:r>
        <w:rPr>
          <w:rFonts w:ascii="Arial" w:eastAsia="仿宋" w:hAnsi="Arial" w:cs="Arial"/>
          <w:sz w:val="28"/>
        </w:rPr>
        <w:t>供审函</w:t>
      </w:r>
      <w:proofErr w:type="gramEnd"/>
      <w:r>
        <w:rPr>
          <w:rFonts w:ascii="Arial" w:eastAsia="仿宋" w:hAnsi="Arial" w:cs="Arial"/>
          <w:sz w:val="28"/>
        </w:rPr>
        <w:t>【</w:t>
      </w:r>
      <w:r>
        <w:rPr>
          <w:rFonts w:ascii="Arial" w:eastAsia="仿宋" w:hAnsi="Arial" w:cs="Arial"/>
          <w:sz w:val="28"/>
        </w:rPr>
        <w:t>2023</w:t>
      </w:r>
      <w:r>
        <w:rPr>
          <w:rFonts w:ascii="Arial" w:eastAsia="仿宋" w:hAnsi="Arial" w:cs="Arial"/>
          <w:sz w:val="28"/>
        </w:rPr>
        <w:t>】</w:t>
      </w:r>
      <w:r>
        <w:rPr>
          <w:rFonts w:ascii="Arial" w:eastAsia="仿宋" w:hAnsi="Arial" w:cs="Arial"/>
          <w:sz w:val="28"/>
        </w:rPr>
        <w:t>0004</w:t>
      </w:r>
      <w:r>
        <w:rPr>
          <w:rFonts w:ascii="Arial" w:eastAsia="仿宋" w:hAnsi="Arial" w:cs="Arial"/>
          <w:sz w:val="28"/>
        </w:rPr>
        <w:t>号），于估价期日估价对象为建设用地，故本次评估设定土地使用权性质为出让国有建设用地使用权。</w:t>
      </w:r>
      <w:r>
        <w:rPr>
          <w:rFonts w:ascii="Arial" w:eastAsia="仿宋" w:hAnsi="Arial" w:cs="Arial"/>
          <w:sz w:val="28"/>
        </w:rPr>
        <w:t xml:space="preserve"> </w:t>
      </w:r>
    </w:p>
    <w:p w14:paraId="3F34CE3D" w14:textId="77777777" w:rsidR="0062768B" w:rsidRDefault="00136729">
      <w:pPr>
        <w:pStyle w:val="-320"/>
        <w:numPr>
          <w:ilvl w:val="0"/>
          <w:numId w:val="5"/>
        </w:numPr>
        <w:adjustRightInd/>
        <w:spacing w:line="300" w:lineRule="auto"/>
        <w:ind w:left="0" w:firstLine="560"/>
        <w:jc w:val="both"/>
        <w:textAlignment w:val="auto"/>
        <w:rPr>
          <w:rFonts w:ascii="Arial" w:eastAsia="仿宋" w:hAnsi="Arial" w:cs="Arial"/>
          <w:sz w:val="28"/>
          <w:szCs w:val="28"/>
        </w:rPr>
      </w:pPr>
      <w:r>
        <w:rPr>
          <w:rFonts w:ascii="Arial" w:eastAsia="仿宋" w:hAnsi="Arial" w:cs="Arial"/>
          <w:sz w:val="28"/>
          <w:szCs w:val="28"/>
        </w:rPr>
        <w:t>土地开发程度设定：</w:t>
      </w:r>
    </w:p>
    <w:p w14:paraId="67D8CA68" w14:textId="28BDD604"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根据委托估价方介绍及土地估价专业评估师实地查勘，本次评估估价对象实际土地开发程度为红线外市政基础设施达</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Pr>
          <w:rFonts w:ascii="Arial" w:eastAsia="仿宋" w:hAnsi="Arial" w:cs="Arial"/>
          <w:sz w:val="28"/>
          <w:szCs w:val="28"/>
        </w:rPr>
        <w:t>（通路、通上水（自来水、中水）、通下水（雨水、污水）、通电（管沟、电缆）、通燃气、通热力）</w:t>
      </w:r>
      <w:r>
        <w:rPr>
          <w:rFonts w:ascii="Arial" w:eastAsia="仿宋" w:hAnsi="Arial" w:cs="Arial"/>
          <w:sz w:val="28"/>
        </w:rPr>
        <w:t>、宗地红线内场地平整。</w:t>
      </w:r>
      <w:r>
        <w:rPr>
          <w:rFonts w:ascii="Arial" w:eastAsia="仿宋" w:hAnsi="Arial" w:cs="Arial"/>
          <w:sz w:val="28"/>
          <w:szCs w:val="28"/>
        </w:rPr>
        <w:t>根据</w:t>
      </w:r>
      <w:r w:rsidR="00791FE1">
        <w:rPr>
          <w:rFonts w:ascii="Arial" w:eastAsia="仿宋" w:hAnsi="Arial" w:cs="Arial"/>
          <w:sz w:val="28"/>
          <w:szCs w:val="28"/>
        </w:rPr>
        <w:t>《北京市顺义区人民政府关于顺义区高丽营镇夏县营村棚户区改造土地开发项目</w:t>
      </w:r>
      <w:r w:rsidR="00791FE1">
        <w:rPr>
          <w:rFonts w:ascii="Arial" w:eastAsia="仿宋" w:hAnsi="Arial" w:cs="Arial"/>
          <w:sz w:val="28"/>
          <w:szCs w:val="28"/>
        </w:rPr>
        <w:t>01-008</w:t>
      </w:r>
      <w:r w:rsidR="00791FE1">
        <w:rPr>
          <w:rFonts w:ascii="Arial" w:eastAsia="仿宋" w:hAnsi="Arial" w:cs="Arial"/>
          <w:sz w:val="28"/>
          <w:szCs w:val="28"/>
        </w:rPr>
        <w:t>、</w:t>
      </w:r>
      <w:r w:rsidR="00791FE1">
        <w:rPr>
          <w:rFonts w:ascii="Arial" w:eastAsia="仿宋" w:hAnsi="Arial" w:cs="Arial"/>
          <w:sz w:val="28"/>
          <w:szCs w:val="28"/>
        </w:rPr>
        <w:t>01-016</w:t>
      </w:r>
      <w:r w:rsidR="00791FE1">
        <w:rPr>
          <w:rFonts w:ascii="Arial" w:eastAsia="仿宋" w:hAnsi="Arial" w:cs="Arial"/>
          <w:sz w:val="28"/>
          <w:szCs w:val="28"/>
        </w:rPr>
        <w:t>、</w:t>
      </w:r>
      <w:r w:rsidR="00791FE1">
        <w:rPr>
          <w:rFonts w:ascii="Arial" w:eastAsia="仿宋" w:hAnsi="Arial" w:cs="Arial"/>
          <w:sz w:val="28"/>
          <w:szCs w:val="28"/>
        </w:rPr>
        <w:t>01-026-1</w:t>
      </w:r>
      <w:r w:rsidR="00791FE1">
        <w:rPr>
          <w:rFonts w:ascii="Arial" w:eastAsia="仿宋" w:hAnsi="Arial" w:cs="Arial"/>
          <w:sz w:val="28"/>
          <w:szCs w:val="28"/>
        </w:rPr>
        <w:t>、</w:t>
      </w:r>
      <w:r w:rsidR="00791FE1">
        <w:rPr>
          <w:rFonts w:ascii="Arial" w:eastAsia="仿宋" w:hAnsi="Arial" w:cs="Arial"/>
          <w:sz w:val="28"/>
          <w:szCs w:val="28"/>
        </w:rPr>
        <w:t>01-020</w:t>
      </w:r>
      <w:r w:rsidR="00791FE1">
        <w:rPr>
          <w:rFonts w:ascii="Arial" w:eastAsia="仿宋" w:hAnsi="Arial" w:cs="Arial"/>
          <w:sz w:val="28"/>
          <w:szCs w:val="28"/>
        </w:rPr>
        <w:t>地块提请地价审核有关事宜的函》（</w:t>
      </w:r>
      <w:proofErr w:type="gramStart"/>
      <w:r w:rsidR="00791FE1">
        <w:rPr>
          <w:rFonts w:ascii="Arial" w:eastAsia="仿宋" w:hAnsi="Arial" w:cs="Arial"/>
          <w:sz w:val="28"/>
          <w:szCs w:val="28"/>
        </w:rPr>
        <w:t>顺政函</w:t>
      </w:r>
      <w:proofErr w:type="gramEnd"/>
      <w:r w:rsidR="00791FE1">
        <w:rPr>
          <w:rFonts w:ascii="Arial" w:eastAsia="仿宋" w:hAnsi="Arial" w:cs="Arial"/>
          <w:sz w:val="28"/>
          <w:szCs w:val="28"/>
        </w:rPr>
        <w:t>【</w:t>
      </w:r>
      <w:r w:rsidR="00791FE1">
        <w:rPr>
          <w:rFonts w:ascii="Arial" w:eastAsia="仿宋" w:hAnsi="Arial" w:cs="Arial"/>
          <w:sz w:val="28"/>
          <w:szCs w:val="28"/>
        </w:rPr>
        <w:t>2023</w:t>
      </w:r>
      <w:r w:rsidR="00791FE1">
        <w:rPr>
          <w:rFonts w:ascii="Arial" w:eastAsia="仿宋" w:hAnsi="Arial" w:cs="Arial"/>
          <w:sz w:val="28"/>
          <w:szCs w:val="28"/>
        </w:rPr>
        <w:t>】</w:t>
      </w:r>
      <w:r w:rsidR="00791FE1">
        <w:rPr>
          <w:rFonts w:ascii="Arial" w:eastAsia="仿宋" w:hAnsi="Arial" w:cs="Arial"/>
          <w:sz w:val="28"/>
          <w:szCs w:val="28"/>
        </w:rPr>
        <w:t>151</w:t>
      </w:r>
      <w:r w:rsidR="00791FE1">
        <w:rPr>
          <w:rFonts w:ascii="Arial" w:eastAsia="仿宋" w:hAnsi="Arial" w:cs="Arial"/>
          <w:sz w:val="28"/>
          <w:szCs w:val="28"/>
        </w:rPr>
        <w:t>号）</w:t>
      </w:r>
      <w:r>
        <w:rPr>
          <w:rFonts w:ascii="Arial" w:eastAsia="仿宋" w:hAnsi="Arial" w:cs="Arial"/>
          <w:sz w:val="28"/>
          <w:szCs w:val="28"/>
        </w:rPr>
        <w:t>记载</w:t>
      </w:r>
      <w:r>
        <w:rPr>
          <w:rFonts w:ascii="Arial" w:eastAsia="仿宋" w:hAnsi="Arial" w:cs="Arial"/>
          <w:sz w:val="28"/>
        </w:rPr>
        <w:t>，估价对象供地条件为宗地外</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sidR="00835791">
        <w:rPr>
          <w:rFonts w:ascii="Arial" w:eastAsia="仿宋" w:hAnsi="Arial" w:cs="Arial"/>
          <w:sz w:val="28"/>
        </w:rPr>
        <w:t>（通路、通上水（自来水、中水）、通下水（雨水、污水）、通电、通燃气、通热力）</w:t>
      </w:r>
      <w:r>
        <w:rPr>
          <w:rFonts w:ascii="Arial" w:eastAsia="仿宋" w:hAnsi="Arial" w:cs="Arial"/>
          <w:sz w:val="28"/>
        </w:rPr>
        <w:t>、宗地红线内场地平整。本次评估设定土地开发程度即为实际开发程度红线外市政基础设施达</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Pr>
          <w:rFonts w:ascii="Arial" w:eastAsia="仿宋" w:hAnsi="Arial" w:cs="Arial"/>
          <w:sz w:val="28"/>
        </w:rPr>
        <w:t>、宗地红线内场地平整。</w:t>
      </w:r>
    </w:p>
    <w:p w14:paraId="02D9E63B" w14:textId="77777777" w:rsidR="0062768B" w:rsidRDefault="00136729">
      <w:pPr>
        <w:pStyle w:val="-320"/>
        <w:numPr>
          <w:ilvl w:val="0"/>
          <w:numId w:val="5"/>
        </w:numPr>
        <w:adjustRightInd/>
        <w:spacing w:line="300" w:lineRule="auto"/>
        <w:ind w:left="0" w:firstLine="560"/>
        <w:jc w:val="both"/>
        <w:textAlignment w:val="auto"/>
        <w:rPr>
          <w:rFonts w:ascii="Arial" w:eastAsia="仿宋" w:hAnsi="Arial" w:cs="Arial"/>
          <w:sz w:val="28"/>
          <w:szCs w:val="28"/>
        </w:rPr>
      </w:pPr>
      <w:r>
        <w:rPr>
          <w:rFonts w:ascii="Arial" w:eastAsia="仿宋" w:hAnsi="Arial" w:cs="Arial"/>
          <w:sz w:val="28"/>
          <w:szCs w:val="28"/>
        </w:rPr>
        <w:t>土地使用权年限设定：</w:t>
      </w:r>
    </w:p>
    <w:p w14:paraId="7C620EDE"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估价对象于估价期日为拟出让国有建设用地使用权。考虑到本次估价目的，根据《中华人民共和国城镇国有土地使用权出让和转让暂行条例》（国务院令第</w:t>
      </w:r>
      <w:r>
        <w:rPr>
          <w:rFonts w:ascii="Arial" w:eastAsia="仿宋" w:hAnsi="Arial" w:cs="Arial"/>
          <w:sz w:val="28"/>
          <w:szCs w:val="28"/>
        </w:rPr>
        <w:t>55</w:t>
      </w:r>
      <w:r>
        <w:rPr>
          <w:rFonts w:ascii="Arial" w:eastAsia="仿宋" w:hAnsi="Arial" w:cs="Arial"/>
          <w:sz w:val="28"/>
          <w:szCs w:val="28"/>
        </w:rPr>
        <w:t>号）、</w:t>
      </w:r>
      <w:r>
        <w:rPr>
          <w:rFonts w:ascii="Arial" w:eastAsia="仿宋" w:hAnsi="Arial" w:cs="Arial"/>
          <w:sz w:val="28"/>
        </w:rPr>
        <w:t>《北京市人民政府关于更新出让国有建设用地使</w:t>
      </w:r>
      <w:r>
        <w:rPr>
          <w:rFonts w:ascii="Arial" w:eastAsia="仿宋" w:hAnsi="Arial" w:cs="Arial"/>
          <w:sz w:val="28"/>
        </w:rPr>
        <w:lastRenderedPageBreak/>
        <w:t>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w:t>
      </w:r>
      <w:r>
        <w:rPr>
          <w:rFonts w:ascii="Arial" w:eastAsia="仿宋" w:hAnsi="Arial" w:cs="Arial"/>
          <w:sz w:val="28"/>
          <w:szCs w:val="28"/>
        </w:rPr>
        <w:t>的有关规定，本次评估设定土地使用年限为住宅用途法定最高使用年限</w:t>
      </w:r>
      <w:r>
        <w:rPr>
          <w:rFonts w:ascii="Arial" w:eastAsia="仿宋" w:hAnsi="Arial" w:cs="Arial"/>
          <w:sz w:val="28"/>
          <w:szCs w:val="28"/>
        </w:rPr>
        <w:t>70</w:t>
      </w:r>
      <w:r>
        <w:rPr>
          <w:rFonts w:ascii="Arial" w:eastAsia="仿宋" w:hAnsi="Arial" w:cs="Arial"/>
          <w:sz w:val="28"/>
          <w:szCs w:val="28"/>
        </w:rPr>
        <w:t>年、</w:t>
      </w:r>
      <w:r>
        <w:rPr>
          <w:rFonts w:ascii="Arial" w:eastAsia="仿宋" w:hAnsi="Arial" w:cs="Arial"/>
          <w:sz w:val="28"/>
        </w:rPr>
        <w:t>商业（其他商服）</w:t>
      </w:r>
      <w:r>
        <w:rPr>
          <w:rFonts w:ascii="Arial" w:eastAsia="仿宋" w:hAnsi="Arial" w:cs="Arial"/>
          <w:sz w:val="28"/>
          <w:szCs w:val="28"/>
        </w:rPr>
        <w:t>用途法定最高使用年限</w:t>
      </w:r>
      <w:r>
        <w:rPr>
          <w:rFonts w:ascii="Arial" w:eastAsia="仿宋" w:hAnsi="Arial" w:cs="Arial"/>
          <w:sz w:val="28"/>
          <w:szCs w:val="28"/>
        </w:rPr>
        <w:t>40</w:t>
      </w:r>
      <w:r>
        <w:rPr>
          <w:rFonts w:ascii="Arial" w:eastAsia="仿宋" w:hAnsi="Arial" w:cs="Arial"/>
          <w:sz w:val="28"/>
          <w:szCs w:val="28"/>
        </w:rPr>
        <w:t>年、</w:t>
      </w:r>
      <w:r>
        <w:rPr>
          <w:rFonts w:ascii="Arial" w:eastAsia="仿宋" w:hAnsi="Arial" w:cs="Arial"/>
          <w:sz w:val="28"/>
        </w:rPr>
        <w:t>公共服务</w:t>
      </w:r>
      <w:r>
        <w:rPr>
          <w:rFonts w:ascii="Arial" w:eastAsia="仿宋" w:hAnsi="Arial" w:cs="Arial"/>
          <w:sz w:val="28"/>
          <w:szCs w:val="28"/>
        </w:rPr>
        <w:t>用途法定最高使用年限</w:t>
      </w:r>
      <w:r>
        <w:rPr>
          <w:rFonts w:ascii="Arial" w:eastAsia="仿宋" w:hAnsi="Arial" w:cs="Arial"/>
          <w:sz w:val="28"/>
          <w:szCs w:val="28"/>
        </w:rPr>
        <w:t>50</w:t>
      </w:r>
      <w:r>
        <w:rPr>
          <w:rFonts w:ascii="Arial" w:eastAsia="仿宋" w:hAnsi="Arial" w:cs="Arial"/>
          <w:sz w:val="28"/>
          <w:szCs w:val="28"/>
        </w:rPr>
        <w:t>年。</w:t>
      </w:r>
      <w:r>
        <w:rPr>
          <w:rFonts w:ascii="Arial" w:eastAsia="仿宋" w:hAnsi="Arial" w:cs="Arial"/>
          <w:sz w:val="28"/>
          <w:szCs w:val="28"/>
        </w:rPr>
        <w:t xml:space="preserve"> </w:t>
      </w:r>
    </w:p>
    <w:p w14:paraId="58E145A6" w14:textId="77777777" w:rsidR="0062768B" w:rsidRDefault="00136729">
      <w:pPr>
        <w:pStyle w:val="-320"/>
        <w:numPr>
          <w:ilvl w:val="0"/>
          <w:numId w:val="5"/>
        </w:numPr>
        <w:adjustRightInd/>
        <w:spacing w:line="300" w:lineRule="auto"/>
        <w:ind w:left="0" w:firstLine="560"/>
        <w:jc w:val="both"/>
        <w:textAlignment w:val="auto"/>
        <w:rPr>
          <w:rFonts w:ascii="Arial" w:eastAsia="仿宋" w:hAnsi="Arial" w:cs="Arial"/>
          <w:sz w:val="28"/>
          <w:szCs w:val="28"/>
        </w:rPr>
      </w:pPr>
      <w:r>
        <w:rPr>
          <w:rFonts w:ascii="Arial" w:eastAsia="仿宋" w:hAnsi="Arial" w:cs="Arial"/>
          <w:sz w:val="28"/>
          <w:szCs w:val="28"/>
        </w:rPr>
        <w:t>规划利用条件设定：</w:t>
      </w:r>
    </w:p>
    <w:p w14:paraId="5539CA8B"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《北京市规划和自然资源委员会顺义分局关于顺义区高丽营镇夏县营村棚户区改造土地开发项目</w:t>
      </w:r>
      <w:r>
        <w:rPr>
          <w:rFonts w:ascii="Arial" w:eastAsia="仿宋" w:hAnsi="Arial" w:cs="Arial"/>
          <w:sz w:val="28"/>
        </w:rPr>
        <w:t>01-008</w:t>
      </w:r>
      <w:r>
        <w:rPr>
          <w:rFonts w:ascii="Arial" w:eastAsia="仿宋" w:hAnsi="Arial" w:cs="Arial"/>
          <w:sz w:val="28"/>
        </w:rPr>
        <w:t>、</w:t>
      </w:r>
      <w:r>
        <w:rPr>
          <w:rFonts w:ascii="Arial" w:eastAsia="仿宋" w:hAnsi="Arial" w:cs="Arial"/>
          <w:sz w:val="28"/>
        </w:rPr>
        <w:t>01-015-1</w:t>
      </w:r>
      <w:r>
        <w:rPr>
          <w:rFonts w:ascii="Arial" w:eastAsia="仿宋" w:hAnsi="Arial" w:cs="Arial"/>
          <w:sz w:val="28"/>
        </w:rPr>
        <w:t>、</w:t>
      </w:r>
      <w:r>
        <w:rPr>
          <w:rFonts w:ascii="Arial" w:eastAsia="仿宋" w:hAnsi="Arial" w:cs="Arial"/>
          <w:sz w:val="28"/>
        </w:rPr>
        <w:t>01-015-2</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01-020</w:t>
      </w:r>
      <w:r>
        <w:rPr>
          <w:rFonts w:ascii="Arial" w:eastAsia="仿宋" w:hAnsi="Arial" w:cs="Arial"/>
          <w:sz w:val="28"/>
        </w:rPr>
        <w:t>、</w:t>
      </w:r>
      <w:r>
        <w:rPr>
          <w:rFonts w:ascii="Arial" w:eastAsia="仿宋" w:hAnsi="Arial" w:cs="Arial"/>
          <w:sz w:val="28"/>
        </w:rPr>
        <w:t>01-025</w:t>
      </w:r>
      <w:r>
        <w:rPr>
          <w:rFonts w:ascii="Arial" w:eastAsia="仿宋" w:hAnsi="Arial" w:cs="Arial"/>
          <w:sz w:val="28"/>
        </w:rPr>
        <w:t>、</w:t>
      </w:r>
      <w:r>
        <w:rPr>
          <w:rFonts w:ascii="Arial" w:eastAsia="仿宋" w:hAnsi="Arial" w:cs="Arial"/>
          <w:sz w:val="28"/>
        </w:rPr>
        <w:t>01-026-1</w:t>
      </w:r>
      <w:r>
        <w:rPr>
          <w:rFonts w:ascii="Arial" w:eastAsia="仿宋" w:hAnsi="Arial" w:cs="Arial"/>
          <w:sz w:val="28"/>
        </w:rPr>
        <w:t>等二类居住用地、托幼用地、商业用地地块</w:t>
      </w:r>
      <w:r>
        <w:rPr>
          <w:rFonts w:ascii="Arial" w:eastAsia="仿宋" w:hAnsi="Arial" w:cs="Arial"/>
          <w:sz w:val="28"/>
        </w:rPr>
        <w:t>“</w:t>
      </w:r>
      <w:r>
        <w:rPr>
          <w:rFonts w:ascii="Arial" w:eastAsia="仿宋" w:hAnsi="Arial" w:cs="Arial"/>
          <w:sz w:val="28"/>
        </w:rPr>
        <w:t>多规合一</w:t>
      </w:r>
      <w:r>
        <w:rPr>
          <w:rFonts w:ascii="Arial" w:eastAsia="仿宋" w:hAnsi="Arial" w:cs="Arial"/>
          <w:sz w:val="28"/>
        </w:rPr>
        <w:t>”</w:t>
      </w:r>
      <w:r>
        <w:rPr>
          <w:rFonts w:ascii="Arial" w:eastAsia="仿宋" w:hAnsi="Arial" w:cs="Arial"/>
          <w:sz w:val="28"/>
        </w:rPr>
        <w:t>协同平台供地审核意见的函》（京</w:t>
      </w:r>
      <w:proofErr w:type="gramStart"/>
      <w:r>
        <w:rPr>
          <w:rFonts w:ascii="Arial" w:eastAsia="仿宋" w:hAnsi="Arial" w:cs="Arial"/>
          <w:sz w:val="28"/>
        </w:rPr>
        <w:t>规</w:t>
      </w:r>
      <w:proofErr w:type="gramEnd"/>
      <w:r>
        <w:rPr>
          <w:rFonts w:ascii="Arial" w:eastAsia="仿宋" w:hAnsi="Arial" w:cs="Arial"/>
          <w:sz w:val="28"/>
        </w:rPr>
        <w:t>自（顺）</w:t>
      </w:r>
      <w:proofErr w:type="gramStart"/>
      <w:r>
        <w:rPr>
          <w:rFonts w:ascii="Arial" w:eastAsia="仿宋" w:hAnsi="Arial" w:cs="Arial"/>
          <w:sz w:val="28"/>
        </w:rPr>
        <w:t>供审函</w:t>
      </w:r>
      <w:proofErr w:type="gramEnd"/>
      <w:r>
        <w:rPr>
          <w:rFonts w:ascii="Arial" w:eastAsia="仿宋" w:hAnsi="Arial" w:cs="Arial"/>
          <w:sz w:val="28"/>
        </w:rPr>
        <w:t>【</w:t>
      </w:r>
      <w:r>
        <w:rPr>
          <w:rFonts w:ascii="Arial" w:eastAsia="仿宋" w:hAnsi="Arial" w:cs="Arial"/>
          <w:sz w:val="28"/>
        </w:rPr>
        <w:t>2023</w:t>
      </w:r>
      <w:r>
        <w:rPr>
          <w:rFonts w:ascii="Arial" w:eastAsia="仿宋" w:hAnsi="Arial" w:cs="Arial"/>
          <w:sz w:val="28"/>
        </w:rPr>
        <w:t>】</w:t>
      </w:r>
      <w:r>
        <w:rPr>
          <w:rFonts w:ascii="Arial" w:eastAsia="仿宋" w:hAnsi="Arial" w:cs="Arial"/>
          <w:sz w:val="28"/>
        </w:rPr>
        <w:t>0004</w:t>
      </w:r>
      <w:r>
        <w:rPr>
          <w:rFonts w:ascii="Arial" w:eastAsia="仿宋" w:hAnsi="Arial" w:cs="Arial"/>
          <w:sz w:val="28"/>
        </w:rPr>
        <w:t>号），本次估价对象</w:t>
      </w:r>
      <w:r>
        <w:rPr>
          <w:rFonts w:ascii="Arial" w:eastAsia="仿宋" w:hAnsi="Arial" w:cs="Arial"/>
          <w:sz w:val="28"/>
        </w:rPr>
        <w:t>01-008</w:t>
      </w:r>
      <w:r>
        <w:rPr>
          <w:rFonts w:ascii="Arial" w:eastAsia="仿宋" w:hAnsi="Arial" w:cs="Arial"/>
          <w:sz w:val="28"/>
        </w:rPr>
        <w:t>等地块共</w:t>
      </w:r>
      <w:r>
        <w:rPr>
          <w:rFonts w:ascii="Arial" w:eastAsia="仿宋" w:hAnsi="Arial" w:cs="Arial"/>
          <w:sz w:val="28"/>
        </w:rPr>
        <w:t>4</w:t>
      </w:r>
      <w:r>
        <w:rPr>
          <w:rFonts w:ascii="Arial" w:eastAsia="仿宋" w:hAnsi="Arial" w:cs="Arial"/>
          <w:sz w:val="28"/>
        </w:rPr>
        <w:t>宗地，用地规模合计为</w:t>
      </w:r>
      <w:r>
        <w:rPr>
          <w:rFonts w:ascii="Arial" w:eastAsia="仿宋" w:hAnsi="Arial" w:cs="Arial"/>
          <w:sz w:val="28"/>
        </w:rPr>
        <w:t>60990.43</w:t>
      </w:r>
      <w:r>
        <w:rPr>
          <w:rFonts w:ascii="Arial" w:eastAsia="仿宋" w:hAnsi="Arial" w:cs="Arial"/>
          <w:sz w:val="28"/>
        </w:rPr>
        <w:t>平方米，全部为建设用地，建筑规模合计为</w:t>
      </w:r>
      <w:r>
        <w:rPr>
          <w:rFonts w:ascii="Arial" w:eastAsia="仿宋" w:hAnsi="Arial" w:cs="Arial"/>
          <w:sz w:val="28"/>
        </w:rPr>
        <w:t>71508.52</w:t>
      </w:r>
      <w:r>
        <w:rPr>
          <w:rFonts w:ascii="Arial" w:eastAsia="仿宋" w:hAnsi="Arial" w:cs="Arial"/>
          <w:sz w:val="28"/>
        </w:rPr>
        <w:t>平方米。</w:t>
      </w:r>
      <w:r>
        <w:rPr>
          <w:rFonts w:ascii="Arial" w:eastAsia="仿宋" w:hAnsi="Arial" w:cs="Arial"/>
          <w:sz w:val="28"/>
          <w:szCs w:val="28"/>
        </w:rPr>
        <w:t>其中，估价对象</w:t>
      </w:r>
      <w:r>
        <w:rPr>
          <w:rFonts w:ascii="Arial" w:eastAsia="仿宋" w:hAnsi="Arial" w:cs="Arial"/>
          <w:sz w:val="28"/>
        </w:rPr>
        <w:t>01-008</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24804.85</w:t>
      </w:r>
      <w:r>
        <w:rPr>
          <w:rFonts w:ascii="Arial" w:eastAsia="仿宋" w:hAnsi="Arial" w:cs="Arial"/>
          <w:sz w:val="28"/>
        </w:rPr>
        <w:t>平方米，地上建筑规模为</w:t>
      </w:r>
      <w:r>
        <w:rPr>
          <w:rFonts w:ascii="Arial" w:eastAsia="仿宋" w:hAnsi="Arial" w:cs="Arial"/>
          <w:sz w:val="28"/>
        </w:rPr>
        <w:t>29765.82</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w:t>
      </w:r>
      <w:r>
        <w:rPr>
          <w:rFonts w:ascii="Arial" w:eastAsia="仿宋" w:hAnsi="Arial" w:cs="Arial"/>
          <w:sz w:val="28"/>
          <w:szCs w:val="28"/>
        </w:rPr>
        <w:t>估价对象</w:t>
      </w:r>
      <w:r>
        <w:rPr>
          <w:rFonts w:ascii="Arial" w:eastAsia="仿宋" w:hAnsi="Arial" w:cs="Arial"/>
          <w:sz w:val="28"/>
        </w:rPr>
        <w:t>01-016</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23103.85</w:t>
      </w:r>
      <w:r>
        <w:rPr>
          <w:rFonts w:ascii="Arial" w:eastAsia="仿宋" w:hAnsi="Arial" w:cs="Arial"/>
          <w:sz w:val="28"/>
        </w:rPr>
        <w:t>平方米，地上建筑规模为</w:t>
      </w:r>
      <w:r>
        <w:rPr>
          <w:rFonts w:ascii="Arial" w:eastAsia="仿宋" w:hAnsi="Arial" w:cs="Arial"/>
          <w:sz w:val="28"/>
        </w:rPr>
        <w:t>27724.62</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w:t>
      </w:r>
      <w:r>
        <w:rPr>
          <w:rFonts w:ascii="Arial" w:eastAsia="仿宋" w:hAnsi="Arial" w:cs="Arial"/>
          <w:sz w:val="28"/>
          <w:szCs w:val="28"/>
        </w:rPr>
        <w:t xml:space="preserve"> </w:t>
      </w:r>
      <w:r>
        <w:rPr>
          <w:rFonts w:ascii="Arial" w:eastAsia="仿宋" w:hAnsi="Arial" w:cs="Arial"/>
          <w:sz w:val="28"/>
          <w:szCs w:val="28"/>
        </w:rPr>
        <w:t>估价对象</w:t>
      </w:r>
      <w:r>
        <w:rPr>
          <w:rFonts w:ascii="Arial" w:eastAsia="仿宋" w:hAnsi="Arial" w:cs="Arial"/>
          <w:sz w:val="28"/>
          <w:szCs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8881.75</w:t>
      </w:r>
      <w:r>
        <w:rPr>
          <w:rFonts w:ascii="Arial" w:eastAsia="仿宋" w:hAnsi="Arial" w:cs="Arial"/>
          <w:sz w:val="28"/>
        </w:rPr>
        <w:t>平方米，地上建筑规模为</w:t>
      </w:r>
      <w:r>
        <w:rPr>
          <w:rFonts w:ascii="Arial" w:eastAsia="仿宋" w:hAnsi="Arial" w:cs="Arial"/>
          <w:sz w:val="28"/>
        </w:rPr>
        <w:t>10658.10</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；另有</w:t>
      </w:r>
      <w:r>
        <w:rPr>
          <w:rFonts w:ascii="Arial" w:eastAsia="仿宋" w:hAnsi="Arial" w:cs="Arial"/>
          <w:sz w:val="28"/>
          <w:szCs w:val="28"/>
        </w:rPr>
        <w:t>估价对象</w:t>
      </w:r>
      <w:r>
        <w:rPr>
          <w:rFonts w:ascii="Arial" w:eastAsia="仿宋" w:hAnsi="Arial" w:cs="Arial"/>
          <w:sz w:val="28"/>
        </w:rPr>
        <w:t>01-020</w:t>
      </w:r>
      <w:r>
        <w:rPr>
          <w:rFonts w:ascii="Arial" w:eastAsia="仿宋" w:hAnsi="Arial" w:cs="Arial"/>
          <w:sz w:val="28"/>
        </w:rPr>
        <w:t>地块（</w:t>
      </w:r>
      <w:r>
        <w:rPr>
          <w:rFonts w:ascii="Arial" w:eastAsia="仿宋" w:hAnsi="Arial" w:cs="Arial"/>
          <w:sz w:val="28"/>
        </w:rPr>
        <w:t>A334</w:t>
      </w:r>
      <w:r>
        <w:rPr>
          <w:rFonts w:ascii="Arial" w:eastAsia="仿宋" w:hAnsi="Arial" w:cs="Arial"/>
          <w:sz w:val="28"/>
        </w:rPr>
        <w:t>托幼用地，不出让）建设用地规模为</w:t>
      </w:r>
      <w:r>
        <w:rPr>
          <w:rFonts w:ascii="Arial" w:eastAsia="仿宋" w:hAnsi="Arial" w:cs="Arial"/>
          <w:sz w:val="28"/>
        </w:rPr>
        <w:t>4199.98</w:t>
      </w:r>
      <w:r>
        <w:rPr>
          <w:rFonts w:ascii="Arial" w:eastAsia="仿宋" w:hAnsi="Arial" w:cs="Arial"/>
          <w:sz w:val="28"/>
        </w:rPr>
        <w:t>平方米，地上建筑规模为</w:t>
      </w:r>
      <w:r>
        <w:rPr>
          <w:rFonts w:ascii="Arial" w:eastAsia="仿宋" w:hAnsi="Arial" w:cs="Arial"/>
          <w:sz w:val="28"/>
        </w:rPr>
        <w:t>3359.98</w:t>
      </w:r>
      <w:r>
        <w:rPr>
          <w:rFonts w:ascii="Arial" w:eastAsia="仿宋" w:hAnsi="Arial" w:cs="Arial"/>
          <w:sz w:val="28"/>
        </w:rPr>
        <w:t>平方米，容积率为</w:t>
      </w:r>
      <w:r>
        <w:rPr>
          <w:rFonts w:ascii="Arial" w:eastAsia="仿宋" w:hAnsi="Arial" w:cs="Arial"/>
          <w:sz w:val="28"/>
        </w:rPr>
        <w:t>0.8</w:t>
      </w:r>
      <w:r>
        <w:rPr>
          <w:rFonts w:ascii="Arial" w:eastAsia="仿宋" w:hAnsi="Arial" w:cs="Arial"/>
          <w:sz w:val="28"/>
        </w:rPr>
        <w:t>。根据《北京市人民政府关于更新出让国有建设用地使用权基准地价的通知》（京政发（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号）中的相关规定，本次评估</w:t>
      </w:r>
      <w:r>
        <w:rPr>
          <w:rFonts w:ascii="Arial" w:eastAsia="仿宋" w:hAnsi="Arial" w:cs="Arial"/>
          <w:sz w:val="28"/>
        </w:rPr>
        <w:t>01-008</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类居住用地）容积率为</w:t>
      </w:r>
      <w:r>
        <w:rPr>
          <w:rFonts w:ascii="Arial" w:eastAsia="仿宋" w:hAnsi="Arial" w:cs="Arial"/>
          <w:sz w:val="28"/>
        </w:rPr>
        <w:t>1.2</w:t>
      </w:r>
      <w:r>
        <w:rPr>
          <w:rFonts w:ascii="Arial" w:eastAsia="仿宋" w:hAnsi="Arial" w:cs="Arial"/>
          <w:sz w:val="28"/>
        </w:rPr>
        <w:t>。</w:t>
      </w:r>
    </w:p>
    <w:p w14:paraId="251C1D26" w14:textId="77777777" w:rsidR="0062768B" w:rsidRDefault="00136729">
      <w:pPr>
        <w:pStyle w:val="-320"/>
        <w:numPr>
          <w:ilvl w:val="0"/>
          <w:numId w:val="5"/>
        </w:numPr>
        <w:adjustRightInd/>
        <w:spacing w:line="300" w:lineRule="auto"/>
        <w:ind w:left="0" w:firstLine="560"/>
        <w:jc w:val="both"/>
        <w:textAlignment w:val="auto"/>
        <w:rPr>
          <w:rFonts w:ascii="Arial" w:eastAsia="仿宋" w:hAnsi="Arial" w:cs="Arial"/>
          <w:sz w:val="28"/>
          <w:szCs w:val="28"/>
        </w:rPr>
      </w:pPr>
      <w:r>
        <w:rPr>
          <w:rFonts w:ascii="Arial" w:eastAsia="仿宋" w:hAnsi="Arial" w:cs="Arial"/>
          <w:sz w:val="28"/>
          <w:szCs w:val="28"/>
        </w:rPr>
        <w:t>地价内涵：</w:t>
      </w:r>
    </w:p>
    <w:p w14:paraId="42970ECD" w14:textId="4EEEB569"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本报告所评估的熟地价为：在公开市场条件下，估价对象宗地在估价期日</w:t>
      </w:r>
      <w:r w:rsidR="00550FB0">
        <w:rPr>
          <w:rFonts w:ascii="Arial" w:eastAsia="仿宋" w:hAnsi="Arial" w:cs="Arial"/>
          <w:sz w:val="28"/>
        </w:rPr>
        <w:t>2023</w:t>
      </w:r>
      <w:r w:rsidR="00550FB0">
        <w:rPr>
          <w:rFonts w:ascii="Arial" w:eastAsia="仿宋" w:hAnsi="Arial" w:cs="Arial"/>
          <w:sz w:val="28"/>
        </w:rPr>
        <w:t>年</w:t>
      </w:r>
      <w:r w:rsidR="00550FB0">
        <w:rPr>
          <w:rFonts w:ascii="Arial" w:eastAsia="仿宋" w:hAnsi="Arial" w:cs="Arial"/>
          <w:sz w:val="28"/>
        </w:rPr>
        <w:t>6</w:t>
      </w:r>
      <w:r w:rsidR="00550FB0">
        <w:rPr>
          <w:rFonts w:ascii="Arial" w:eastAsia="仿宋" w:hAnsi="Arial" w:cs="Arial"/>
          <w:sz w:val="28"/>
        </w:rPr>
        <w:t>月</w:t>
      </w:r>
      <w:r w:rsidR="00550FB0">
        <w:rPr>
          <w:rFonts w:ascii="Arial" w:eastAsia="仿宋" w:hAnsi="Arial" w:cs="Arial"/>
          <w:sz w:val="28"/>
        </w:rPr>
        <w:t>20</w:t>
      </w:r>
      <w:r w:rsidR="00550FB0">
        <w:rPr>
          <w:rFonts w:ascii="Arial" w:eastAsia="仿宋" w:hAnsi="Arial" w:cs="Arial"/>
          <w:sz w:val="28"/>
        </w:rPr>
        <w:t>日</w:t>
      </w:r>
      <w:r>
        <w:rPr>
          <w:rFonts w:ascii="Arial" w:eastAsia="仿宋" w:hAnsi="Arial" w:cs="Arial"/>
          <w:sz w:val="28"/>
        </w:rPr>
        <w:t>，在北京市基准地价住宅类九级</w:t>
      </w:r>
      <w:r>
        <w:rPr>
          <w:rFonts w:ascii="Arial" w:eastAsia="仿宋" w:hAnsi="Arial" w:cs="Arial"/>
          <w:sz w:val="28"/>
        </w:rPr>
        <w:t>IX-</w:t>
      </w:r>
      <w:r>
        <w:rPr>
          <w:rFonts w:ascii="Arial" w:eastAsia="仿宋" w:hAnsi="Arial" w:cs="Arial"/>
          <w:sz w:val="28"/>
        </w:rPr>
        <w:t>顺</w:t>
      </w:r>
      <w:r>
        <w:rPr>
          <w:rFonts w:ascii="Arial" w:eastAsia="仿宋" w:hAnsi="Arial" w:cs="Arial"/>
          <w:sz w:val="28"/>
        </w:rPr>
        <w:t>5</w:t>
      </w:r>
      <w:r>
        <w:rPr>
          <w:rFonts w:ascii="Arial" w:eastAsia="仿宋" w:hAnsi="Arial" w:cs="Arial"/>
          <w:sz w:val="28"/>
        </w:rPr>
        <w:t>区片、</w:t>
      </w:r>
      <w:proofErr w:type="gramStart"/>
      <w:r>
        <w:rPr>
          <w:rFonts w:ascii="Arial" w:eastAsia="仿宋" w:hAnsi="Arial" w:cs="Arial"/>
          <w:sz w:val="28"/>
        </w:rPr>
        <w:t>商服类九级</w:t>
      </w:r>
      <w:proofErr w:type="gramEnd"/>
      <w:r>
        <w:rPr>
          <w:rFonts w:ascii="Arial" w:eastAsia="仿宋" w:hAnsi="Arial" w:cs="Arial"/>
          <w:sz w:val="28"/>
        </w:rPr>
        <w:t>IX-</w:t>
      </w:r>
      <w:r>
        <w:rPr>
          <w:rFonts w:ascii="Arial" w:eastAsia="仿宋" w:hAnsi="Arial" w:cs="Arial"/>
          <w:sz w:val="28"/>
        </w:rPr>
        <w:t>顺</w:t>
      </w:r>
      <w:r>
        <w:rPr>
          <w:rFonts w:ascii="Arial" w:eastAsia="仿宋" w:hAnsi="Arial" w:cs="Arial"/>
          <w:sz w:val="28"/>
        </w:rPr>
        <w:t>5</w:t>
      </w:r>
      <w:r>
        <w:rPr>
          <w:rFonts w:ascii="Arial" w:eastAsia="仿宋" w:hAnsi="Arial" w:cs="Arial"/>
          <w:sz w:val="28"/>
        </w:rPr>
        <w:t>区片、公共服务类九级</w:t>
      </w:r>
      <w:r>
        <w:rPr>
          <w:rFonts w:ascii="Arial" w:eastAsia="仿宋" w:hAnsi="Arial" w:cs="Arial"/>
          <w:sz w:val="28"/>
        </w:rPr>
        <w:t>IX-</w:t>
      </w:r>
      <w:r>
        <w:rPr>
          <w:rFonts w:ascii="Arial" w:eastAsia="仿宋" w:hAnsi="Arial" w:cs="Arial"/>
          <w:sz w:val="28"/>
        </w:rPr>
        <w:t>顺</w:t>
      </w:r>
      <w:r>
        <w:rPr>
          <w:rFonts w:ascii="Arial" w:eastAsia="仿宋" w:hAnsi="Arial" w:cs="Arial"/>
          <w:sz w:val="28"/>
        </w:rPr>
        <w:t>5</w:t>
      </w:r>
      <w:r>
        <w:rPr>
          <w:rFonts w:ascii="Arial" w:eastAsia="仿宋" w:hAnsi="Arial" w:cs="Arial"/>
          <w:sz w:val="28"/>
        </w:rPr>
        <w:t>区片，宗地实际开发程度为宗地外</w:t>
      </w:r>
      <w:r>
        <w:rPr>
          <w:rFonts w:ascii="Arial" w:eastAsia="仿宋" w:hAnsi="Arial" w:cs="Arial"/>
          <w:sz w:val="28"/>
        </w:rPr>
        <w:t>“</w:t>
      </w:r>
      <w:r>
        <w:rPr>
          <w:rFonts w:ascii="Arial" w:eastAsia="仿宋" w:hAnsi="Arial" w:cs="Arial"/>
          <w:sz w:val="28"/>
        </w:rPr>
        <w:t>六通</w:t>
      </w:r>
      <w:r>
        <w:rPr>
          <w:rFonts w:ascii="Arial" w:eastAsia="仿宋" w:hAnsi="Arial" w:cs="Arial"/>
          <w:sz w:val="28"/>
        </w:rPr>
        <w:t>”</w:t>
      </w:r>
      <w:r>
        <w:rPr>
          <w:rFonts w:ascii="Arial" w:eastAsia="仿宋" w:hAnsi="Arial" w:cs="Arial"/>
          <w:sz w:val="28"/>
        </w:rPr>
        <w:t>（通路、通上水（自来水、中水）、通下水（雨水、污水）、通电（管沟、电缆）、通燃气、通热力），宗地红线内场地平整；根据</w:t>
      </w:r>
      <w:r w:rsidR="00791FE1">
        <w:rPr>
          <w:rFonts w:ascii="Arial" w:eastAsia="仿宋_GB2312" w:hAnsi="Arial" w:cs="Arial" w:hint="eastAsia"/>
          <w:sz w:val="28"/>
          <w:szCs w:val="28"/>
        </w:rPr>
        <w:t>《北京市顺义区人民政府关于顺义区高丽营镇夏县营村棚户区改造土地开发项目</w:t>
      </w:r>
      <w:r w:rsidR="00791FE1">
        <w:rPr>
          <w:rFonts w:ascii="Arial" w:eastAsia="仿宋_GB2312" w:hAnsi="Arial" w:cs="Arial" w:hint="eastAsia"/>
          <w:sz w:val="28"/>
          <w:szCs w:val="28"/>
        </w:rPr>
        <w:t>01-008</w:t>
      </w:r>
      <w:r w:rsidR="00791FE1">
        <w:rPr>
          <w:rFonts w:ascii="Arial" w:eastAsia="仿宋_GB2312" w:hAnsi="Arial" w:cs="Arial" w:hint="eastAsia"/>
          <w:sz w:val="28"/>
          <w:szCs w:val="28"/>
        </w:rPr>
        <w:t>、</w:t>
      </w:r>
      <w:r w:rsidR="00791FE1">
        <w:rPr>
          <w:rFonts w:ascii="Arial" w:eastAsia="仿宋_GB2312" w:hAnsi="Arial" w:cs="Arial" w:hint="eastAsia"/>
          <w:sz w:val="28"/>
          <w:szCs w:val="28"/>
        </w:rPr>
        <w:t>01-016</w:t>
      </w:r>
      <w:r w:rsidR="00791FE1">
        <w:rPr>
          <w:rFonts w:ascii="Arial" w:eastAsia="仿宋_GB2312" w:hAnsi="Arial" w:cs="Arial" w:hint="eastAsia"/>
          <w:sz w:val="28"/>
          <w:szCs w:val="28"/>
        </w:rPr>
        <w:t>、</w:t>
      </w:r>
      <w:r w:rsidR="00791FE1">
        <w:rPr>
          <w:rFonts w:ascii="Arial" w:eastAsia="仿宋_GB2312" w:hAnsi="Arial" w:cs="Arial" w:hint="eastAsia"/>
          <w:sz w:val="28"/>
          <w:szCs w:val="28"/>
        </w:rPr>
        <w:t>01-026-1</w:t>
      </w:r>
      <w:r w:rsidR="00791FE1">
        <w:rPr>
          <w:rFonts w:ascii="Arial" w:eastAsia="仿宋_GB2312" w:hAnsi="Arial" w:cs="Arial" w:hint="eastAsia"/>
          <w:sz w:val="28"/>
          <w:szCs w:val="28"/>
        </w:rPr>
        <w:t>、</w:t>
      </w:r>
      <w:r w:rsidR="00791FE1">
        <w:rPr>
          <w:rFonts w:ascii="Arial" w:eastAsia="仿宋_GB2312" w:hAnsi="Arial" w:cs="Arial" w:hint="eastAsia"/>
          <w:sz w:val="28"/>
          <w:szCs w:val="28"/>
        </w:rPr>
        <w:t>01-020</w:t>
      </w:r>
      <w:r w:rsidR="00791FE1">
        <w:rPr>
          <w:rFonts w:ascii="Arial" w:eastAsia="仿宋_GB2312" w:hAnsi="Arial" w:cs="Arial" w:hint="eastAsia"/>
          <w:sz w:val="28"/>
          <w:szCs w:val="28"/>
        </w:rPr>
        <w:t>地块提请地价审核有关事宜的函》（</w:t>
      </w:r>
      <w:proofErr w:type="gramStart"/>
      <w:r w:rsidR="00791FE1">
        <w:rPr>
          <w:rFonts w:ascii="Arial" w:eastAsia="仿宋_GB2312" w:hAnsi="Arial" w:cs="Arial" w:hint="eastAsia"/>
          <w:sz w:val="28"/>
          <w:szCs w:val="28"/>
        </w:rPr>
        <w:t>顺政函</w:t>
      </w:r>
      <w:proofErr w:type="gramEnd"/>
      <w:r w:rsidR="00791FE1">
        <w:rPr>
          <w:rFonts w:ascii="Arial" w:eastAsia="仿宋_GB2312" w:hAnsi="Arial" w:cs="Arial" w:hint="eastAsia"/>
          <w:sz w:val="28"/>
          <w:szCs w:val="28"/>
        </w:rPr>
        <w:t>【</w:t>
      </w:r>
      <w:r w:rsidR="00791FE1">
        <w:rPr>
          <w:rFonts w:ascii="Arial" w:eastAsia="仿宋_GB2312" w:hAnsi="Arial" w:cs="Arial" w:hint="eastAsia"/>
          <w:sz w:val="28"/>
          <w:szCs w:val="28"/>
        </w:rPr>
        <w:t>2023</w:t>
      </w:r>
      <w:r w:rsidR="00791FE1">
        <w:rPr>
          <w:rFonts w:ascii="Arial" w:eastAsia="仿宋_GB2312" w:hAnsi="Arial" w:cs="Arial" w:hint="eastAsia"/>
          <w:sz w:val="28"/>
          <w:szCs w:val="28"/>
        </w:rPr>
        <w:t>】</w:t>
      </w:r>
      <w:r w:rsidR="00791FE1">
        <w:rPr>
          <w:rFonts w:ascii="Arial" w:eastAsia="仿宋_GB2312" w:hAnsi="Arial" w:cs="Arial" w:hint="eastAsia"/>
          <w:sz w:val="28"/>
          <w:szCs w:val="28"/>
        </w:rPr>
        <w:t>151</w:t>
      </w:r>
      <w:r w:rsidR="00791FE1">
        <w:rPr>
          <w:rFonts w:ascii="Arial" w:eastAsia="仿宋_GB2312" w:hAnsi="Arial" w:cs="Arial" w:hint="eastAsia"/>
          <w:sz w:val="28"/>
          <w:szCs w:val="28"/>
        </w:rPr>
        <w:t>号）</w:t>
      </w:r>
      <w:r>
        <w:rPr>
          <w:rFonts w:ascii="Arial" w:eastAsia="仿宋" w:hAnsi="Arial" w:cs="Arial"/>
          <w:sz w:val="28"/>
        </w:rPr>
        <w:t>，评估设定土地开发程度为宗地外</w:t>
      </w:r>
      <w:r>
        <w:rPr>
          <w:rFonts w:ascii="Arial" w:eastAsia="仿宋" w:hAnsi="Arial" w:cs="Arial"/>
          <w:sz w:val="28"/>
        </w:rPr>
        <w:t>“</w:t>
      </w:r>
      <w:r>
        <w:rPr>
          <w:rFonts w:ascii="Arial" w:eastAsia="仿宋" w:hAnsi="Arial" w:cs="Arial"/>
          <w:sz w:val="28"/>
        </w:rPr>
        <w:t>六通</w:t>
      </w:r>
      <w:r>
        <w:rPr>
          <w:rFonts w:ascii="Arial" w:eastAsia="仿宋" w:hAnsi="Arial" w:cs="Arial"/>
          <w:sz w:val="28"/>
        </w:rPr>
        <w:t>”</w:t>
      </w:r>
      <w:r w:rsidR="00835791">
        <w:rPr>
          <w:rFonts w:ascii="Arial" w:eastAsia="仿宋" w:hAnsi="Arial" w:cs="Arial"/>
          <w:sz w:val="28"/>
        </w:rPr>
        <w:t>（通路、通上水（自来水、中水）、通下水（雨水、污水）、通电、</w:t>
      </w:r>
      <w:r w:rsidR="00835791">
        <w:rPr>
          <w:rFonts w:ascii="Arial" w:eastAsia="仿宋" w:hAnsi="Arial" w:cs="Arial"/>
          <w:sz w:val="28"/>
        </w:rPr>
        <w:lastRenderedPageBreak/>
        <w:t>通燃气、通热力）</w:t>
      </w:r>
      <w:r>
        <w:rPr>
          <w:rFonts w:ascii="Arial" w:eastAsia="仿宋" w:hAnsi="Arial" w:cs="Arial"/>
          <w:sz w:val="28"/>
        </w:rPr>
        <w:t>，宗地红线内场地平整，规划用地性质为</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类居住用地，评估设定用途为住宅、商业（其他商服）及公共服务，评估设定土地使用年限为住宅用途法定最高使用年限</w:t>
      </w:r>
      <w:r>
        <w:rPr>
          <w:rFonts w:ascii="Arial" w:eastAsia="仿宋" w:hAnsi="Arial" w:cs="Arial"/>
          <w:sz w:val="28"/>
        </w:rPr>
        <w:t>70</w:t>
      </w:r>
      <w:r>
        <w:rPr>
          <w:rFonts w:ascii="Arial" w:eastAsia="仿宋" w:hAnsi="Arial" w:cs="Arial"/>
          <w:sz w:val="28"/>
        </w:rPr>
        <w:t>年、商业（其他商服）用途法定最高使用年限</w:t>
      </w:r>
      <w:r>
        <w:rPr>
          <w:rFonts w:ascii="Arial" w:eastAsia="仿宋" w:hAnsi="Arial" w:cs="Arial"/>
          <w:sz w:val="28"/>
        </w:rPr>
        <w:t>40</w:t>
      </w:r>
      <w:r>
        <w:rPr>
          <w:rFonts w:ascii="Arial" w:eastAsia="仿宋" w:hAnsi="Arial" w:cs="Arial"/>
          <w:sz w:val="28"/>
        </w:rPr>
        <w:t>年，公共服务用途法定最高使用年限</w:t>
      </w:r>
      <w:r>
        <w:rPr>
          <w:rFonts w:ascii="Arial" w:eastAsia="仿宋" w:hAnsi="Arial" w:cs="Arial"/>
          <w:sz w:val="28"/>
        </w:rPr>
        <w:t>50</w:t>
      </w:r>
      <w:r>
        <w:rPr>
          <w:rFonts w:ascii="Arial" w:eastAsia="仿宋" w:hAnsi="Arial" w:cs="Arial"/>
          <w:sz w:val="28"/>
        </w:rPr>
        <w:t>年，土地面积为</w:t>
      </w:r>
      <w:r>
        <w:rPr>
          <w:rFonts w:ascii="Arial" w:eastAsia="仿宋" w:hAnsi="Arial" w:cs="Arial"/>
          <w:sz w:val="28"/>
        </w:rPr>
        <w:t>56790.45</w:t>
      </w:r>
      <w:r>
        <w:rPr>
          <w:rFonts w:ascii="Arial" w:eastAsia="仿宋" w:hAnsi="Arial" w:cs="Arial"/>
          <w:sz w:val="28"/>
        </w:rPr>
        <w:t>平方米，</w:t>
      </w:r>
      <w:r>
        <w:rPr>
          <w:rFonts w:ascii="Arial" w:eastAsia="仿宋" w:hAnsi="Arial" w:cs="Arial"/>
          <w:sz w:val="28"/>
        </w:rPr>
        <w:t>01-008</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类居住用地）容积率为</w:t>
      </w:r>
      <w:r>
        <w:rPr>
          <w:rFonts w:ascii="Arial" w:eastAsia="仿宋" w:hAnsi="Arial" w:cs="Arial"/>
          <w:sz w:val="28"/>
        </w:rPr>
        <w:t>1.2</w:t>
      </w:r>
      <w:r>
        <w:rPr>
          <w:rFonts w:ascii="Arial" w:eastAsia="仿宋" w:hAnsi="Arial" w:cs="Arial"/>
          <w:sz w:val="28"/>
        </w:rPr>
        <w:t>；在规划利用条件下的出让国有建设用地使用权价格。</w:t>
      </w:r>
    </w:p>
    <w:p w14:paraId="381F99B4"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根据《</w:t>
      </w:r>
      <w:r>
        <w:rPr>
          <w:rFonts w:ascii="Arial" w:eastAsia="仿宋" w:hAnsi="Arial" w:cs="Arial"/>
          <w:sz w:val="28"/>
        </w:rPr>
        <w:t>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w:t>
      </w:r>
      <w:r>
        <w:rPr>
          <w:rFonts w:ascii="Arial" w:eastAsia="仿宋" w:hAnsi="Arial" w:cs="Arial"/>
          <w:sz w:val="28"/>
          <w:szCs w:val="28"/>
        </w:rPr>
        <w:t>），国有建设用地使用权出让政府土地收益</w:t>
      </w:r>
      <w:proofErr w:type="gramStart"/>
      <w:r>
        <w:rPr>
          <w:rFonts w:ascii="Arial" w:eastAsia="仿宋" w:hAnsi="Arial" w:cs="Arial"/>
          <w:sz w:val="28"/>
          <w:szCs w:val="28"/>
        </w:rPr>
        <w:t>按照楼</w:t>
      </w:r>
      <w:proofErr w:type="gramEnd"/>
      <w:r>
        <w:rPr>
          <w:rFonts w:ascii="Arial" w:eastAsia="仿宋" w:hAnsi="Arial" w:cs="Arial"/>
          <w:sz w:val="28"/>
          <w:szCs w:val="28"/>
        </w:rPr>
        <w:t>面熟地及</w:t>
      </w:r>
      <w:proofErr w:type="gramStart"/>
      <w:r>
        <w:rPr>
          <w:rFonts w:ascii="Arial" w:eastAsia="仿宋" w:hAnsi="Arial" w:cs="Arial"/>
          <w:sz w:val="28"/>
          <w:szCs w:val="28"/>
        </w:rPr>
        <w:t>各土地</w:t>
      </w:r>
      <w:proofErr w:type="gramEnd"/>
      <w:r>
        <w:rPr>
          <w:rFonts w:ascii="Arial" w:eastAsia="仿宋" w:hAnsi="Arial" w:cs="Arial"/>
          <w:sz w:val="28"/>
          <w:szCs w:val="28"/>
        </w:rPr>
        <w:t>用途的政府土地收益比例确定。参照</w:t>
      </w:r>
      <w:r>
        <w:rPr>
          <w:rFonts w:ascii="Arial" w:eastAsia="仿宋" w:hAnsi="Arial" w:cs="Arial"/>
          <w:sz w:val="28"/>
        </w:rPr>
        <w:t>商业、办公、住宅、公共服务类基准地价的，政府土地出让收益按照政府</w:t>
      </w:r>
      <w:proofErr w:type="gramStart"/>
      <w:r>
        <w:rPr>
          <w:rFonts w:ascii="Arial" w:eastAsia="仿宋" w:hAnsi="Arial" w:cs="Arial"/>
          <w:sz w:val="28"/>
        </w:rPr>
        <w:t>审定楼</w:t>
      </w:r>
      <w:proofErr w:type="gramEnd"/>
      <w:r>
        <w:rPr>
          <w:rFonts w:ascii="Arial" w:eastAsia="仿宋" w:hAnsi="Arial" w:cs="Arial"/>
          <w:sz w:val="28"/>
        </w:rPr>
        <w:t>面熟地价的</w:t>
      </w:r>
      <w:r>
        <w:rPr>
          <w:rFonts w:ascii="Arial" w:eastAsia="仿宋" w:hAnsi="Arial" w:cs="Arial"/>
          <w:sz w:val="28"/>
        </w:rPr>
        <w:t>25%</w:t>
      </w:r>
      <w:r>
        <w:rPr>
          <w:rFonts w:ascii="Arial" w:eastAsia="仿宋" w:hAnsi="Arial" w:cs="Arial"/>
          <w:sz w:val="28"/>
        </w:rPr>
        <w:t>确定</w:t>
      </w:r>
      <w:r>
        <w:rPr>
          <w:rFonts w:ascii="Arial" w:eastAsia="仿宋_GB2312" w:hAnsi="Arial" w:cs="Arial"/>
          <w:sz w:val="28"/>
          <w:szCs w:val="28"/>
        </w:rPr>
        <w:t>。</w:t>
      </w:r>
    </w:p>
    <w:p w14:paraId="2F584FF4" w14:textId="77777777" w:rsidR="0062768B" w:rsidRDefault="0062768B">
      <w:pPr>
        <w:snapToGrid w:val="0"/>
        <w:spacing w:line="300" w:lineRule="auto"/>
        <w:ind w:firstLine="556"/>
        <w:jc w:val="both"/>
        <w:rPr>
          <w:rFonts w:ascii="Arial" w:eastAsia="仿宋_GB2312" w:hAnsi="Arial" w:cs="Arial"/>
          <w:sz w:val="28"/>
          <w:szCs w:val="28"/>
        </w:rPr>
      </w:pPr>
    </w:p>
    <w:p w14:paraId="6A001B01" w14:textId="77777777" w:rsidR="0062768B" w:rsidRDefault="00136729">
      <w:pPr>
        <w:tabs>
          <w:tab w:val="left" w:pos="6957"/>
        </w:tabs>
        <w:spacing w:line="300" w:lineRule="auto"/>
        <w:jc w:val="both"/>
        <w:outlineLvl w:val="1"/>
        <w:rPr>
          <w:rFonts w:ascii="Arial" w:eastAsia="仿宋_GB2312" w:hAnsi="Arial" w:cs="Arial"/>
          <w:b/>
          <w:bCs/>
          <w:sz w:val="28"/>
        </w:rPr>
      </w:pPr>
      <w:bookmarkStart w:id="56" w:name="_Toc515458363"/>
      <w:bookmarkStart w:id="57" w:name="_Toc531701555"/>
      <w:bookmarkStart w:id="58" w:name="_Toc520261130"/>
      <w:bookmarkStart w:id="59" w:name="_Toc132016726"/>
      <w:bookmarkStart w:id="60" w:name="_Toc138062996"/>
      <w:r>
        <w:rPr>
          <w:rFonts w:ascii="Arial" w:eastAsia="仿宋_GB2312" w:hAnsi="Arial" w:cs="Arial"/>
          <w:b/>
          <w:bCs/>
          <w:sz w:val="28"/>
        </w:rPr>
        <w:t>七、估价结果</w:t>
      </w:r>
      <w:bookmarkEnd w:id="56"/>
      <w:bookmarkEnd w:id="57"/>
      <w:bookmarkEnd w:id="58"/>
      <w:bookmarkEnd w:id="59"/>
      <w:bookmarkEnd w:id="60"/>
    </w:p>
    <w:p w14:paraId="2118EDA0" w14:textId="77777777" w:rsidR="0062768B" w:rsidRDefault="00136729">
      <w:pPr>
        <w:spacing w:line="300" w:lineRule="auto"/>
        <w:ind w:firstLineChars="200" w:firstLine="562"/>
        <w:jc w:val="both"/>
        <w:rPr>
          <w:rFonts w:ascii="Arial" w:eastAsia="仿宋_GB2312" w:hAnsi="Arial" w:cs="Arial"/>
          <w:kern w:val="2"/>
          <w:sz w:val="28"/>
        </w:rPr>
      </w:pPr>
      <w:bookmarkStart w:id="61" w:name="_Toc425250308"/>
      <w:bookmarkStart w:id="62" w:name="_Toc520261131"/>
      <w:bookmarkStart w:id="63" w:name="_Toc416783524"/>
      <w:bookmarkStart w:id="64" w:name="_Toc418750886"/>
      <w:bookmarkStart w:id="65" w:name="_Toc531701556"/>
      <w:bookmarkStart w:id="66" w:name="_Toc469066308"/>
      <w:r>
        <w:rPr>
          <w:rFonts w:ascii="黑体" w:eastAsia="黑体" w:hAnsi="黑体" w:cs="Arial"/>
          <w:b/>
          <w:sz w:val="28"/>
        </w:rPr>
        <w:t>估价对象位于北京市基准地价住宅</w:t>
      </w:r>
      <w:r>
        <w:rPr>
          <w:rFonts w:ascii="黑体" w:eastAsia="黑体" w:hAnsi="黑体" w:cs="Arial" w:hint="eastAsia"/>
          <w:b/>
          <w:sz w:val="28"/>
        </w:rPr>
        <w:t>九级（IX-顺5）</w:t>
      </w:r>
      <w:r>
        <w:rPr>
          <w:rFonts w:ascii="黑体" w:eastAsia="黑体" w:hAnsi="黑体" w:cs="Arial"/>
          <w:b/>
          <w:sz w:val="28"/>
        </w:rPr>
        <w:t>、商业</w:t>
      </w:r>
      <w:r>
        <w:rPr>
          <w:rFonts w:ascii="黑体" w:eastAsia="黑体" w:hAnsi="黑体" w:cs="Arial" w:hint="eastAsia"/>
          <w:b/>
          <w:sz w:val="28"/>
        </w:rPr>
        <w:t>（其他商服）九级（IX-顺5）</w:t>
      </w:r>
      <w:r>
        <w:rPr>
          <w:rFonts w:ascii="黑体" w:eastAsia="黑体" w:hAnsi="黑体" w:cs="Arial"/>
          <w:b/>
          <w:sz w:val="28"/>
        </w:rPr>
        <w:t>、</w:t>
      </w:r>
      <w:r>
        <w:rPr>
          <w:rFonts w:ascii="黑体" w:eastAsia="黑体" w:hAnsi="黑体" w:cs="Arial" w:hint="eastAsia"/>
          <w:b/>
          <w:sz w:val="28"/>
        </w:rPr>
        <w:t>公共服务九级（IX-顺5）</w:t>
      </w:r>
      <w:r>
        <w:rPr>
          <w:rFonts w:ascii="黑体" w:eastAsia="黑体" w:hAnsi="黑体" w:cs="Arial"/>
          <w:b/>
          <w:sz w:val="28"/>
        </w:rPr>
        <w:t>范围内</w:t>
      </w:r>
      <w:r>
        <w:rPr>
          <w:rFonts w:ascii="Arial" w:eastAsia="黑体" w:hAnsi="Arial" w:cs="Arial"/>
          <w:b/>
          <w:sz w:val="28"/>
        </w:rPr>
        <w:t>。</w:t>
      </w:r>
      <w:r>
        <w:rPr>
          <w:rFonts w:ascii="Arial" w:eastAsia="仿宋_GB2312" w:hAnsi="Arial" w:cs="Arial"/>
          <w:kern w:val="2"/>
          <w:sz w:val="28"/>
        </w:rPr>
        <w:t>土地估价专业评估师根据估价的目的，按照估价的程序，采用科学的估价方法（基准地价系数修正法和剩余法），在认真分析现有资料的基础上，通过仔细测算和认真分析各种影响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w:t>
      </w:r>
      <w:r>
        <w:rPr>
          <w:rFonts w:ascii="Arial" w:eastAsia="仿宋_GB2312" w:hAnsi="Arial" w:cs="Arial"/>
          <w:kern w:val="2"/>
          <w:sz w:val="28"/>
        </w:rPr>
        <w:t>楼面熟地价、政府土地出让收益、土地开发总成本为：</w:t>
      </w:r>
    </w:p>
    <w:p w14:paraId="5460DB0E" w14:textId="77777777" w:rsidR="0062768B" w:rsidRDefault="00136729">
      <w:pPr>
        <w:snapToGrid w:val="0"/>
        <w:spacing w:line="300" w:lineRule="auto"/>
        <w:ind w:firstLineChars="200" w:firstLine="562"/>
        <w:rPr>
          <w:rFonts w:ascii="Arial" w:eastAsia="仿宋_GB2312" w:hAnsi="Arial" w:cs="Arial"/>
          <w:b/>
          <w:kern w:val="2"/>
          <w:sz w:val="28"/>
        </w:rPr>
      </w:pPr>
      <w:r>
        <w:rPr>
          <w:rFonts w:ascii="Arial" w:eastAsia="仿宋_GB2312" w:hAnsi="Arial" w:cs="Arial"/>
          <w:b/>
          <w:kern w:val="2"/>
          <w:sz w:val="28"/>
        </w:rPr>
        <w:t>熟地价：</w:t>
      </w:r>
    </w:p>
    <w:p w14:paraId="22C09050"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熟地价总额：</w:t>
      </w:r>
      <w:r>
        <w:rPr>
          <w:rFonts w:ascii="Arial" w:eastAsia="仿宋_GB2312" w:hAnsi="Arial" w:cs="Arial"/>
          <w:kern w:val="2"/>
          <w:sz w:val="28"/>
        </w:rPr>
        <w:t xml:space="preserve">103245.0381 </w:t>
      </w:r>
      <w:r>
        <w:rPr>
          <w:rFonts w:ascii="Arial" w:eastAsia="仿宋_GB2312" w:hAnsi="Arial" w:cs="Arial"/>
          <w:kern w:val="2"/>
          <w:sz w:val="28"/>
        </w:rPr>
        <w:t>万元</w:t>
      </w:r>
    </w:p>
    <w:p w14:paraId="506D19F0"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壹拾亿零叁仟贰佰肆拾伍万零叁佰捌拾壹</w:t>
      </w:r>
      <w:proofErr w:type="gramEnd"/>
      <w:r>
        <w:rPr>
          <w:rFonts w:ascii="Arial" w:eastAsia="仿宋_GB2312" w:hAnsi="Arial" w:cs="Arial"/>
          <w:kern w:val="2"/>
          <w:sz w:val="28"/>
        </w:rPr>
        <w:t>元整</w:t>
      </w:r>
    </w:p>
    <w:p w14:paraId="0488F3F8" w14:textId="77777777" w:rsidR="0062768B" w:rsidRDefault="00136729">
      <w:pPr>
        <w:snapToGrid w:val="0"/>
        <w:spacing w:line="300" w:lineRule="auto"/>
        <w:ind w:firstLineChars="200" w:firstLine="562"/>
        <w:rPr>
          <w:rFonts w:ascii="Arial" w:eastAsia="仿宋_GB2312" w:hAnsi="Arial" w:cs="Arial"/>
          <w:b/>
          <w:kern w:val="2"/>
          <w:sz w:val="28"/>
        </w:rPr>
      </w:pPr>
      <w:r>
        <w:rPr>
          <w:rFonts w:ascii="Arial" w:eastAsia="仿宋_GB2312" w:hAnsi="Arial" w:cs="Arial"/>
          <w:b/>
          <w:kern w:val="2"/>
          <w:sz w:val="28"/>
        </w:rPr>
        <w:t>政府土地出让收益：</w:t>
      </w:r>
    </w:p>
    <w:p w14:paraId="1504142A"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政府土地出让收益总额：</w:t>
      </w:r>
      <w:r>
        <w:rPr>
          <w:rFonts w:ascii="Arial" w:eastAsia="仿宋_GB2312" w:hAnsi="Arial" w:cs="Arial"/>
          <w:kern w:val="2"/>
          <w:sz w:val="28"/>
        </w:rPr>
        <w:t>25814.6670</w:t>
      </w:r>
      <w:r>
        <w:rPr>
          <w:rFonts w:ascii="Arial" w:eastAsia="仿宋_GB2312" w:hAnsi="Arial" w:cs="Arial"/>
          <w:kern w:val="2"/>
          <w:sz w:val="28"/>
        </w:rPr>
        <w:t>万元</w:t>
      </w:r>
    </w:p>
    <w:p w14:paraId="58864308"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贰亿伍仟捌佰壹拾肆万陆仟陆佰柒拾</w:t>
      </w:r>
      <w:proofErr w:type="gramEnd"/>
      <w:r>
        <w:rPr>
          <w:rFonts w:ascii="Arial" w:eastAsia="仿宋_GB2312" w:hAnsi="Arial" w:cs="Arial"/>
          <w:kern w:val="2"/>
          <w:sz w:val="28"/>
        </w:rPr>
        <w:t>元整</w:t>
      </w:r>
    </w:p>
    <w:p w14:paraId="31C67774"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详见《估价结果汇总表》</w:t>
      </w:r>
    </w:p>
    <w:p w14:paraId="25E1660C" w14:textId="77777777" w:rsidR="0062768B" w:rsidRDefault="00136729">
      <w:pPr>
        <w:snapToGrid w:val="0"/>
        <w:spacing w:line="300" w:lineRule="auto"/>
        <w:ind w:firstLineChars="200" w:firstLine="562"/>
        <w:rPr>
          <w:rFonts w:ascii="Arial" w:eastAsia="仿宋_GB2312" w:hAnsi="Arial" w:cs="Arial"/>
          <w:b/>
          <w:kern w:val="2"/>
          <w:sz w:val="28"/>
        </w:rPr>
      </w:pPr>
      <w:r>
        <w:rPr>
          <w:rFonts w:ascii="Arial" w:eastAsia="仿宋_GB2312" w:hAnsi="Arial" w:cs="Arial"/>
          <w:b/>
          <w:kern w:val="2"/>
          <w:sz w:val="28"/>
        </w:rPr>
        <w:t>土地开发总成本：</w:t>
      </w:r>
      <w:r>
        <w:rPr>
          <w:rFonts w:ascii="Arial" w:eastAsia="仿宋_GB2312" w:hAnsi="Arial" w:cs="Arial" w:hint="eastAsia"/>
          <w:b/>
          <w:kern w:val="2"/>
          <w:sz w:val="28"/>
        </w:rPr>
        <w:t xml:space="preserve"> </w:t>
      </w:r>
    </w:p>
    <w:p w14:paraId="5314AA15"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土地开发总成本：</w:t>
      </w:r>
      <w:r w:rsidR="00550FB0">
        <w:rPr>
          <w:rFonts w:ascii="Arial" w:eastAsia="仿宋_GB2312" w:hAnsi="Arial" w:cs="Arial" w:hint="eastAsia"/>
          <w:kern w:val="2"/>
          <w:sz w:val="28"/>
        </w:rPr>
        <w:t>78853.6400</w:t>
      </w:r>
      <w:r>
        <w:rPr>
          <w:rFonts w:ascii="Arial" w:eastAsia="仿宋_GB2312" w:hAnsi="Arial" w:cs="Arial"/>
          <w:kern w:val="2"/>
          <w:sz w:val="28"/>
        </w:rPr>
        <w:t>万元</w:t>
      </w:r>
    </w:p>
    <w:p w14:paraId="5ACDCBA8"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大写金额：</w:t>
      </w:r>
      <w:proofErr w:type="gramStart"/>
      <w:r w:rsidR="00550FB0">
        <w:rPr>
          <w:rFonts w:ascii="Arial" w:eastAsia="仿宋_GB2312" w:hAnsi="Arial" w:cs="Arial" w:hint="eastAsia"/>
          <w:kern w:val="2"/>
          <w:sz w:val="28"/>
        </w:rPr>
        <w:t>柒亿捌仟捌佰伍拾叁万陆仟肆佰</w:t>
      </w:r>
      <w:proofErr w:type="gramEnd"/>
      <w:r>
        <w:rPr>
          <w:rFonts w:ascii="Arial" w:eastAsia="仿宋_GB2312" w:hAnsi="Arial" w:cs="Arial"/>
          <w:kern w:val="2"/>
          <w:sz w:val="28"/>
        </w:rPr>
        <w:t>元整</w:t>
      </w:r>
    </w:p>
    <w:p w14:paraId="240AD8AE"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详见《估价结果汇总表》</w:t>
      </w:r>
    </w:p>
    <w:p w14:paraId="4F274D39" w14:textId="77777777" w:rsidR="0062768B" w:rsidRDefault="00136729">
      <w:pPr>
        <w:snapToGrid w:val="0"/>
        <w:spacing w:line="300" w:lineRule="auto"/>
        <w:ind w:firstLineChars="200" w:firstLine="562"/>
        <w:rPr>
          <w:rFonts w:ascii="Arial" w:eastAsia="仿宋_GB2312" w:hAnsi="Arial" w:cs="Arial"/>
          <w:b/>
          <w:kern w:val="2"/>
          <w:sz w:val="28"/>
        </w:rPr>
      </w:pPr>
      <w:r>
        <w:rPr>
          <w:rFonts w:ascii="Arial" w:eastAsia="仿宋_GB2312" w:hAnsi="Arial" w:cs="Arial"/>
          <w:b/>
          <w:kern w:val="2"/>
          <w:sz w:val="28"/>
        </w:rPr>
        <w:t>本项目不存在回迁、回购等实物补偿内容。</w:t>
      </w:r>
    </w:p>
    <w:p w14:paraId="1FD8F1DE" w14:textId="77777777" w:rsidR="0062768B" w:rsidRDefault="0062768B">
      <w:pPr>
        <w:snapToGrid w:val="0"/>
        <w:spacing w:beforeLines="50" w:before="120" w:line="300" w:lineRule="auto"/>
        <w:ind w:firstLineChars="200" w:firstLine="480"/>
      </w:pPr>
    </w:p>
    <w:tbl>
      <w:tblPr>
        <w:tblW w:w="9072" w:type="dxa"/>
        <w:jc w:val="center"/>
        <w:tblLayout w:type="fixed"/>
        <w:tblLook w:val="04A0" w:firstRow="1" w:lastRow="0" w:firstColumn="1" w:lastColumn="0" w:noHBand="0" w:noVBand="1"/>
      </w:tblPr>
      <w:tblGrid>
        <w:gridCol w:w="3403"/>
        <w:gridCol w:w="1843"/>
        <w:gridCol w:w="1596"/>
        <w:gridCol w:w="2230"/>
      </w:tblGrid>
      <w:tr w:rsidR="0062768B" w14:paraId="4CA816D1" w14:textId="77777777">
        <w:trPr>
          <w:trHeight w:val="1125"/>
          <w:jc w:val="center"/>
        </w:trPr>
        <w:tc>
          <w:tcPr>
            <w:tcW w:w="9072" w:type="dxa"/>
            <w:gridSpan w:val="4"/>
            <w:tcBorders>
              <w:top w:val="nil"/>
              <w:left w:val="nil"/>
              <w:bottom w:val="single" w:sz="4" w:space="0" w:color="auto"/>
              <w:right w:val="nil"/>
            </w:tcBorders>
            <w:shd w:val="clear" w:color="auto" w:fill="auto"/>
            <w:vAlign w:val="center"/>
          </w:tcPr>
          <w:p w14:paraId="60C3A544" w14:textId="77777777" w:rsidR="0062768B" w:rsidRDefault="00136729">
            <w:pPr>
              <w:widowControl/>
              <w:adjustRightInd/>
              <w:spacing w:line="300" w:lineRule="auto"/>
              <w:jc w:val="center"/>
              <w:textAlignment w:val="auto"/>
              <w:rPr>
                <w:rFonts w:ascii="Arial" w:eastAsia="黑体" w:hAnsi="Arial" w:cs="Arial"/>
                <w:sz w:val="28"/>
                <w:szCs w:val="28"/>
              </w:rPr>
            </w:pPr>
            <w:r>
              <w:rPr>
                <w:rFonts w:ascii="Arial" w:eastAsia="仿宋_GB2312" w:hAnsi="Arial" w:cs="Arial" w:hint="eastAsia"/>
                <w:sz w:val="28"/>
              </w:rPr>
              <w:t>北京市顺义区高丽营镇夏县营村</w:t>
            </w:r>
            <w:r>
              <w:rPr>
                <w:rFonts w:ascii="Arial" w:eastAsia="仿宋_GB2312" w:hAnsi="Arial" w:cs="Arial" w:hint="eastAsia"/>
                <w:sz w:val="28"/>
              </w:rPr>
              <w:t>01-008</w:t>
            </w:r>
            <w:r>
              <w:rPr>
                <w:rFonts w:ascii="Arial" w:eastAsia="仿宋_GB2312" w:hAnsi="Arial" w:cs="Arial" w:hint="eastAsia"/>
                <w:sz w:val="28"/>
              </w:rPr>
              <w:t>、</w:t>
            </w:r>
            <w:r>
              <w:rPr>
                <w:rFonts w:ascii="Arial" w:eastAsia="仿宋_GB2312" w:hAnsi="Arial" w:cs="Arial" w:hint="eastAsia"/>
                <w:sz w:val="28"/>
              </w:rPr>
              <w:t>01-016</w:t>
            </w:r>
            <w:r>
              <w:rPr>
                <w:rFonts w:ascii="Arial" w:eastAsia="仿宋_GB2312" w:hAnsi="Arial" w:cs="Arial" w:hint="eastAsia"/>
                <w:sz w:val="28"/>
              </w:rPr>
              <w:t>、</w:t>
            </w:r>
            <w:r>
              <w:rPr>
                <w:rFonts w:ascii="Arial" w:eastAsia="仿宋_GB2312" w:hAnsi="Arial" w:cs="Arial" w:hint="eastAsia"/>
                <w:sz w:val="28"/>
              </w:rPr>
              <w:t>01-026-1</w:t>
            </w:r>
            <w:r>
              <w:rPr>
                <w:rFonts w:ascii="Arial" w:eastAsia="仿宋_GB2312" w:hAnsi="Arial" w:cs="Arial" w:hint="eastAsia"/>
                <w:sz w:val="28"/>
              </w:rPr>
              <w:t>地块</w:t>
            </w:r>
            <w:r>
              <w:rPr>
                <w:rFonts w:ascii="Arial" w:eastAsia="仿宋_GB2312" w:hAnsi="Arial" w:cs="Arial" w:hint="eastAsia"/>
                <w:sz w:val="28"/>
              </w:rPr>
              <w:t>R2</w:t>
            </w:r>
            <w:proofErr w:type="gramStart"/>
            <w:r>
              <w:rPr>
                <w:rFonts w:ascii="Arial" w:eastAsia="仿宋_GB2312" w:hAnsi="Arial" w:cs="Arial" w:hint="eastAsia"/>
                <w:sz w:val="28"/>
              </w:rPr>
              <w:t>二</w:t>
            </w:r>
            <w:proofErr w:type="gramEnd"/>
            <w:r>
              <w:rPr>
                <w:rFonts w:ascii="Arial" w:eastAsia="仿宋_GB2312" w:hAnsi="Arial" w:cs="Arial" w:hint="eastAsia"/>
                <w:sz w:val="28"/>
              </w:rPr>
              <w:t>类居住用地及</w:t>
            </w:r>
            <w:r>
              <w:rPr>
                <w:rFonts w:ascii="Arial" w:eastAsia="仿宋_GB2312" w:hAnsi="Arial" w:cs="Arial" w:hint="eastAsia"/>
                <w:sz w:val="28"/>
              </w:rPr>
              <w:t>01-020</w:t>
            </w:r>
            <w:r>
              <w:rPr>
                <w:rFonts w:ascii="Arial" w:eastAsia="仿宋_GB2312" w:hAnsi="Arial" w:cs="Arial" w:hint="eastAsia"/>
                <w:sz w:val="28"/>
              </w:rPr>
              <w:t>地块</w:t>
            </w:r>
            <w:r>
              <w:rPr>
                <w:rFonts w:ascii="Arial" w:eastAsia="仿宋_GB2312" w:hAnsi="Arial" w:cs="Arial" w:hint="eastAsia"/>
                <w:sz w:val="28"/>
              </w:rPr>
              <w:t>A334</w:t>
            </w:r>
            <w:r>
              <w:rPr>
                <w:rFonts w:ascii="Arial" w:eastAsia="仿宋_GB2312" w:hAnsi="Arial" w:cs="Arial" w:hint="eastAsia"/>
                <w:sz w:val="28"/>
              </w:rPr>
              <w:t>托幼用地</w:t>
            </w:r>
            <w:r>
              <w:rPr>
                <w:rFonts w:ascii="Arial" w:eastAsia="仿宋_GB2312" w:hAnsi="Arial" w:cs="Arial"/>
                <w:sz w:val="28"/>
              </w:rPr>
              <w:t>估价结果汇总表</w:t>
            </w:r>
          </w:p>
        </w:tc>
      </w:tr>
      <w:tr w:rsidR="0062768B" w14:paraId="667B0AA1" w14:textId="77777777">
        <w:trPr>
          <w:trHeight w:val="67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67802617"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 xml:space="preserve">　</w:t>
            </w:r>
          </w:p>
        </w:tc>
        <w:tc>
          <w:tcPr>
            <w:tcW w:w="1843" w:type="dxa"/>
            <w:tcBorders>
              <w:top w:val="nil"/>
              <w:left w:val="nil"/>
              <w:bottom w:val="single" w:sz="4" w:space="0" w:color="auto"/>
              <w:right w:val="single" w:sz="4" w:space="0" w:color="auto"/>
            </w:tcBorders>
            <w:shd w:val="clear" w:color="auto" w:fill="auto"/>
            <w:vAlign w:val="center"/>
          </w:tcPr>
          <w:p w14:paraId="3A423C36"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楼面单价</w:t>
            </w:r>
            <w:r>
              <w:rPr>
                <w:rFonts w:ascii="Arial" w:eastAsia="仿宋_GB2312" w:hAnsi="Arial" w:cs="Arial"/>
                <w:szCs w:val="24"/>
              </w:rPr>
              <w:br/>
            </w:r>
            <w:r>
              <w:rPr>
                <w:rFonts w:ascii="Arial" w:eastAsia="仿宋_GB2312" w:hAnsi="Arial" w:cs="Arial"/>
                <w:szCs w:val="24"/>
              </w:rPr>
              <w:t>（元</w:t>
            </w:r>
            <w:r>
              <w:rPr>
                <w:rFonts w:ascii="Arial" w:eastAsia="仿宋_GB2312" w:hAnsi="Arial" w:cs="Arial"/>
                <w:szCs w:val="24"/>
              </w:rPr>
              <w:t>/</w:t>
            </w:r>
            <w:r>
              <w:rPr>
                <w:rFonts w:ascii="Arial" w:eastAsia="仿宋_GB2312" w:hAnsi="Arial" w:cs="Arial"/>
                <w:szCs w:val="24"/>
              </w:rPr>
              <w:t>平方米）</w:t>
            </w:r>
          </w:p>
        </w:tc>
        <w:tc>
          <w:tcPr>
            <w:tcW w:w="1596" w:type="dxa"/>
            <w:tcBorders>
              <w:top w:val="nil"/>
              <w:left w:val="nil"/>
              <w:bottom w:val="single" w:sz="4" w:space="0" w:color="auto"/>
              <w:right w:val="single" w:sz="4" w:space="0" w:color="auto"/>
            </w:tcBorders>
            <w:shd w:val="clear" w:color="auto" w:fill="auto"/>
            <w:vAlign w:val="center"/>
          </w:tcPr>
          <w:p w14:paraId="1A0CC720"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建筑规模</w:t>
            </w:r>
            <w:r>
              <w:rPr>
                <w:rFonts w:ascii="Arial" w:eastAsia="仿宋_GB2312" w:hAnsi="Arial" w:cs="Arial"/>
                <w:szCs w:val="24"/>
              </w:rPr>
              <w:br/>
            </w:r>
            <w:r>
              <w:rPr>
                <w:rFonts w:ascii="Arial" w:eastAsia="仿宋_GB2312" w:hAnsi="Arial" w:cs="Arial"/>
                <w:szCs w:val="24"/>
              </w:rPr>
              <w:t>（平方米）</w:t>
            </w:r>
          </w:p>
        </w:tc>
        <w:tc>
          <w:tcPr>
            <w:tcW w:w="2230" w:type="dxa"/>
            <w:tcBorders>
              <w:top w:val="nil"/>
              <w:left w:val="nil"/>
              <w:bottom w:val="single" w:sz="4" w:space="0" w:color="auto"/>
              <w:right w:val="single" w:sz="4" w:space="0" w:color="auto"/>
            </w:tcBorders>
            <w:shd w:val="clear" w:color="auto" w:fill="auto"/>
            <w:vAlign w:val="center"/>
          </w:tcPr>
          <w:p w14:paraId="773FD27D"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总价</w:t>
            </w:r>
            <w:r>
              <w:rPr>
                <w:rFonts w:ascii="Arial" w:eastAsia="仿宋_GB2312" w:hAnsi="Arial" w:cs="Arial"/>
                <w:szCs w:val="24"/>
              </w:rPr>
              <w:br/>
            </w:r>
            <w:r>
              <w:rPr>
                <w:rFonts w:ascii="Arial" w:eastAsia="仿宋_GB2312" w:hAnsi="Arial" w:cs="Arial"/>
                <w:szCs w:val="24"/>
              </w:rPr>
              <w:t>（万元）</w:t>
            </w:r>
          </w:p>
        </w:tc>
      </w:tr>
      <w:tr w:rsidR="0062768B" w14:paraId="431AA4D2" w14:textId="77777777">
        <w:trPr>
          <w:trHeight w:val="56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1953C132"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住宅用途熟地价</w:t>
            </w:r>
          </w:p>
        </w:tc>
        <w:tc>
          <w:tcPr>
            <w:tcW w:w="1843" w:type="dxa"/>
            <w:tcBorders>
              <w:top w:val="nil"/>
              <w:left w:val="nil"/>
              <w:bottom w:val="single" w:sz="4" w:space="0" w:color="auto"/>
              <w:right w:val="single" w:sz="4" w:space="0" w:color="auto"/>
            </w:tcBorders>
            <w:shd w:val="clear" w:color="auto" w:fill="auto"/>
            <w:vAlign w:val="center"/>
          </w:tcPr>
          <w:p w14:paraId="3D27548F" w14:textId="77777777" w:rsidR="0062768B" w:rsidRDefault="00136729">
            <w:pPr>
              <w:spacing w:line="300" w:lineRule="auto"/>
              <w:jc w:val="center"/>
              <w:rPr>
                <w:rFonts w:ascii="黑体" w:eastAsia="黑体" w:hAnsi="黑体" w:cs="宋体"/>
                <w:szCs w:val="24"/>
              </w:rPr>
            </w:pPr>
            <w:r>
              <w:rPr>
                <w:rFonts w:ascii="黑体" w:eastAsia="黑体" w:hAnsi="黑体"/>
              </w:rPr>
              <w:t>15150</w:t>
            </w:r>
          </w:p>
        </w:tc>
        <w:tc>
          <w:tcPr>
            <w:tcW w:w="1596" w:type="dxa"/>
            <w:tcBorders>
              <w:top w:val="nil"/>
              <w:left w:val="nil"/>
              <w:bottom w:val="single" w:sz="4" w:space="0" w:color="auto"/>
              <w:right w:val="single" w:sz="4" w:space="0" w:color="auto"/>
            </w:tcBorders>
            <w:shd w:val="clear" w:color="auto" w:fill="auto"/>
            <w:vAlign w:val="center"/>
          </w:tcPr>
          <w:p w14:paraId="28E3D109" w14:textId="77777777" w:rsidR="0062768B" w:rsidRDefault="00136729">
            <w:pPr>
              <w:spacing w:line="300" w:lineRule="auto"/>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46D70D00" w14:textId="77777777" w:rsidR="0062768B" w:rsidRDefault="00136729">
            <w:pPr>
              <w:spacing w:line="300" w:lineRule="auto"/>
              <w:jc w:val="center"/>
              <w:rPr>
                <w:rFonts w:ascii="黑体" w:eastAsia="黑体" w:hAnsi="黑体" w:cs="宋体"/>
                <w:szCs w:val="24"/>
              </w:rPr>
            </w:pPr>
            <w:r>
              <w:rPr>
                <w:rFonts w:ascii="黑体" w:eastAsia="黑体" w:hAnsi="黑体"/>
              </w:rPr>
              <w:t xml:space="preserve">103245.0381 </w:t>
            </w:r>
          </w:p>
        </w:tc>
      </w:tr>
      <w:tr w:rsidR="0062768B" w14:paraId="3412ED7C"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7031F4BD"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商业</w:t>
            </w:r>
            <w:r>
              <w:rPr>
                <w:rFonts w:ascii="Arial" w:eastAsia="仿宋_GB2312" w:hAnsi="Arial" w:cs="Arial" w:hint="eastAsia"/>
                <w:szCs w:val="24"/>
              </w:rPr>
              <w:t>（其他商服）</w:t>
            </w:r>
            <w:r>
              <w:rPr>
                <w:rFonts w:ascii="Arial" w:eastAsia="仿宋_GB2312" w:hAnsi="Arial" w:cs="Arial"/>
                <w:szCs w:val="24"/>
              </w:rPr>
              <w:t>用途熟地价</w:t>
            </w:r>
          </w:p>
        </w:tc>
        <w:tc>
          <w:tcPr>
            <w:tcW w:w="1843" w:type="dxa"/>
            <w:tcBorders>
              <w:top w:val="nil"/>
              <w:left w:val="nil"/>
              <w:bottom w:val="single" w:sz="4" w:space="0" w:color="auto"/>
              <w:right w:val="single" w:sz="4" w:space="0" w:color="auto"/>
            </w:tcBorders>
            <w:shd w:val="clear" w:color="auto" w:fill="auto"/>
            <w:vAlign w:val="center"/>
          </w:tcPr>
          <w:p w14:paraId="4786D871" w14:textId="77777777" w:rsidR="0062768B" w:rsidRDefault="00136729">
            <w:pPr>
              <w:spacing w:line="300" w:lineRule="auto"/>
              <w:jc w:val="center"/>
              <w:rPr>
                <w:rFonts w:ascii="黑体" w:eastAsia="黑体" w:hAnsi="黑体" w:cs="宋体"/>
                <w:szCs w:val="24"/>
              </w:rPr>
            </w:pPr>
            <w:r>
              <w:rPr>
                <w:rFonts w:ascii="黑体" w:eastAsia="黑体" w:hAnsi="黑体"/>
              </w:rPr>
              <w:t>8128</w:t>
            </w:r>
          </w:p>
        </w:tc>
        <w:tc>
          <w:tcPr>
            <w:tcW w:w="1596" w:type="dxa"/>
            <w:tcBorders>
              <w:top w:val="nil"/>
              <w:left w:val="nil"/>
              <w:bottom w:val="single" w:sz="4" w:space="0" w:color="auto"/>
              <w:right w:val="single" w:sz="4" w:space="0" w:color="auto"/>
            </w:tcBorders>
            <w:shd w:val="clear" w:color="auto" w:fill="auto"/>
            <w:vAlign w:val="center"/>
          </w:tcPr>
          <w:p w14:paraId="1B2A428A" w14:textId="77777777" w:rsidR="0062768B" w:rsidRDefault="00136729">
            <w:pPr>
              <w:spacing w:line="300" w:lineRule="auto"/>
              <w:jc w:val="center"/>
              <w:rPr>
                <w:rFonts w:ascii="黑体" w:eastAsia="黑体" w:hAnsi="黑体"/>
              </w:rPr>
            </w:pPr>
            <w:r>
              <w:rPr>
                <w:rFonts w:ascii="黑体" w:eastAsia="黑体" w:hAnsi="黑体" w:hint="eastAsia"/>
              </w:rPr>
              <w:t>-</w:t>
            </w:r>
          </w:p>
        </w:tc>
        <w:tc>
          <w:tcPr>
            <w:tcW w:w="2230" w:type="dxa"/>
            <w:tcBorders>
              <w:top w:val="nil"/>
              <w:left w:val="nil"/>
              <w:bottom w:val="single" w:sz="4" w:space="0" w:color="auto"/>
              <w:right w:val="single" w:sz="4" w:space="0" w:color="auto"/>
            </w:tcBorders>
            <w:shd w:val="clear" w:color="auto" w:fill="auto"/>
            <w:vAlign w:val="center"/>
          </w:tcPr>
          <w:p w14:paraId="3F4779A8" w14:textId="77777777" w:rsidR="0062768B" w:rsidRDefault="00136729">
            <w:pPr>
              <w:spacing w:line="300" w:lineRule="auto"/>
              <w:jc w:val="center"/>
              <w:rPr>
                <w:rFonts w:ascii="黑体" w:eastAsia="黑体" w:hAnsi="黑体" w:cs="宋体"/>
                <w:szCs w:val="24"/>
              </w:rPr>
            </w:pPr>
            <w:r>
              <w:rPr>
                <w:rFonts w:ascii="黑体" w:eastAsia="黑体" w:hAnsi="黑体" w:hint="eastAsia"/>
              </w:rPr>
              <w:t>-</w:t>
            </w:r>
          </w:p>
        </w:tc>
      </w:tr>
      <w:tr w:rsidR="0062768B" w14:paraId="07C6B86C"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552D8483"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hint="eastAsia"/>
                <w:szCs w:val="24"/>
              </w:rPr>
              <w:t>公共服务</w:t>
            </w:r>
            <w:r>
              <w:rPr>
                <w:rFonts w:ascii="Arial" w:eastAsia="仿宋_GB2312" w:hAnsi="Arial" w:cs="Arial"/>
                <w:szCs w:val="24"/>
              </w:rPr>
              <w:t>用途熟地价</w:t>
            </w:r>
          </w:p>
        </w:tc>
        <w:tc>
          <w:tcPr>
            <w:tcW w:w="1843" w:type="dxa"/>
            <w:tcBorders>
              <w:top w:val="nil"/>
              <w:left w:val="nil"/>
              <w:bottom w:val="single" w:sz="4" w:space="0" w:color="auto"/>
              <w:right w:val="single" w:sz="4" w:space="0" w:color="auto"/>
            </w:tcBorders>
            <w:shd w:val="clear" w:color="auto" w:fill="auto"/>
            <w:vAlign w:val="center"/>
          </w:tcPr>
          <w:p w14:paraId="4E4186F5" w14:textId="77777777" w:rsidR="0062768B" w:rsidRDefault="00136729">
            <w:pPr>
              <w:spacing w:line="300" w:lineRule="auto"/>
              <w:jc w:val="center"/>
              <w:rPr>
                <w:rFonts w:ascii="黑体" w:eastAsia="黑体" w:hAnsi="黑体" w:cs="宋体"/>
                <w:szCs w:val="24"/>
              </w:rPr>
            </w:pPr>
            <w:r>
              <w:rPr>
                <w:rFonts w:ascii="黑体" w:eastAsia="黑体" w:hAnsi="黑体"/>
              </w:rPr>
              <w:t>3623</w:t>
            </w:r>
          </w:p>
        </w:tc>
        <w:tc>
          <w:tcPr>
            <w:tcW w:w="1596" w:type="dxa"/>
            <w:tcBorders>
              <w:top w:val="nil"/>
              <w:left w:val="nil"/>
              <w:bottom w:val="single" w:sz="4" w:space="0" w:color="auto"/>
              <w:right w:val="single" w:sz="4" w:space="0" w:color="auto"/>
            </w:tcBorders>
            <w:shd w:val="clear" w:color="auto" w:fill="auto"/>
            <w:vAlign w:val="center"/>
          </w:tcPr>
          <w:p w14:paraId="42E33806" w14:textId="77777777" w:rsidR="0062768B" w:rsidRDefault="00136729">
            <w:pPr>
              <w:spacing w:line="300" w:lineRule="auto"/>
              <w:jc w:val="center"/>
              <w:rPr>
                <w:rFonts w:ascii="黑体" w:eastAsia="黑体" w:hAnsi="黑体"/>
              </w:rPr>
            </w:pPr>
            <w:r>
              <w:rPr>
                <w:rFonts w:ascii="黑体" w:eastAsia="黑体" w:hAnsi="黑体"/>
              </w:rPr>
              <w:t>-</w:t>
            </w:r>
          </w:p>
        </w:tc>
        <w:tc>
          <w:tcPr>
            <w:tcW w:w="2230" w:type="dxa"/>
            <w:tcBorders>
              <w:top w:val="nil"/>
              <w:left w:val="nil"/>
              <w:bottom w:val="single" w:sz="4" w:space="0" w:color="auto"/>
              <w:right w:val="single" w:sz="4" w:space="0" w:color="auto"/>
            </w:tcBorders>
            <w:shd w:val="clear" w:color="auto" w:fill="auto"/>
            <w:vAlign w:val="center"/>
          </w:tcPr>
          <w:p w14:paraId="21E921E9" w14:textId="77777777" w:rsidR="0062768B" w:rsidRDefault="00136729">
            <w:pPr>
              <w:spacing w:line="300" w:lineRule="auto"/>
              <w:jc w:val="center"/>
              <w:rPr>
                <w:rFonts w:ascii="黑体" w:eastAsia="黑体" w:hAnsi="黑体" w:cs="宋体"/>
                <w:szCs w:val="24"/>
              </w:rPr>
            </w:pPr>
            <w:r>
              <w:rPr>
                <w:rFonts w:ascii="黑体" w:eastAsia="黑体" w:hAnsi="黑体"/>
              </w:rPr>
              <w:t>-</w:t>
            </w:r>
          </w:p>
        </w:tc>
      </w:tr>
      <w:tr w:rsidR="0062768B" w14:paraId="4C668546"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6D9DB35D"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熟地总价</w:t>
            </w:r>
          </w:p>
        </w:tc>
        <w:tc>
          <w:tcPr>
            <w:tcW w:w="1843" w:type="dxa"/>
            <w:tcBorders>
              <w:top w:val="nil"/>
              <w:left w:val="nil"/>
              <w:bottom w:val="single" w:sz="4" w:space="0" w:color="auto"/>
              <w:right w:val="single" w:sz="4" w:space="0" w:color="auto"/>
            </w:tcBorders>
            <w:shd w:val="clear" w:color="auto" w:fill="auto"/>
            <w:vAlign w:val="center"/>
          </w:tcPr>
          <w:p w14:paraId="55F6F676" w14:textId="77777777" w:rsidR="0062768B" w:rsidRDefault="00136729">
            <w:pPr>
              <w:spacing w:line="300" w:lineRule="auto"/>
              <w:jc w:val="center"/>
              <w:rPr>
                <w:rFonts w:ascii="黑体" w:eastAsia="黑体" w:hAnsi="黑体" w:cs="宋体"/>
                <w:szCs w:val="24"/>
              </w:rPr>
            </w:pPr>
            <w:r>
              <w:rPr>
                <w:rFonts w:ascii="黑体" w:eastAsia="黑体" w:hAnsi="黑体" w:hint="eastAsia"/>
              </w:rPr>
              <w:t>-</w:t>
            </w:r>
          </w:p>
        </w:tc>
        <w:tc>
          <w:tcPr>
            <w:tcW w:w="1596" w:type="dxa"/>
            <w:tcBorders>
              <w:top w:val="nil"/>
              <w:left w:val="nil"/>
              <w:bottom w:val="single" w:sz="4" w:space="0" w:color="auto"/>
              <w:right w:val="single" w:sz="4" w:space="0" w:color="auto"/>
            </w:tcBorders>
            <w:shd w:val="clear" w:color="auto" w:fill="auto"/>
            <w:vAlign w:val="center"/>
          </w:tcPr>
          <w:p w14:paraId="7E59FA7C" w14:textId="77777777" w:rsidR="0062768B" w:rsidRDefault="00136729">
            <w:pPr>
              <w:spacing w:line="300" w:lineRule="auto"/>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5CEB5D48" w14:textId="77777777" w:rsidR="0062768B" w:rsidRDefault="00136729">
            <w:pPr>
              <w:spacing w:line="300" w:lineRule="auto"/>
              <w:jc w:val="center"/>
              <w:rPr>
                <w:rFonts w:ascii="黑体" w:eastAsia="黑体" w:hAnsi="黑体" w:cs="宋体"/>
                <w:szCs w:val="24"/>
              </w:rPr>
            </w:pPr>
            <w:r>
              <w:rPr>
                <w:rFonts w:ascii="黑体" w:eastAsia="黑体" w:hAnsi="黑体"/>
              </w:rPr>
              <w:t xml:space="preserve">103245.0381 </w:t>
            </w:r>
          </w:p>
        </w:tc>
      </w:tr>
      <w:tr w:rsidR="0062768B" w14:paraId="45F8CEC4" w14:textId="77777777">
        <w:trPr>
          <w:trHeight w:val="525"/>
          <w:jc w:val="center"/>
        </w:trPr>
        <w:tc>
          <w:tcPr>
            <w:tcW w:w="3403" w:type="dxa"/>
            <w:tcBorders>
              <w:top w:val="nil"/>
              <w:left w:val="nil"/>
              <w:bottom w:val="nil"/>
              <w:right w:val="nil"/>
            </w:tcBorders>
            <w:shd w:val="clear" w:color="auto" w:fill="auto"/>
            <w:vAlign w:val="center"/>
          </w:tcPr>
          <w:p w14:paraId="14139A69" w14:textId="77777777" w:rsidR="0062768B" w:rsidRDefault="0062768B">
            <w:pPr>
              <w:widowControl/>
              <w:adjustRightInd/>
              <w:spacing w:line="300" w:lineRule="auto"/>
              <w:jc w:val="center"/>
              <w:textAlignment w:val="auto"/>
              <w:rPr>
                <w:rFonts w:ascii="Arial" w:eastAsia="仿宋_GB2312" w:hAnsi="Arial" w:cs="Arial"/>
                <w:szCs w:val="24"/>
              </w:rPr>
            </w:pPr>
          </w:p>
        </w:tc>
        <w:tc>
          <w:tcPr>
            <w:tcW w:w="1843" w:type="dxa"/>
            <w:tcBorders>
              <w:top w:val="nil"/>
              <w:left w:val="nil"/>
              <w:bottom w:val="nil"/>
              <w:right w:val="nil"/>
            </w:tcBorders>
            <w:shd w:val="clear" w:color="auto" w:fill="auto"/>
            <w:vAlign w:val="center"/>
          </w:tcPr>
          <w:p w14:paraId="4F1768AA" w14:textId="77777777" w:rsidR="0062768B" w:rsidRDefault="0062768B">
            <w:pPr>
              <w:widowControl/>
              <w:adjustRightInd/>
              <w:spacing w:line="300" w:lineRule="auto"/>
              <w:jc w:val="center"/>
              <w:textAlignment w:val="auto"/>
              <w:rPr>
                <w:rFonts w:ascii="Arial" w:eastAsia="仿宋_GB2312" w:hAnsi="Arial" w:cs="Arial"/>
                <w:szCs w:val="24"/>
              </w:rPr>
            </w:pPr>
          </w:p>
        </w:tc>
        <w:tc>
          <w:tcPr>
            <w:tcW w:w="1596" w:type="dxa"/>
            <w:tcBorders>
              <w:top w:val="nil"/>
              <w:left w:val="nil"/>
              <w:bottom w:val="nil"/>
              <w:right w:val="nil"/>
            </w:tcBorders>
            <w:shd w:val="clear" w:color="auto" w:fill="auto"/>
            <w:vAlign w:val="center"/>
          </w:tcPr>
          <w:p w14:paraId="50171647" w14:textId="77777777" w:rsidR="0062768B" w:rsidRDefault="0062768B">
            <w:pPr>
              <w:widowControl/>
              <w:adjustRightInd/>
              <w:spacing w:line="300" w:lineRule="auto"/>
              <w:jc w:val="center"/>
              <w:textAlignment w:val="auto"/>
              <w:rPr>
                <w:rFonts w:ascii="Arial" w:eastAsia="仿宋_GB2312" w:hAnsi="Arial" w:cs="Arial"/>
                <w:szCs w:val="24"/>
              </w:rPr>
            </w:pPr>
          </w:p>
        </w:tc>
        <w:tc>
          <w:tcPr>
            <w:tcW w:w="2230" w:type="dxa"/>
            <w:tcBorders>
              <w:top w:val="nil"/>
              <w:left w:val="nil"/>
              <w:bottom w:val="nil"/>
              <w:right w:val="nil"/>
            </w:tcBorders>
            <w:shd w:val="clear" w:color="auto" w:fill="auto"/>
            <w:vAlign w:val="center"/>
          </w:tcPr>
          <w:p w14:paraId="20BE7770" w14:textId="77777777" w:rsidR="0062768B" w:rsidRDefault="0062768B">
            <w:pPr>
              <w:widowControl/>
              <w:adjustRightInd/>
              <w:spacing w:line="300" w:lineRule="auto"/>
              <w:jc w:val="center"/>
              <w:textAlignment w:val="auto"/>
              <w:rPr>
                <w:rFonts w:ascii="Arial" w:eastAsia="仿宋_GB2312" w:hAnsi="Arial" w:cs="Arial"/>
                <w:szCs w:val="24"/>
              </w:rPr>
            </w:pPr>
          </w:p>
        </w:tc>
      </w:tr>
      <w:tr w:rsidR="0062768B" w14:paraId="0980B26C" w14:textId="77777777">
        <w:trPr>
          <w:trHeight w:val="675"/>
          <w:jc w:val="center"/>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14:paraId="75210F30"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1050AA6A"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楼面单价</w:t>
            </w:r>
            <w:r>
              <w:rPr>
                <w:rFonts w:ascii="Arial" w:eastAsia="仿宋_GB2312" w:hAnsi="Arial" w:cs="Arial"/>
                <w:szCs w:val="24"/>
              </w:rPr>
              <w:br/>
            </w:r>
            <w:r>
              <w:rPr>
                <w:rFonts w:ascii="Arial" w:eastAsia="仿宋_GB2312" w:hAnsi="Arial" w:cs="Arial"/>
                <w:szCs w:val="24"/>
              </w:rPr>
              <w:t>（元</w:t>
            </w:r>
            <w:r>
              <w:rPr>
                <w:rFonts w:ascii="Arial" w:eastAsia="仿宋_GB2312" w:hAnsi="Arial" w:cs="Arial"/>
                <w:szCs w:val="24"/>
              </w:rPr>
              <w:t>/</w:t>
            </w:r>
            <w:r>
              <w:rPr>
                <w:rFonts w:ascii="Arial" w:eastAsia="仿宋_GB2312" w:hAnsi="Arial" w:cs="Arial"/>
                <w:szCs w:val="24"/>
              </w:rPr>
              <w:t>平方米）</w:t>
            </w:r>
          </w:p>
        </w:tc>
        <w:tc>
          <w:tcPr>
            <w:tcW w:w="1596" w:type="dxa"/>
            <w:tcBorders>
              <w:top w:val="single" w:sz="4" w:space="0" w:color="auto"/>
              <w:left w:val="nil"/>
              <w:bottom w:val="single" w:sz="4" w:space="0" w:color="auto"/>
              <w:right w:val="single" w:sz="4" w:space="0" w:color="auto"/>
            </w:tcBorders>
            <w:shd w:val="clear" w:color="auto" w:fill="auto"/>
            <w:vAlign w:val="center"/>
          </w:tcPr>
          <w:p w14:paraId="01A64F4C"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建筑规模</w:t>
            </w:r>
            <w:r>
              <w:rPr>
                <w:rFonts w:ascii="Arial" w:eastAsia="仿宋_GB2312" w:hAnsi="Arial" w:cs="Arial"/>
                <w:szCs w:val="24"/>
              </w:rPr>
              <w:br/>
            </w:r>
            <w:r>
              <w:rPr>
                <w:rFonts w:ascii="Arial" w:eastAsia="仿宋_GB2312" w:hAnsi="Arial" w:cs="Arial"/>
                <w:szCs w:val="24"/>
              </w:rPr>
              <w:t>（平方米）</w:t>
            </w:r>
          </w:p>
        </w:tc>
        <w:tc>
          <w:tcPr>
            <w:tcW w:w="2230" w:type="dxa"/>
            <w:tcBorders>
              <w:top w:val="single" w:sz="4" w:space="0" w:color="auto"/>
              <w:left w:val="nil"/>
              <w:bottom w:val="single" w:sz="4" w:space="0" w:color="auto"/>
              <w:right w:val="single" w:sz="4" w:space="0" w:color="auto"/>
            </w:tcBorders>
            <w:shd w:val="clear" w:color="auto" w:fill="auto"/>
            <w:vAlign w:val="center"/>
          </w:tcPr>
          <w:p w14:paraId="643CBF38"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总价</w:t>
            </w:r>
            <w:r>
              <w:rPr>
                <w:rFonts w:ascii="Arial" w:eastAsia="仿宋_GB2312" w:hAnsi="Arial" w:cs="Arial"/>
                <w:szCs w:val="24"/>
              </w:rPr>
              <w:br/>
            </w:r>
            <w:r>
              <w:rPr>
                <w:rFonts w:ascii="Arial" w:eastAsia="仿宋_GB2312" w:hAnsi="Arial" w:cs="Arial"/>
                <w:szCs w:val="24"/>
              </w:rPr>
              <w:t>（万元）</w:t>
            </w:r>
          </w:p>
        </w:tc>
      </w:tr>
      <w:tr w:rsidR="0062768B" w14:paraId="1EC2859B"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29498778"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住宅用途政府土地出让收益</w:t>
            </w:r>
          </w:p>
        </w:tc>
        <w:tc>
          <w:tcPr>
            <w:tcW w:w="1843" w:type="dxa"/>
            <w:tcBorders>
              <w:top w:val="nil"/>
              <w:left w:val="nil"/>
              <w:bottom w:val="single" w:sz="4" w:space="0" w:color="auto"/>
              <w:right w:val="single" w:sz="4" w:space="0" w:color="auto"/>
            </w:tcBorders>
            <w:shd w:val="clear" w:color="auto" w:fill="auto"/>
            <w:vAlign w:val="center"/>
          </w:tcPr>
          <w:p w14:paraId="04DEBCD9" w14:textId="77777777" w:rsidR="0062768B" w:rsidRDefault="00136729">
            <w:pPr>
              <w:spacing w:line="300" w:lineRule="auto"/>
              <w:jc w:val="center"/>
              <w:rPr>
                <w:rFonts w:ascii="黑体" w:eastAsia="黑体" w:hAnsi="黑体" w:cs="宋体"/>
                <w:szCs w:val="24"/>
              </w:rPr>
            </w:pPr>
            <w:r>
              <w:rPr>
                <w:rFonts w:ascii="黑体" w:eastAsia="黑体" w:hAnsi="黑体"/>
              </w:rPr>
              <w:t>3788</w:t>
            </w:r>
          </w:p>
        </w:tc>
        <w:tc>
          <w:tcPr>
            <w:tcW w:w="1596" w:type="dxa"/>
            <w:tcBorders>
              <w:top w:val="nil"/>
              <w:left w:val="nil"/>
              <w:bottom w:val="single" w:sz="4" w:space="0" w:color="auto"/>
              <w:right w:val="single" w:sz="4" w:space="0" w:color="auto"/>
            </w:tcBorders>
            <w:shd w:val="clear" w:color="auto" w:fill="auto"/>
            <w:vAlign w:val="center"/>
          </w:tcPr>
          <w:p w14:paraId="6FFF716C" w14:textId="77777777" w:rsidR="0062768B" w:rsidRDefault="00136729">
            <w:pPr>
              <w:spacing w:line="300" w:lineRule="auto"/>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35AF3CF6" w14:textId="77777777" w:rsidR="0062768B" w:rsidRDefault="00136729">
            <w:pPr>
              <w:spacing w:line="300" w:lineRule="auto"/>
              <w:jc w:val="center"/>
              <w:rPr>
                <w:rFonts w:ascii="黑体" w:eastAsia="黑体" w:hAnsi="黑体" w:cs="宋体"/>
                <w:szCs w:val="24"/>
              </w:rPr>
            </w:pPr>
            <w:r>
              <w:rPr>
                <w:rFonts w:ascii="黑体" w:eastAsia="黑体" w:hAnsi="黑体"/>
              </w:rPr>
              <w:t>25814.6670</w:t>
            </w:r>
          </w:p>
        </w:tc>
      </w:tr>
      <w:tr w:rsidR="0062768B" w14:paraId="0090CD3D" w14:textId="77777777">
        <w:trPr>
          <w:trHeight w:val="550"/>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278C55CA"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商业</w:t>
            </w:r>
            <w:r>
              <w:rPr>
                <w:rFonts w:ascii="Arial" w:eastAsia="仿宋_GB2312" w:hAnsi="Arial" w:cs="Arial" w:hint="eastAsia"/>
                <w:szCs w:val="24"/>
              </w:rPr>
              <w:t>（其他商服）</w:t>
            </w:r>
            <w:r>
              <w:rPr>
                <w:rFonts w:ascii="Arial" w:eastAsia="仿宋_GB2312" w:hAnsi="Arial" w:cs="Arial"/>
                <w:szCs w:val="24"/>
              </w:rPr>
              <w:t>用途</w:t>
            </w:r>
          </w:p>
          <w:p w14:paraId="4DC3EEFD"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政府土地出让收益</w:t>
            </w:r>
          </w:p>
        </w:tc>
        <w:tc>
          <w:tcPr>
            <w:tcW w:w="1843" w:type="dxa"/>
            <w:tcBorders>
              <w:top w:val="nil"/>
              <w:left w:val="nil"/>
              <w:bottom w:val="single" w:sz="4" w:space="0" w:color="auto"/>
              <w:right w:val="single" w:sz="4" w:space="0" w:color="auto"/>
            </w:tcBorders>
            <w:shd w:val="clear" w:color="auto" w:fill="auto"/>
            <w:vAlign w:val="center"/>
          </w:tcPr>
          <w:p w14:paraId="70B43A1F" w14:textId="77777777" w:rsidR="0062768B" w:rsidRDefault="00136729">
            <w:pPr>
              <w:spacing w:line="300" w:lineRule="auto"/>
              <w:jc w:val="center"/>
              <w:rPr>
                <w:rFonts w:ascii="黑体" w:eastAsia="黑体" w:hAnsi="黑体" w:cs="宋体"/>
                <w:szCs w:val="24"/>
              </w:rPr>
            </w:pPr>
            <w:r>
              <w:rPr>
                <w:rFonts w:ascii="黑体" w:eastAsia="黑体" w:hAnsi="黑体"/>
              </w:rPr>
              <w:t>2032</w:t>
            </w:r>
          </w:p>
        </w:tc>
        <w:tc>
          <w:tcPr>
            <w:tcW w:w="1596" w:type="dxa"/>
            <w:tcBorders>
              <w:top w:val="nil"/>
              <w:left w:val="nil"/>
              <w:bottom w:val="single" w:sz="4" w:space="0" w:color="auto"/>
              <w:right w:val="single" w:sz="4" w:space="0" w:color="auto"/>
            </w:tcBorders>
            <w:shd w:val="clear" w:color="auto" w:fill="auto"/>
            <w:vAlign w:val="center"/>
          </w:tcPr>
          <w:p w14:paraId="4D26ABC6" w14:textId="77777777" w:rsidR="0062768B" w:rsidRDefault="00136729">
            <w:pPr>
              <w:spacing w:line="300" w:lineRule="auto"/>
              <w:jc w:val="center"/>
              <w:rPr>
                <w:rFonts w:ascii="黑体" w:eastAsia="黑体" w:hAnsi="黑体"/>
              </w:rPr>
            </w:pPr>
            <w:r>
              <w:rPr>
                <w:rFonts w:ascii="黑体" w:eastAsia="黑体" w:hAnsi="黑体" w:hint="eastAsia"/>
              </w:rPr>
              <w:t>-</w:t>
            </w:r>
          </w:p>
        </w:tc>
        <w:tc>
          <w:tcPr>
            <w:tcW w:w="2230" w:type="dxa"/>
            <w:tcBorders>
              <w:top w:val="nil"/>
              <w:left w:val="nil"/>
              <w:bottom w:val="single" w:sz="4" w:space="0" w:color="auto"/>
              <w:right w:val="single" w:sz="4" w:space="0" w:color="auto"/>
            </w:tcBorders>
            <w:shd w:val="clear" w:color="auto" w:fill="auto"/>
            <w:vAlign w:val="center"/>
          </w:tcPr>
          <w:p w14:paraId="5F98B627" w14:textId="77777777" w:rsidR="0062768B" w:rsidRDefault="00136729">
            <w:pPr>
              <w:spacing w:line="300" w:lineRule="auto"/>
              <w:jc w:val="center"/>
              <w:rPr>
                <w:rFonts w:ascii="黑体" w:eastAsia="黑体" w:hAnsi="黑体" w:cs="宋体"/>
                <w:szCs w:val="24"/>
              </w:rPr>
            </w:pPr>
            <w:r>
              <w:rPr>
                <w:rFonts w:ascii="黑体" w:eastAsia="黑体" w:hAnsi="黑体" w:hint="eastAsia"/>
              </w:rPr>
              <w:t>-</w:t>
            </w:r>
          </w:p>
        </w:tc>
      </w:tr>
      <w:tr w:rsidR="0062768B" w14:paraId="3A9F21C0"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4E1E532F"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hint="eastAsia"/>
                <w:szCs w:val="24"/>
              </w:rPr>
              <w:t>公共服务</w:t>
            </w:r>
            <w:r>
              <w:rPr>
                <w:rFonts w:ascii="Arial" w:eastAsia="仿宋_GB2312" w:hAnsi="Arial" w:cs="Arial"/>
                <w:szCs w:val="24"/>
              </w:rPr>
              <w:t>用途</w:t>
            </w:r>
          </w:p>
          <w:p w14:paraId="7C6A0A7D"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政府土地出让收益</w:t>
            </w:r>
          </w:p>
        </w:tc>
        <w:tc>
          <w:tcPr>
            <w:tcW w:w="1843" w:type="dxa"/>
            <w:tcBorders>
              <w:top w:val="nil"/>
              <w:left w:val="nil"/>
              <w:bottom w:val="single" w:sz="4" w:space="0" w:color="auto"/>
              <w:right w:val="single" w:sz="4" w:space="0" w:color="auto"/>
            </w:tcBorders>
            <w:shd w:val="clear" w:color="auto" w:fill="auto"/>
            <w:vAlign w:val="center"/>
          </w:tcPr>
          <w:p w14:paraId="0B214F9B" w14:textId="77777777" w:rsidR="0062768B" w:rsidRDefault="00136729">
            <w:pPr>
              <w:spacing w:line="300" w:lineRule="auto"/>
              <w:jc w:val="center"/>
              <w:rPr>
                <w:rFonts w:ascii="黑体" w:eastAsia="黑体" w:hAnsi="黑体" w:cs="宋体"/>
                <w:szCs w:val="24"/>
              </w:rPr>
            </w:pPr>
            <w:r>
              <w:rPr>
                <w:rFonts w:ascii="黑体" w:eastAsia="黑体" w:hAnsi="黑体"/>
              </w:rPr>
              <w:t>906</w:t>
            </w:r>
          </w:p>
        </w:tc>
        <w:tc>
          <w:tcPr>
            <w:tcW w:w="1596" w:type="dxa"/>
            <w:tcBorders>
              <w:top w:val="nil"/>
              <w:left w:val="nil"/>
              <w:bottom w:val="single" w:sz="4" w:space="0" w:color="auto"/>
              <w:right w:val="single" w:sz="4" w:space="0" w:color="auto"/>
            </w:tcBorders>
            <w:shd w:val="clear" w:color="auto" w:fill="auto"/>
            <w:vAlign w:val="center"/>
          </w:tcPr>
          <w:p w14:paraId="17F799E5" w14:textId="77777777" w:rsidR="0062768B" w:rsidRDefault="00136729">
            <w:pPr>
              <w:spacing w:line="300" w:lineRule="auto"/>
              <w:jc w:val="center"/>
              <w:rPr>
                <w:rFonts w:ascii="黑体" w:eastAsia="黑体" w:hAnsi="黑体"/>
              </w:rPr>
            </w:pPr>
            <w:r>
              <w:rPr>
                <w:rFonts w:ascii="黑体" w:eastAsia="黑体" w:hAnsi="黑体"/>
              </w:rPr>
              <w:t>-</w:t>
            </w:r>
          </w:p>
        </w:tc>
        <w:tc>
          <w:tcPr>
            <w:tcW w:w="2230" w:type="dxa"/>
            <w:tcBorders>
              <w:top w:val="nil"/>
              <w:left w:val="nil"/>
              <w:bottom w:val="single" w:sz="4" w:space="0" w:color="auto"/>
              <w:right w:val="single" w:sz="4" w:space="0" w:color="auto"/>
            </w:tcBorders>
            <w:shd w:val="clear" w:color="auto" w:fill="auto"/>
            <w:vAlign w:val="center"/>
          </w:tcPr>
          <w:p w14:paraId="10D79C98" w14:textId="77777777" w:rsidR="0062768B" w:rsidRDefault="00136729">
            <w:pPr>
              <w:spacing w:line="300" w:lineRule="auto"/>
              <w:jc w:val="center"/>
              <w:rPr>
                <w:rFonts w:ascii="黑体" w:eastAsia="黑体" w:hAnsi="黑体" w:cs="宋体"/>
                <w:szCs w:val="24"/>
              </w:rPr>
            </w:pPr>
            <w:r>
              <w:rPr>
                <w:rFonts w:ascii="黑体" w:eastAsia="黑体" w:hAnsi="黑体"/>
              </w:rPr>
              <w:t>-</w:t>
            </w:r>
          </w:p>
        </w:tc>
      </w:tr>
      <w:tr w:rsidR="0062768B" w14:paraId="57BC3FF8" w14:textId="77777777">
        <w:trPr>
          <w:trHeight w:val="550"/>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05DE94E0"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政府土地出让收益总价</w:t>
            </w:r>
          </w:p>
        </w:tc>
        <w:tc>
          <w:tcPr>
            <w:tcW w:w="1843" w:type="dxa"/>
            <w:tcBorders>
              <w:top w:val="nil"/>
              <w:left w:val="nil"/>
              <w:bottom w:val="single" w:sz="4" w:space="0" w:color="auto"/>
              <w:right w:val="single" w:sz="4" w:space="0" w:color="auto"/>
            </w:tcBorders>
            <w:shd w:val="clear" w:color="auto" w:fill="auto"/>
            <w:vAlign w:val="center"/>
          </w:tcPr>
          <w:p w14:paraId="47020BD9" w14:textId="77777777" w:rsidR="0062768B" w:rsidRDefault="00136729">
            <w:pPr>
              <w:spacing w:line="300" w:lineRule="auto"/>
              <w:jc w:val="center"/>
              <w:rPr>
                <w:rFonts w:ascii="黑体" w:eastAsia="黑体" w:hAnsi="黑体" w:cs="宋体"/>
                <w:szCs w:val="24"/>
              </w:rPr>
            </w:pPr>
            <w:r>
              <w:rPr>
                <w:rFonts w:ascii="黑体" w:eastAsia="黑体" w:hAnsi="黑体" w:hint="eastAsia"/>
              </w:rPr>
              <w:t>-</w:t>
            </w:r>
          </w:p>
        </w:tc>
        <w:tc>
          <w:tcPr>
            <w:tcW w:w="1596" w:type="dxa"/>
            <w:tcBorders>
              <w:top w:val="nil"/>
              <w:left w:val="nil"/>
              <w:bottom w:val="single" w:sz="4" w:space="0" w:color="auto"/>
              <w:right w:val="single" w:sz="4" w:space="0" w:color="auto"/>
            </w:tcBorders>
            <w:shd w:val="clear" w:color="auto" w:fill="auto"/>
            <w:vAlign w:val="center"/>
          </w:tcPr>
          <w:p w14:paraId="348D5FB2" w14:textId="77777777" w:rsidR="0062768B" w:rsidRDefault="00136729">
            <w:pPr>
              <w:spacing w:line="300" w:lineRule="auto"/>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2E9CFDAA" w14:textId="77777777" w:rsidR="0062768B" w:rsidRDefault="00136729">
            <w:pPr>
              <w:spacing w:line="300" w:lineRule="auto"/>
              <w:jc w:val="center"/>
              <w:rPr>
                <w:rFonts w:ascii="黑体" w:eastAsia="黑体" w:hAnsi="黑体" w:cs="宋体"/>
                <w:szCs w:val="24"/>
              </w:rPr>
            </w:pPr>
            <w:r>
              <w:rPr>
                <w:rFonts w:ascii="黑体" w:eastAsia="黑体" w:hAnsi="黑体"/>
              </w:rPr>
              <w:t>25814.6670</w:t>
            </w:r>
          </w:p>
        </w:tc>
      </w:tr>
      <w:tr w:rsidR="0062768B" w14:paraId="0689E2A7" w14:textId="77777777">
        <w:trPr>
          <w:trHeight w:val="765"/>
          <w:jc w:val="center"/>
        </w:trPr>
        <w:tc>
          <w:tcPr>
            <w:tcW w:w="9072" w:type="dxa"/>
            <w:gridSpan w:val="4"/>
            <w:tcBorders>
              <w:top w:val="nil"/>
              <w:left w:val="nil"/>
              <w:bottom w:val="nil"/>
              <w:right w:val="nil"/>
            </w:tcBorders>
            <w:shd w:val="clear" w:color="auto" w:fill="auto"/>
            <w:vAlign w:val="center"/>
          </w:tcPr>
          <w:p w14:paraId="6BEEE56F" w14:textId="77777777" w:rsidR="0062768B" w:rsidRDefault="0062768B">
            <w:pPr>
              <w:widowControl/>
              <w:adjustRightInd/>
              <w:spacing w:line="300" w:lineRule="auto"/>
              <w:textAlignment w:val="auto"/>
              <w:rPr>
                <w:rFonts w:ascii="Arial" w:eastAsia="仿宋_GB2312" w:hAnsi="Arial" w:cs="Arial"/>
                <w:b/>
                <w:szCs w:val="24"/>
              </w:rPr>
            </w:pPr>
          </w:p>
          <w:p w14:paraId="46E4B315" w14:textId="77777777" w:rsidR="0062768B" w:rsidRDefault="00136729">
            <w:pPr>
              <w:widowControl/>
              <w:adjustRightInd/>
              <w:spacing w:line="300" w:lineRule="auto"/>
              <w:textAlignment w:val="auto"/>
              <w:rPr>
                <w:rFonts w:ascii="Arial" w:eastAsia="仿宋_GB2312" w:hAnsi="Arial" w:cs="Arial"/>
                <w:b/>
                <w:szCs w:val="24"/>
              </w:rPr>
            </w:pPr>
            <w:r>
              <w:rPr>
                <w:rFonts w:ascii="Arial" w:eastAsia="仿宋_GB2312" w:hAnsi="Arial" w:cs="Arial"/>
                <w:b/>
                <w:szCs w:val="24"/>
              </w:rPr>
              <w:t>出让底价建议：</w:t>
            </w:r>
          </w:p>
          <w:p w14:paraId="4EB70BDD" w14:textId="77777777" w:rsidR="0062768B" w:rsidRDefault="00136729">
            <w:pPr>
              <w:widowControl/>
              <w:adjustRightInd/>
              <w:spacing w:line="300" w:lineRule="auto"/>
              <w:ind w:left="1185" w:hanging="720"/>
              <w:textAlignment w:val="auto"/>
              <w:rPr>
                <w:rFonts w:ascii="Arial" w:eastAsia="仿宋_GB2312" w:hAnsi="Arial" w:cs="Arial"/>
                <w:b/>
                <w:szCs w:val="24"/>
              </w:rPr>
            </w:pPr>
            <w:r>
              <w:rPr>
                <w:rFonts w:ascii="Arial" w:eastAsia="仿宋_GB2312" w:hAnsi="Arial" w:cs="Arial"/>
                <w:b/>
                <w:szCs w:val="24"/>
              </w:rPr>
              <w:t>1</w:t>
            </w:r>
            <w:r>
              <w:rPr>
                <w:rFonts w:ascii="Arial" w:eastAsia="仿宋_GB2312" w:hAnsi="Arial" w:cs="Arial"/>
                <w:b/>
                <w:szCs w:val="24"/>
              </w:rPr>
              <w:t>、</w:t>
            </w:r>
            <w:r>
              <w:rPr>
                <w:rFonts w:ascii="Arial" w:eastAsia="仿宋_GB2312" w:hAnsi="Arial" w:cs="Arial" w:hint="eastAsia"/>
                <w:b/>
                <w:szCs w:val="24"/>
              </w:rPr>
              <w:t>北京市对出让地价评审要求</w:t>
            </w:r>
          </w:p>
          <w:p w14:paraId="5F4EF1F4"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根据有关政策规定，土地开发成本经审计、认定后，作为出让地价评审参考。出让地价政府土地出让收益与土地开发成本之和（基本价格）不得低于该宗地熟地价。如政府土地出让收益与土地开发成本之和（基本价格）低于该宗地熟地价，则将熟地价作为该宗地的底价。</w:t>
            </w:r>
          </w:p>
          <w:p w14:paraId="72A50138" w14:textId="77777777" w:rsidR="0062768B" w:rsidRDefault="00136729">
            <w:pPr>
              <w:widowControl/>
              <w:adjustRightInd/>
              <w:spacing w:line="300" w:lineRule="auto"/>
              <w:ind w:left="1185" w:hanging="720"/>
              <w:textAlignment w:val="auto"/>
              <w:rPr>
                <w:rFonts w:ascii="Arial" w:eastAsia="仿宋_GB2312" w:hAnsi="Arial" w:cs="Arial"/>
                <w:b/>
                <w:szCs w:val="24"/>
              </w:rPr>
            </w:pPr>
            <w:r>
              <w:rPr>
                <w:rFonts w:ascii="Arial" w:eastAsia="仿宋_GB2312" w:hAnsi="Arial" w:cs="Arial"/>
                <w:b/>
                <w:szCs w:val="24"/>
              </w:rPr>
              <w:t>2</w:t>
            </w:r>
            <w:r>
              <w:rPr>
                <w:rFonts w:ascii="Arial" w:eastAsia="仿宋_GB2312" w:hAnsi="Arial" w:cs="Arial"/>
                <w:b/>
                <w:szCs w:val="24"/>
              </w:rPr>
              <w:t>、</w:t>
            </w:r>
            <w:r>
              <w:rPr>
                <w:rFonts w:ascii="Arial" w:eastAsia="仿宋_GB2312" w:hAnsi="Arial" w:cs="Arial" w:hint="eastAsia"/>
                <w:b/>
                <w:szCs w:val="24"/>
              </w:rPr>
              <w:t>基本价格</w:t>
            </w:r>
          </w:p>
          <w:p w14:paraId="3F2CAA8B"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如上表所示，本次评估</w:t>
            </w:r>
            <w:r>
              <w:rPr>
                <w:rFonts w:ascii="Arial" w:eastAsia="仿宋_GB2312" w:hAnsi="Arial" w:cs="Arial"/>
                <w:b/>
                <w:szCs w:val="24"/>
              </w:rPr>
              <w:t>政府土地出让收益总价为</w:t>
            </w:r>
            <w:r>
              <w:rPr>
                <w:rFonts w:ascii="Arial" w:eastAsia="仿宋_GB2312" w:hAnsi="Arial" w:cs="Arial"/>
                <w:b/>
                <w:szCs w:val="24"/>
              </w:rPr>
              <w:t>25814.6670</w:t>
            </w:r>
            <w:r>
              <w:rPr>
                <w:rFonts w:ascii="Arial" w:eastAsia="仿宋_GB2312" w:hAnsi="Arial" w:cs="Arial"/>
                <w:b/>
                <w:szCs w:val="24"/>
              </w:rPr>
              <w:t>万元</w:t>
            </w:r>
            <w:r>
              <w:rPr>
                <w:rFonts w:ascii="Arial" w:eastAsia="仿宋_GB2312" w:hAnsi="Arial" w:cs="Arial" w:hint="eastAsia"/>
                <w:b/>
                <w:szCs w:val="24"/>
              </w:rPr>
              <w:t>。</w:t>
            </w:r>
            <w:r>
              <w:rPr>
                <w:rFonts w:ascii="Arial" w:eastAsia="仿宋_GB2312" w:hAnsi="Arial" w:cs="Arial"/>
                <w:b/>
                <w:szCs w:val="24"/>
              </w:rPr>
              <w:t>另根据</w:t>
            </w:r>
            <w:commentRangeStart w:id="67"/>
            <w:r>
              <w:rPr>
                <w:rFonts w:ascii="Arial" w:eastAsia="仿宋_GB2312" w:hAnsi="Arial" w:cs="Arial" w:hint="eastAsia"/>
                <w:b/>
                <w:szCs w:val="24"/>
              </w:rPr>
              <w:t>《成本文件》（文件号）</w:t>
            </w:r>
            <w:commentRangeEnd w:id="67"/>
            <w:r w:rsidR="00423A03">
              <w:rPr>
                <w:rStyle w:val="af6"/>
                <w:lang w:val="zh-CN"/>
              </w:rPr>
              <w:commentReference w:id="67"/>
            </w:r>
            <w:r>
              <w:rPr>
                <w:rFonts w:ascii="Arial" w:eastAsia="仿宋_GB2312" w:hAnsi="Arial" w:cs="Arial" w:hint="eastAsia"/>
                <w:b/>
                <w:szCs w:val="24"/>
              </w:rPr>
              <w:t>，估价对象土地开发总成本为</w:t>
            </w:r>
            <w:r w:rsidR="00550FB0">
              <w:rPr>
                <w:rFonts w:ascii="Arial" w:eastAsia="仿宋_GB2312" w:hAnsi="Arial" w:cs="Arial" w:hint="eastAsia"/>
                <w:b/>
                <w:szCs w:val="24"/>
              </w:rPr>
              <w:t>78853.6400</w:t>
            </w:r>
            <w:r>
              <w:rPr>
                <w:rFonts w:ascii="Arial" w:eastAsia="仿宋_GB2312" w:hAnsi="Arial" w:cs="Arial"/>
                <w:b/>
                <w:szCs w:val="24"/>
              </w:rPr>
              <w:t>万元</w:t>
            </w:r>
            <w:r>
              <w:rPr>
                <w:rFonts w:ascii="Arial" w:eastAsia="仿宋_GB2312" w:hAnsi="Arial" w:cs="Arial" w:hint="eastAsia"/>
                <w:b/>
                <w:szCs w:val="24"/>
              </w:rPr>
              <w:t>。则</w:t>
            </w:r>
            <w:r>
              <w:rPr>
                <w:rFonts w:ascii="Arial" w:eastAsia="仿宋_GB2312" w:hAnsi="Arial" w:cs="Arial"/>
                <w:b/>
                <w:szCs w:val="24"/>
              </w:rPr>
              <w:t>政府土地出让收益与土地开发成本之和</w:t>
            </w:r>
            <w:r>
              <w:rPr>
                <w:rFonts w:ascii="Arial" w:eastAsia="仿宋_GB2312" w:hAnsi="Arial" w:cs="Arial" w:hint="eastAsia"/>
                <w:b/>
                <w:szCs w:val="24"/>
              </w:rPr>
              <w:t>（基本价格）</w:t>
            </w:r>
            <w:r>
              <w:rPr>
                <w:rFonts w:ascii="Arial" w:eastAsia="仿宋_GB2312" w:hAnsi="Arial" w:cs="Arial"/>
                <w:b/>
                <w:szCs w:val="24"/>
              </w:rPr>
              <w:t>为</w:t>
            </w:r>
            <w:r w:rsidR="00550FB0">
              <w:rPr>
                <w:rFonts w:ascii="Arial" w:eastAsia="仿宋_GB2312" w:hAnsi="Arial" w:cs="Arial" w:hint="eastAsia"/>
                <w:b/>
                <w:szCs w:val="24"/>
              </w:rPr>
              <w:t>104668.3070</w:t>
            </w:r>
            <w:r>
              <w:rPr>
                <w:rFonts w:ascii="Arial" w:eastAsia="仿宋_GB2312" w:hAnsi="Arial" w:cs="Arial"/>
                <w:b/>
                <w:szCs w:val="24"/>
              </w:rPr>
              <w:t>万元</w:t>
            </w:r>
            <w:r>
              <w:rPr>
                <w:rFonts w:ascii="Arial" w:eastAsia="仿宋_GB2312" w:hAnsi="Arial" w:cs="Arial" w:hint="eastAsia"/>
                <w:b/>
                <w:szCs w:val="24"/>
              </w:rPr>
              <w:t>。</w:t>
            </w:r>
          </w:p>
          <w:p w14:paraId="2F97713C" w14:textId="77777777" w:rsidR="0062768B" w:rsidRDefault="00136729">
            <w:pPr>
              <w:widowControl/>
              <w:adjustRightInd/>
              <w:spacing w:line="300" w:lineRule="auto"/>
              <w:ind w:left="1185" w:hanging="720"/>
              <w:textAlignment w:val="auto"/>
              <w:rPr>
                <w:rFonts w:ascii="Arial" w:eastAsia="仿宋_GB2312" w:hAnsi="Arial" w:cs="Arial"/>
                <w:b/>
                <w:szCs w:val="24"/>
              </w:rPr>
            </w:pPr>
            <w:r>
              <w:rPr>
                <w:rFonts w:ascii="Arial" w:eastAsia="仿宋_GB2312" w:hAnsi="Arial" w:cs="Arial"/>
                <w:b/>
                <w:szCs w:val="24"/>
              </w:rPr>
              <w:t>3</w:t>
            </w:r>
            <w:r>
              <w:rPr>
                <w:rFonts w:ascii="Arial" w:eastAsia="仿宋_GB2312" w:hAnsi="Arial" w:cs="Arial"/>
                <w:b/>
                <w:szCs w:val="24"/>
              </w:rPr>
              <w:t>、</w:t>
            </w:r>
            <w:r>
              <w:rPr>
                <w:rFonts w:ascii="Arial" w:eastAsia="仿宋_GB2312" w:hAnsi="Arial" w:cs="Arial" w:hint="eastAsia"/>
                <w:b/>
                <w:szCs w:val="24"/>
              </w:rPr>
              <w:t>比较结论</w:t>
            </w:r>
          </w:p>
          <w:p w14:paraId="5FDFE35C"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如上表所示，本次评估熟地价总额为</w:t>
            </w:r>
            <w:r>
              <w:rPr>
                <w:rFonts w:ascii="Arial" w:eastAsia="仿宋_GB2312" w:hAnsi="Arial" w:cs="Arial"/>
                <w:b/>
                <w:szCs w:val="24"/>
              </w:rPr>
              <w:t xml:space="preserve">103245.0381 </w:t>
            </w:r>
            <w:r>
              <w:rPr>
                <w:rFonts w:ascii="Arial" w:eastAsia="仿宋_GB2312" w:hAnsi="Arial" w:cs="Arial"/>
                <w:b/>
                <w:szCs w:val="24"/>
              </w:rPr>
              <w:t>万元</w:t>
            </w:r>
            <w:r>
              <w:rPr>
                <w:rFonts w:ascii="Arial" w:eastAsia="仿宋_GB2312" w:hAnsi="Arial" w:cs="Arial" w:hint="eastAsia"/>
                <w:b/>
                <w:szCs w:val="24"/>
              </w:rPr>
              <w:t>。如前述，政府</w:t>
            </w:r>
            <w:r>
              <w:rPr>
                <w:rFonts w:ascii="Arial" w:eastAsia="仿宋_GB2312" w:hAnsi="Arial" w:cs="Arial"/>
                <w:b/>
                <w:szCs w:val="24"/>
              </w:rPr>
              <w:t>土地出让收益与土地开发成本之和</w:t>
            </w:r>
            <w:r>
              <w:rPr>
                <w:rFonts w:ascii="Arial" w:eastAsia="仿宋_GB2312" w:hAnsi="Arial" w:cs="Arial" w:hint="eastAsia"/>
                <w:b/>
                <w:szCs w:val="24"/>
              </w:rPr>
              <w:t>（基本价格）</w:t>
            </w:r>
            <w:r>
              <w:rPr>
                <w:rFonts w:ascii="Arial" w:eastAsia="仿宋_GB2312" w:hAnsi="Arial" w:cs="Arial"/>
                <w:b/>
                <w:szCs w:val="24"/>
              </w:rPr>
              <w:t>为</w:t>
            </w:r>
            <w:r w:rsidR="00550FB0">
              <w:rPr>
                <w:rFonts w:ascii="Arial" w:eastAsia="仿宋_GB2312" w:hAnsi="Arial" w:cs="Arial" w:hint="eastAsia"/>
                <w:b/>
                <w:szCs w:val="24"/>
              </w:rPr>
              <w:t>104668.3070</w:t>
            </w:r>
            <w:r>
              <w:rPr>
                <w:rFonts w:ascii="Arial" w:eastAsia="仿宋_GB2312" w:hAnsi="Arial" w:cs="Arial"/>
                <w:b/>
                <w:szCs w:val="24"/>
              </w:rPr>
              <w:t>万元</w:t>
            </w:r>
            <w:r>
              <w:rPr>
                <w:rFonts w:ascii="Arial" w:eastAsia="仿宋_GB2312" w:hAnsi="Arial" w:cs="Arial" w:hint="eastAsia"/>
                <w:b/>
                <w:szCs w:val="24"/>
              </w:rPr>
              <w:t>。</w:t>
            </w:r>
            <w:r>
              <w:rPr>
                <w:rFonts w:ascii="Arial" w:eastAsia="仿宋_GB2312" w:hAnsi="Arial" w:cs="Arial"/>
                <w:b/>
                <w:szCs w:val="24"/>
              </w:rPr>
              <w:t>经比较</w:t>
            </w:r>
            <w:r>
              <w:rPr>
                <w:rFonts w:ascii="Arial" w:eastAsia="仿宋_GB2312" w:hAnsi="Arial" w:cs="Arial" w:hint="eastAsia"/>
                <w:b/>
                <w:szCs w:val="24"/>
              </w:rPr>
              <w:t>，基本价格高于熟地价总额。因此，本次评估出让底价建议按照政府土地出让收益与土地开发</w:t>
            </w:r>
            <w:r>
              <w:rPr>
                <w:rFonts w:ascii="Arial" w:eastAsia="仿宋_GB2312" w:hAnsi="Arial" w:cs="Arial" w:hint="eastAsia"/>
                <w:b/>
                <w:szCs w:val="24"/>
              </w:rPr>
              <w:lastRenderedPageBreak/>
              <w:t>成本之和（基本价格）确定，</w:t>
            </w:r>
            <w:r>
              <w:rPr>
                <w:rFonts w:ascii="Arial" w:eastAsia="仿宋_GB2312" w:hAnsi="Arial" w:cs="Arial"/>
                <w:b/>
                <w:szCs w:val="24"/>
              </w:rPr>
              <w:t>即</w:t>
            </w:r>
            <w:r w:rsidR="00550FB0">
              <w:rPr>
                <w:rFonts w:ascii="Arial" w:eastAsia="仿宋_GB2312" w:hAnsi="Arial" w:cs="Arial" w:hint="eastAsia"/>
                <w:b/>
                <w:szCs w:val="24"/>
              </w:rPr>
              <w:t>104668.3070</w:t>
            </w:r>
            <w:r>
              <w:rPr>
                <w:rFonts w:ascii="Arial" w:eastAsia="仿宋_GB2312" w:hAnsi="Arial" w:cs="Arial"/>
                <w:b/>
                <w:szCs w:val="24"/>
              </w:rPr>
              <w:t>万元</w:t>
            </w:r>
            <w:r>
              <w:rPr>
                <w:rFonts w:ascii="Arial" w:eastAsia="仿宋_GB2312" w:hAnsi="Arial" w:cs="Arial" w:hint="eastAsia"/>
                <w:b/>
                <w:szCs w:val="24"/>
              </w:rPr>
              <w:t>。</w:t>
            </w:r>
          </w:p>
          <w:p w14:paraId="2B223516" w14:textId="77777777" w:rsidR="0062768B" w:rsidRDefault="00136729">
            <w:pPr>
              <w:widowControl/>
              <w:adjustRightInd/>
              <w:spacing w:line="300" w:lineRule="auto"/>
              <w:ind w:left="1185" w:hanging="720"/>
              <w:textAlignment w:val="auto"/>
              <w:rPr>
                <w:rFonts w:ascii="Arial" w:eastAsia="仿宋_GB2312" w:hAnsi="Arial" w:cs="Arial"/>
                <w:b/>
                <w:szCs w:val="24"/>
              </w:rPr>
            </w:pPr>
            <w:r>
              <w:rPr>
                <w:rFonts w:ascii="Arial" w:eastAsia="仿宋_GB2312" w:hAnsi="Arial" w:cs="Arial"/>
                <w:b/>
                <w:szCs w:val="24"/>
              </w:rPr>
              <w:t>4</w:t>
            </w:r>
            <w:r>
              <w:rPr>
                <w:rFonts w:ascii="Arial" w:eastAsia="仿宋_GB2312" w:hAnsi="Arial" w:cs="Arial"/>
                <w:b/>
                <w:szCs w:val="24"/>
              </w:rPr>
              <w:t>、</w:t>
            </w:r>
            <w:r>
              <w:rPr>
                <w:rFonts w:ascii="Arial" w:eastAsia="仿宋_GB2312" w:hAnsi="Arial" w:cs="Arial" w:hint="eastAsia"/>
                <w:b/>
                <w:szCs w:val="24"/>
              </w:rPr>
              <w:t>出让底价决策建议</w:t>
            </w:r>
          </w:p>
          <w:p w14:paraId="5A5B5FB6"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估价对象北京市顺义区高丽营镇夏县营村</w:t>
            </w:r>
            <w:r>
              <w:rPr>
                <w:rFonts w:ascii="Arial" w:eastAsia="仿宋_GB2312" w:hAnsi="Arial" w:cs="Arial" w:hint="eastAsia"/>
                <w:b/>
                <w:szCs w:val="24"/>
              </w:rPr>
              <w:t>01-008</w:t>
            </w:r>
            <w:r>
              <w:rPr>
                <w:rFonts w:ascii="Arial" w:eastAsia="仿宋_GB2312" w:hAnsi="Arial" w:cs="Arial" w:hint="eastAsia"/>
                <w:b/>
                <w:szCs w:val="24"/>
              </w:rPr>
              <w:t>、</w:t>
            </w:r>
            <w:r>
              <w:rPr>
                <w:rFonts w:ascii="Arial" w:eastAsia="仿宋_GB2312" w:hAnsi="Arial" w:cs="Arial" w:hint="eastAsia"/>
                <w:b/>
                <w:szCs w:val="24"/>
              </w:rPr>
              <w:t>01-016</w:t>
            </w:r>
            <w:r>
              <w:rPr>
                <w:rFonts w:ascii="Arial" w:eastAsia="仿宋_GB2312" w:hAnsi="Arial" w:cs="Arial" w:hint="eastAsia"/>
                <w:b/>
                <w:szCs w:val="24"/>
              </w:rPr>
              <w:t>、</w:t>
            </w:r>
            <w:r>
              <w:rPr>
                <w:rFonts w:ascii="Arial" w:eastAsia="仿宋_GB2312" w:hAnsi="Arial" w:cs="Arial" w:hint="eastAsia"/>
                <w:b/>
                <w:szCs w:val="24"/>
              </w:rPr>
              <w:t>01-026-1</w:t>
            </w:r>
            <w:r>
              <w:rPr>
                <w:rFonts w:ascii="Arial" w:eastAsia="仿宋_GB2312" w:hAnsi="Arial" w:cs="Arial" w:hint="eastAsia"/>
                <w:b/>
                <w:szCs w:val="24"/>
              </w:rPr>
              <w:t>地块</w:t>
            </w:r>
            <w:r>
              <w:rPr>
                <w:rFonts w:ascii="Arial" w:eastAsia="仿宋_GB2312" w:hAnsi="Arial" w:cs="Arial" w:hint="eastAsia"/>
                <w:b/>
                <w:szCs w:val="24"/>
              </w:rPr>
              <w:t>R2</w:t>
            </w:r>
            <w:proofErr w:type="gramStart"/>
            <w:r>
              <w:rPr>
                <w:rFonts w:ascii="Arial" w:eastAsia="仿宋_GB2312" w:hAnsi="Arial" w:cs="Arial" w:hint="eastAsia"/>
                <w:b/>
                <w:szCs w:val="24"/>
              </w:rPr>
              <w:t>二</w:t>
            </w:r>
            <w:proofErr w:type="gramEnd"/>
            <w:r>
              <w:rPr>
                <w:rFonts w:ascii="Arial" w:eastAsia="仿宋_GB2312" w:hAnsi="Arial" w:cs="Arial" w:hint="eastAsia"/>
                <w:b/>
                <w:szCs w:val="24"/>
              </w:rPr>
              <w:t>类居住用地及</w:t>
            </w:r>
            <w:r>
              <w:rPr>
                <w:rFonts w:ascii="Arial" w:eastAsia="仿宋_GB2312" w:hAnsi="Arial" w:cs="Arial" w:hint="eastAsia"/>
                <w:b/>
                <w:szCs w:val="24"/>
              </w:rPr>
              <w:t>01-020</w:t>
            </w:r>
            <w:r>
              <w:rPr>
                <w:rFonts w:ascii="Arial" w:eastAsia="仿宋_GB2312" w:hAnsi="Arial" w:cs="Arial" w:hint="eastAsia"/>
                <w:b/>
                <w:szCs w:val="24"/>
              </w:rPr>
              <w:t>地块</w:t>
            </w:r>
            <w:r>
              <w:rPr>
                <w:rFonts w:ascii="Arial" w:eastAsia="仿宋_GB2312" w:hAnsi="Arial" w:cs="Arial" w:hint="eastAsia"/>
                <w:b/>
                <w:szCs w:val="24"/>
              </w:rPr>
              <w:t>A334</w:t>
            </w:r>
            <w:r>
              <w:rPr>
                <w:rFonts w:ascii="Arial" w:eastAsia="仿宋_GB2312" w:hAnsi="Arial" w:cs="Arial" w:hint="eastAsia"/>
                <w:b/>
                <w:szCs w:val="24"/>
              </w:rPr>
              <w:t>托幼用地项目在估价期日</w:t>
            </w:r>
            <w:r w:rsidR="00550FB0">
              <w:rPr>
                <w:rFonts w:ascii="Arial" w:eastAsia="仿宋_GB2312" w:hAnsi="Arial" w:cs="Arial" w:hint="eastAsia"/>
                <w:b/>
                <w:szCs w:val="24"/>
              </w:rPr>
              <w:t>2023</w:t>
            </w:r>
            <w:r w:rsidR="00550FB0">
              <w:rPr>
                <w:rFonts w:ascii="Arial" w:eastAsia="仿宋_GB2312" w:hAnsi="Arial" w:cs="Arial" w:hint="eastAsia"/>
                <w:b/>
                <w:szCs w:val="24"/>
              </w:rPr>
              <w:t>年</w:t>
            </w:r>
            <w:r w:rsidR="00550FB0">
              <w:rPr>
                <w:rFonts w:ascii="Arial" w:eastAsia="仿宋_GB2312" w:hAnsi="Arial" w:cs="Arial" w:hint="eastAsia"/>
                <w:b/>
                <w:szCs w:val="24"/>
              </w:rPr>
              <w:t>6</w:t>
            </w:r>
            <w:r w:rsidR="00550FB0">
              <w:rPr>
                <w:rFonts w:ascii="Arial" w:eastAsia="仿宋_GB2312" w:hAnsi="Arial" w:cs="Arial" w:hint="eastAsia"/>
                <w:b/>
                <w:szCs w:val="24"/>
              </w:rPr>
              <w:t>月</w:t>
            </w:r>
            <w:r w:rsidR="00550FB0">
              <w:rPr>
                <w:rFonts w:ascii="Arial" w:eastAsia="仿宋_GB2312" w:hAnsi="Arial" w:cs="Arial" w:hint="eastAsia"/>
                <w:b/>
                <w:szCs w:val="24"/>
              </w:rPr>
              <w:t>20</w:t>
            </w:r>
            <w:r w:rsidR="00550FB0">
              <w:rPr>
                <w:rFonts w:ascii="Arial" w:eastAsia="仿宋_GB2312" w:hAnsi="Arial" w:cs="Arial" w:hint="eastAsia"/>
                <w:b/>
                <w:szCs w:val="24"/>
              </w:rPr>
              <w:t>日</w:t>
            </w:r>
            <w:r>
              <w:rPr>
                <w:rFonts w:ascii="Arial" w:eastAsia="仿宋_GB2312" w:hAnsi="Arial" w:cs="Arial" w:hint="eastAsia"/>
                <w:b/>
                <w:szCs w:val="24"/>
              </w:rPr>
              <w:t>的建议土地出让底价为：</w:t>
            </w:r>
          </w:p>
          <w:p w14:paraId="7E73B755"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建议出让底价：</w:t>
            </w:r>
            <w:r w:rsidR="00550FB0">
              <w:rPr>
                <w:rFonts w:ascii="Arial" w:eastAsia="仿宋_GB2312" w:hAnsi="Arial" w:cs="Arial" w:hint="eastAsia"/>
                <w:b/>
                <w:szCs w:val="24"/>
              </w:rPr>
              <w:t>104668.3070</w:t>
            </w:r>
            <w:r>
              <w:rPr>
                <w:rFonts w:ascii="Arial" w:eastAsia="仿宋_GB2312" w:hAnsi="Arial" w:cs="Arial"/>
                <w:b/>
                <w:szCs w:val="24"/>
              </w:rPr>
              <w:t>万元</w:t>
            </w:r>
          </w:p>
          <w:p w14:paraId="384D3F80"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大写金额：</w:t>
            </w:r>
            <w:proofErr w:type="gramStart"/>
            <w:r w:rsidR="00550FB0">
              <w:rPr>
                <w:rFonts w:ascii="Arial" w:eastAsia="仿宋_GB2312" w:hAnsi="Arial" w:cs="Arial" w:hint="eastAsia"/>
                <w:b/>
                <w:szCs w:val="24"/>
              </w:rPr>
              <w:t>壹拾亿零肆仟陆佰陆拾捌万叁仟零柒拾</w:t>
            </w:r>
            <w:proofErr w:type="gramEnd"/>
            <w:r>
              <w:rPr>
                <w:rFonts w:ascii="Arial" w:eastAsia="仿宋_GB2312" w:hAnsi="Arial" w:cs="Arial" w:hint="eastAsia"/>
                <w:b/>
                <w:szCs w:val="24"/>
              </w:rPr>
              <w:t>元整</w:t>
            </w:r>
          </w:p>
        </w:tc>
      </w:tr>
    </w:tbl>
    <w:p w14:paraId="72C8C947" w14:textId="77777777" w:rsidR="0062768B" w:rsidRDefault="00136729">
      <w:pPr>
        <w:spacing w:line="300" w:lineRule="auto"/>
        <w:outlineLvl w:val="1"/>
        <w:rPr>
          <w:rStyle w:val="af2"/>
          <w:rFonts w:ascii="Arial" w:hAnsi="Arial" w:cs="Arial"/>
        </w:rPr>
      </w:pPr>
      <w:r>
        <w:rPr>
          <w:rStyle w:val="af2"/>
          <w:rFonts w:ascii="Arial" w:hAnsi="Arial" w:cs="Arial"/>
        </w:rPr>
        <w:lastRenderedPageBreak/>
        <w:br w:type="page"/>
      </w:r>
      <w:bookmarkStart w:id="68" w:name="_Toc132016727"/>
      <w:bookmarkStart w:id="69" w:name="_Toc138062997"/>
      <w:r>
        <w:rPr>
          <w:rStyle w:val="af2"/>
          <w:rFonts w:ascii="Arial" w:hAnsi="Arial" w:cs="Arial"/>
        </w:rPr>
        <w:lastRenderedPageBreak/>
        <w:t>八</w:t>
      </w:r>
      <w:r>
        <w:rPr>
          <w:rFonts w:ascii="Arial" w:eastAsia="仿宋_GB2312" w:hAnsi="Arial" w:cs="Arial"/>
          <w:b/>
          <w:bCs/>
          <w:sz w:val="28"/>
        </w:rPr>
        <w:t>、</w:t>
      </w:r>
      <w:r>
        <w:rPr>
          <w:rFonts w:ascii="Arial" w:eastAsia="仿宋_GB2312" w:hAnsi="Arial" w:cs="Arial" w:hint="eastAsia"/>
          <w:b/>
          <w:bCs/>
          <w:sz w:val="28"/>
        </w:rPr>
        <w:t>土地估价</w:t>
      </w:r>
      <w:r>
        <w:rPr>
          <w:rFonts w:ascii="Arial" w:eastAsia="仿宋_GB2312" w:hAnsi="Arial" w:cs="Arial"/>
          <w:b/>
          <w:bCs/>
          <w:sz w:val="28"/>
        </w:rPr>
        <w:t>专业评估师签字</w:t>
      </w:r>
      <w:bookmarkEnd w:id="61"/>
      <w:bookmarkEnd w:id="62"/>
      <w:bookmarkEnd w:id="63"/>
      <w:bookmarkEnd w:id="64"/>
      <w:bookmarkEnd w:id="65"/>
      <w:bookmarkEnd w:id="66"/>
      <w:bookmarkEnd w:id="68"/>
      <w:bookmarkEnd w:id="6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62768B" w14:paraId="44DB74DA" w14:textId="77777777">
        <w:trPr>
          <w:trHeight w:val="70"/>
          <w:jc w:val="center"/>
        </w:trPr>
        <w:tc>
          <w:tcPr>
            <w:tcW w:w="9299" w:type="dxa"/>
            <w:gridSpan w:val="3"/>
            <w:shd w:val="clear" w:color="auto" w:fill="auto"/>
            <w:vAlign w:val="center"/>
          </w:tcPr>
          <w:p w14:paraId="1BDE93DE" w14:textId="77777777" w:rsidR="0062768B" w:rsidRDefault="00136729">
            <w:pPr>
              <w:widowControl/>
              <w:adjustRightInd/>
              <w:spacing w:line="300" w:lineRule="auto"/>
              <w:jc w:val="both"/>
              <w:textAlignment w:val="auto"/>
              <w:rPr>
                <w:rFonts w:ascii="Arial" w:eastAsia="仿宋_GB2312" w:hAnsi="Arial" w:cs="Arial"/>
                <w:b/>
                <w:bCs/>
                <w:sz w:val="28"/>
                <w:szCs w:val="28"/>
              </w:rPr>
            </w:pPr>
            <w:r>
              <w:rPr>
                <w:rFonts w:ascii="Arial" w:eastAsia="仿宋_GB2312" w:hAnsi="Arial" w:cs="Arial"/>
                <w:b/>
                <w:bCs/>
                <w:sz w:val="28"/>
                <w:szCs w:val="28"/>
              </w:rPr>
              <w:t>土地</w:t>
            </w:r>
            <w:r>
              <w:rPr>
                <w:rFonts w:ascii="Arial" w:eastAsia="仿宋_GB2312" w:hAnsi="Arial" w:cs="Arial" w:hint="eastAsia"/>
                <w:b/>
                <w:bCs/>
                <w:sz w:val="28"/>
              </w:rPr>
              <w:t>估价</w:t>
            </w:r>
            <w:r>
              <w:rPr>
                <w:rFonts w:ascii="Arial" w:eastAsia="仿宋_GB2312" w:hAnsi="Arial" w:cs="Arial"/>
                <w:b/>
                <w:bCs/>
                <w:sz w:val="28"/>
              </w:rPr>
              <w:t>专业评估</w:t>
            </w:r>
            <w:r>
              <w:rPr>
                <w:rFonts w:ascii="Arial" w:eastAsia="仿宋_GB2312" w:hAnsi="Arial" w:cs="Arial" w:hint="eastAsia"/>
                <w:b/>
                <w:bCs/>
                <w:sz w:val="28"/>
              </w:rPr>
              <w:t>师</w:t>
            </w:r>
          </w:p>
        </w:tc>
      </w:tr>
      <w:tr w:rsidR="0062768B" w14:paraId="10E6D0D6" w14:textId="77777777">
        <w:trPr>
          <w:trHeight w:val="370"/>
          <w:jc w:val="center"/>
        </w:trPr>
        <w:tc>
          <w:tcPr>
            <w:tcW w:w="2603" w:type="dxa"/>
            <w:shd w:val="clear" w:color="auto" w:fill="auto"/>
            <w:vAlign w:val="center"/>
          </w:tcPr>
          <w:p w14:paraId="321EBACB"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4031" w:type="dxa"/>
            <w:shd w:val="clear" w:color="auto" w:fill="auto"/>
            <w:vAlign w:val="center"/>
          </w:tcPr>
          <w:p w14:paraId="5FF0D14A"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资格证号</w:t>
            </w:r>
          </w:p>
        </w:tc>
        <w:tc>
          <w:tcPr>
            <w:tcW w:w="2665" w:type="dxa"/>
            <w:shd w:val="clear" w:color="auto" w:fill="auto"/>
            <w:vAlign w:val="center"/>
          </w:tcPr>
          <w:p w14:paraId="3499F207"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签名</w:t>
            </w:r>
          </w:p>
        </w:tc>
      </w:tr>
      <w:tr w:rsidR="0062768B" w14:paraId="5FA0FFFF" w14:textId="77777777">
        <w:trPr>
          <w:trHeight w:hRule="exact" w:val="1134"/>
          <w:jc w:val="center"/>
        </w:trPr>
        <w:tc>
          <w:tcPr>
            <w:tcW w:w="2603" w:type="dxa"/>
            <w:shd w:val="clear" w:color="auto" w:fill="auto"/>
            <w:vAlign w:val="center"/>
          </w:tcPr>
          <w:p w14:paraId="01E65080"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hint="eastAsia"/>
                <w:sz w:val="28"/>
                <w:szCs w:val="28"/>
              </w:rPr>
              <w:t>陈</w:t>
            </w:r>
            <w:r>
              <w:rPr>
                <w:rFonts w:ascii="Arial" w:eastAsia="仿宋_GB2312" w:hAnsi="Arial" w:cs="Arial" w:hint="eastAsia"/>
                <w:sz w:val="28"/>
                <w:szCs w:val="28"/>
              </w:rPr>
              <w:t xml:space="preserve">  </w:t>
            </w:r>
            <w:r>
              <w:rPr>
                <w:rFonts w:ascii="Arial" w:eastAsia="仿宋_GB2312" w:hAnsi="Arial" w:cs="Arial" w:hint="eastAsia"/>
                <w:sz w:val="28"/>
                <w:szCs w:val="28"/>
              </w:rPr>
              <w:t>颖</w:t>
            </w:r>
          </w:p>
        </w:tc>
        <w:tc>
          <w:tcPr>
            <w:tcW w:w="4031" w:type="dxa"/>
            <w:shd w:val="clear" w:color="auto" w:fill="auto"/>
            <w:vAlign w:val="center"/>
          </w:tcPr>
          <w:p w14:paraId="7BAAFF29"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2004110096</w:t>
            </w:r>
          </w:p>
        </w:tc>
        <w:tc>
          <w:tcPr>
            <w:tcW w:w="2665" w:type="dxa"/>
            <w:shd w:val="clear" w:color="auto" w:fill="auto"/>
            <w:vAlign w:val="center"/>
          </w:tcPr>
          <w:p w14:paraId="6A0BBEBB" w14:textId="77777777" w:rsidR="0062768B" w:rsidRDefault="0062768B">
            <w:pPr>
              <w:widowControl/>
              <w:adjustRightInd/>
              <w:spacing w:line="300" w:lineRule="auto"/>
              <w:jc w:val="both"/>
              <w:textAlignment w:val="auto"/>
              <w:rPr>
                <w:rFonts w:ascii="Arial" w:eastAsia="仿宋_GB2312" w:hAnsi="Arial" w:cs="Arial"/>
                <w:sz w:val="28"/>
                <w:szCs w:val="28"/>
              </w:rPr>
            </w:pPr>
          </w:p>
        </w:tc>
      </w:tr>
      <w:tr w:rsidR="0062768B" w14:paraId="2AC9027F" w14:textId="77777777">
        <w:trPr>
          <w:trHeight w:hRule="exact" w:val="1134"/>
          <w:jc w:val="center"/>
        </w:trPr>
        <w:tc>
          <w:tcPr>
            <w:tcW w:w="2603" w:type="dxa"/>
            <w:shd w:val="clear" w:color="auto" w:fill="auto"/>
            <w:vAlign w:val="center"/>
          </w:tcPr>
          <w:p w14:paraId="3E89C156"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hint="eastAsia"/>
                <w:sz w:val="28"/>
                <w:szCs w:val="28"/>
              </w:rPr>
              <w:t>叶</w:t>
            </w:r>
            <w:r>
              <w:rPr>
                <w:rFonts w:ascii="Arial" w:eastAsia="仿宋_GB2312" w:hAnsi="Arial" w:cs="Arial" w:hint="eastAsia"/>
                <w:sz w:val="28"/>
                <w:szCs w:val="28"/>
              </w:rPr>
              <w:t xml:space="preserve">  </w:t>
            </w:r>
            <w:r>
              <w:rPr>
                <w:rFonts w:ascii="Arial" w:eastAsia="仿宋_GB2312" w:hAnsi="Arial" w:cs="Arial" w:hint="eastAsia"/>
                <w:sz w:val="28"/>
                <w:szCs w:val="28"/>
              </w:rPr>
              <w:t>凌</w:t>
            </w:r>
          </w:p>
        </w:tc>
        <w:tc>
          <w:tcPr>
            <w:tcW w:w="4031" w:type="dxa"/>
            <w:shd w:val="clear" w:color="auto" w:fill="auto"/>
            <w:vAlign w:val="center"/>
          </w:tcPr>
          <w:p w14:paraId="45CAE911"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94010078</w:t>
            </w:r>
          </w:p>
        </w:tc>
        <w:tc>
          <w:tcPr>
            <w:tcW w:w="2665" w:type="dxa"/>
            <w:shd w:val="clear" w:color="auto" w:fill="auto"/>
            <w:vAlign w:val="center"/>
          </w:tcPr>
          <w:p w14:paraId="145C0F70" w14:textId="77777777" w:rsidR="0062768B" w:rsidRDefault="0062768B">
            <w:pPr>
              <w:widowControl/>
              <w:adjustRightInd/>
              <w:spacing w:line="300" w:lineRule="auto"/>
              <w:jc w:val="both"/>
              <w:textAlignment w:val="auto"/>
              <w:rPr>
                <w:rFonts w:ascii="Arial" w:eastAsia="仿宋_GB2312" w:hAnsi="Arial" w:cs="Arial"/>
                <w:sz w:val="28"/>
                <w:szCs w:val="28"/>
              </w:rPr>
            </w:pPr>
          </w:p>
        </w:tc>
      </w:tr>
      <w:tr w:rsidR="0062768B" w14:paraId="7EF5630E" w14:textId="77777777">
        <w:trPr>
          <w:trHeight w:hRule="exact" w:val="1134"/>
          <w:jc w:val="center"/>
        </w:trPr>
        <w:tc>
          <w:tcPr>
            <w:tcW w:w="2603" w:type="dxa"/>
            <w:shd w:val="clear" w:color="auto" w:fill="auto"/>
            <w:vAlign w:val="center"/>
          </w:tcPr>
          <w:p w14:paraId="7C718E8F" w14:textId="77777777" w:rsidR="0062768B" w:rsidRDefault="00136729">
            <w:pPr>
              <w:widowControl/>
              <w:adjustRightInd/>
              <w:spacing w:line="300" w:lineRule="auto"/>
              <w:jc w:val="both"/>
              <w:textAlignment w:val="auto"/>
              <w:rPr>
                <w:rFonts w:ascii="Arial" w:eastAsia="仿宋_GB2312" w:hAnsi="Arial" w:cs="Arial"/>
                <w:sz w:val="28"/>
                <w:szCs w:val="28"/>
              </w:rPr>
            </w:pPr>
            <w:proofErr w:type="gramStart"/>
            <w:r>
              <w:rPr>
                <w:rFonts w:ascii="Arial" w:eastAsia="仿宋_GB2312" w:hAnsi="Arial" w:cs="Arial" w:hint="eastAsia"/>
                <w:sz w:val="28"/>
                <w:szCs w:val="28"/>
              </w:rPr>
              <w:t>魏伯欣</w:t>
            </w:r>
            <w:proofErr w:type="gramEnd"/>
          </w:p>
        </w:tc>
        <w:tc>
          <w:tcPr>
            <w:tcW w:w="4031" w:type="dxa"/>
            <w:shd w:val="clear" w:color="auto" w:fill="auto"/>
            <w:vAlign w:val="center"/>
          </w:tcPr>
          <w:p w14:paraId="2B770EA5"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2000110133</w:t>
            </w:r>
          </w:p>
        </w:tc>
        <w:tc>
          <w:tcPr>
            <w:tcW w:w="2665" w:type="dxa"/>
            <w:shd w:val="clear" w:color="auto" w:fill="auto"/>
            <w:vAlign w:val="center"/>
          </w:tcPr>
          <w:p w14:paraId="11798BD0" w14:textId="77777777" w:rsidR="0062768B" w:rsidRDefault="0062768B">
            <w:pPr>
              <w:widowControl/>
              <w:adjustRightInd/>
              <w:spacing w:line="300" w:lineRule="auto"/>
              <w:jc w:val="both"/>
              <w:textAlignment w:val="auto"/>
              <w:rPr>
                <w:rFonts w:ascii="Arial" w:eastAsia="仿宋_GB2312" w:hAnsi="Arial" w:cs="Arial"/>
                <w:sz w:val="28"/>
                <w:szCs w:val="28"/>
              </w:rPr>
            </w:pPr>
          </w:p>
        </w:tc>
      </w:tr>
      <w:tr w:rsidR="0062768B" w14:paraId="62CC7B79" w14:textId="77777777">
        <w:trPr>
          <w:trHeight w:val="194"/>
          <w:jc w:val="center"/>
        </w:trPr>
        <w:tc>
          <w:tcPr>
            <w:tcW w:w="9299" w:type="dxa"/>
            <w:gridSpan w:val="3"/>
            <w:shd w:val="clear" w:color="auto" w:fill="auto"/>
            <w:vAlign w:val="center"/>
          </w:tcPr>
          <w:p w14:paraId="26E60EA4" w14:textId="77777777" w:rsidR="0062768B" w:rsidRDefault="00136729">
            <w:pPr>
              <w:widowControl/>
              <w:adjustRightInd/>
              <w:spacing w:line="30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w:t>
            </w:r>
            <w:r>
              <w:rPr>
                <w:rFonts w:ascii="Arial" w:eastAsia="仿宋_GB2312" w:hAnsi="Arial" w:cs="Arial" w:hint="eastAsia"/>
                <w:b/>
                <w:bCs/>
                <w:sz w:val="28"/>
                <w:szCs w:val="28"/>
              </w:rPr>
              <w:t>评估</w:t>
            </w:r>
            <w:r>
              <w:rPr>
                <w:rFonts w:ascii="Arial" w:eastAsia="仿宋_GB2312" w:hAnsi="Arial" w:cs="Arial"/>
                <w:b/>
                <w:bCs/>
                <w:sz w:val="28"/>
                <w:szCs w:val="28"/>
              </w:rPr>
              <w:t>专业人员</w:t>
            </w:r>
            <w:r>
              <w:rPr>
                <w:rFonts w:ascii="Arial" w:eastAsia="仿宋_GB2312" w:hAnsi="Arial" w:cs="Arial"/>
                <w:b/>
                <w:bCs/>
                <w:sz w:val="28"/>
                <w:szCs w:val="28"/>
              </w:rPr>
              <w:t xml:space="preserve"> </w:t>
            </w:r>
          </w:p>
        </w:tc>
      </w:tr>
      <w:tr w:rsidR="0062768B" w14:paraId="7E7278F0" w14:textId="77777777">
        <w:trPr>
          <w:trHeight w:val="119"/>
          <w:jc w:val="center"/>
        </w:trPr>
        <w:tc>
          <w:tcPr>
            <w:tcW w:w="2603" w:type="dxa"/>
            <w:shd w:val="clear" w:color="auto" w:fill="auto"/>
            <w:vAlign w:val="center"/>
          </w:tcPr>
          <w:p w14:paraId="59A9BF40"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4031" w:type="dxa"/>
            <w:shd w:val="clear" w:color="auto" w:fill="auto"/>
            <w:vAlign w:val="center"/>
          </w:tcPr>
          <w:p w14:paraId="601AE279"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65" w:type="dxa"/>
            <w:shd w:val="clear" w:color="auto" w:fill="auto"/>
            <w:vAlign w:val="center"/>
          </w:tcPr>
          <w:p w14:paraId="026F2F33"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签名</w:t>
            </w:r>
          </w:p>
        </w:tc>
      </w:tr>
      <w:tr w:rsidR="0062768B" w14:paraId="5AFEF278" w14:textId="77777777">
        <w:trPr>
          <w:trHeight w:hRule="exact" w:val="1134"/>
          <w:jc w:val="center"/>
        </w:trPr>
        <w:tc>
          <w:tcPr>
            <w:tcW w:w="2603" w:type="dxa"/>
            <w:shd w:val="clear" w:color="auto" w:fill="auto"/>
            <w:vAlign w:val="center"/>
          </w:tcPr>
          <w:p w14:paraId="08967EFD"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4031" w:type="dxa"/>
            <w:shd w:val="clear" w:color="auto" w:fill="auto"/>
            <w:vAlign w:val="center"/>
          </w:tcPr>
          <w:p w14:paraId="10925467"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65" w:type="dxa"/>
            <w:shd w:val="clear" w:color="auto" w:fill="auto"/>
            <w:vAlign w:val="center"/>
          </w:tcPr>
          <w:p w14:paraId="58BCB880" w14:textId="77777777" w:rsidR="0062768B" w:rsidRDefault="0062768B">
            <w:pPr>
              <w:widowControl/>
              <w:adjustRightInd/>
              <w:spacing w:line="300" w:lineRule="auto"/>
              <w:jc w:val="both"/>
              <w:textAlignment w:val="auto"/>
              <w:rPr>
                <w:rFonts w:ascii="Arial" w:eastAsia="仿宋_GB2312" w:hAnsi="Arial" w:cs="Arial"/>
                <w:sz w:val="28"/>
                <w:szCs w:val="28"/>
              </w:rPr>
            </w:pPr>
          </w:p>
        </w:tc>
      </w:tr>
    </w:tbl>
    <w:p w14:paraId="01A8DBFC" w14:textId="77777777" w:rsidR="0062768B" w:rsidRDefault="0062768B">
      <w:pPr>
        <w:spacing w:line="300" w:lineRule="auto"/>
        <w:rPr>
          <w:rFonts w:ascii="Arial" w:eastAsia="仿宋_GB2312" w:hAnsi="Arial" w:cs="Arial"/>
          <w:sz w:val="28"/>
        </w:rPr>
      </w:pPr>
    </w:p>
    <w:p w14:paraId="460C05B9" w14:textId="77777777" w:rsidR="0062768B" w:rsidRDefault="00136729">
      <w:pPr>
        <w:spacing w:line="300" w:lineRule="auto"/>
        <w:outlineLvl w:val="1"/>
        <w:rPr>
          <w:rFonts w:ascii="Arial" w:eastAsia="仿宋_GB2312" w:hAnsi="Arial" w:cs="Arial"/>
          <w:i/>
          <w:sz w:val="28"/>
        </w:rPr>
      </w:pPr>
      <w:bookmarkStart w:id="70" w:name="_Toc416783526"/>
      <w:bookmarkStart w:id="71" w:name="_Toc418750889"/>
      <w:bookmarkStart w:id="72" w:name="_Toc425250311"/>
      <w:bookmarkStart w:id="73" w:name="_Toc469066309"/>
      <w:bookmarkStart w:id="74" w:name="_Toc515458364"/>
      <w:bookmarkStart w:id="75" w:name="_Toc520261132"/>
      <w:bookmarkStart w:id="76" w:name="_Toc531701557"/>
      <w:bookmarkStart w:id="77" w:name="_Toc132016728"/>
      <w:bookmarkStart w:id="78" w:name="_Toc138062998"/>
      <w:r>
        <w:rPr>
          <w:rFonts w:ascii="Arial" w:eastAsia="仿宋_GB2312" w:hAnsi="Arial" w:cs="Arial"/>
          <w:b/>
          <w:sz w:val="28"/>
        </w:rPr>
        <w:t>九、土地估价机构</w:t>
      </w:r>
      <w:bookmarkEnd w:id="70"/>
      <w:bookmarkEnd w:id="71"/>
      <w:bookmarkEnd w:id="72"/>
      <w:bookmarkEnd w:id="73"/>
      <w:bookmarkEnd w:id="74"/>
      <w:bookmarkEnd w:id="75"/>
      <w:bookmarkEnd w:id="76"/>
      <w:bookmarkEnd w:id="77"/>
      <w:bookmarkEnd w:id="78"/>
    </w:p>
    <w:p w14:paraId="5644665E" w14:textId="77777777" w:rsidR="0062768B" w:rsidRDefault="00136729">
      <w:pPr>
        <w:spacing w:line="300" w:lineRule="auto"/>
        <w:rPr>
          <w:rFonts w:ascii="Arial" w:eastAsia="仿宋_GB2312" w:hAnsi="Arial" w:cs="Arial"/>
          <w:sz w:val="28"/>
        </w:rPr>
      </w:pPr>
      <w:r>
        <w:rPr>
          <w:rFonts w:ascii="Arial" w:eastAsia="仿宋_GB2312" w:hAnsi="Arial" w:cs="Arial"/>
          <w:sz w:val="28"/>
        </w:rPr>
        <w:t xml:space="preserve"> </w:t>
      </w:r>
    </w:p>
    <w:p w14:paraId="1918197D" w14:textId="77777777" w:rsidR="0062768B" w:rsidRDefault="00136729">
      <w:pPr>
        <w:spacing w:line="300" w:lineRule="auto"/>
        <w:rPr>
          <w:rFonts w:ascii="Arial" w:eastAsia="仿宋_GB2312" w:hAnsi="Arial" w:cs="Arial"/>
          <w:sz w:val="28"/>
        </w:rPr>
      </w:pPr>
      <w:r>
        <w:rPr>
          <w:rFonts w:ascii="Arial" w:eastAsia="仿宋_GB2312" w:hAnsi="Arial" w:cs="Arial"/>
          <w:sz w:val="28"/>
        </w:rPr>
        <w:t xml:space="preserve">                              </w:t>
      </w: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62768B" w14:paraId="47E38F64" w14:textId="77777777">
        <w:trPr>
          <w:jc w:val="right"/>
        </w:trPr>
        <w:tc>
          <w:tcPr>
            <w:tcW w:w="4445" w:type="dxa"/>
            <w:shd w:val="clear" w:color="auto" w:fill="auto"/>
          </w:tcPr>
          <w:p w14:paraId="4C96951E" w14:textId="77777777" w:rsidR="0062768B" w:rsidRDefault="00136729">
            <w:pPr>
              <w:spacing w:line="30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62768B" w14:paraId="3AD035AC" w14:textId="77777777">
        <w:trPr>
          <w:trHeight w:val="1431"/>
          <w:jc w:val="right"/>
        </w:trPr>
        <w:tc>
          <w:tcPr>
            <w:tcW w:w="4445" w:type="dxa"/>
            <w:shd w:val="clear" w:color="auto" w:fill="auto"/>
          </w:tcPr>
          <w:p w14:paraId="0000D3F6" w14:textId="77777777" w:rsidR="0062768B" w:rsidRDefault="00136729">
            <w:pPr>
              <w:spacing w:line="300" w:lineRule="auto"/>
              <w:rPr>
                <w:rFonts w:ascii="Arial" w:eastAsia="仿宋_GB2312" w:hAnsi="Arial" w:cs="Arial"/>
                <w:sz w:val="28"/>
                <w:szCs w:val="21"/>
              </w:rPr>
            </w:pPr>
            <w:r>
              <w:rPr>
                <w:rFonts w:ascii="Arial" w:eastAsia="仿宋_GB2312" w:hAnsi="Arial" w:cs="Arial"/>
                <w:sz w:val="28"/>
                <w:szCs w:val="21"/>
              </w:rPr>
              <w:t>法定代表人：</w:t>
            </w:r>
          </w:p>
        </w:tc>
      </w:tr>
      <w:tr w:rsidR="0062768B" w14:paraId="20B8EC6D" w14:textId="77777777">
        <w:trPr>
          <w:cantSplit/>
          <w:jc w:val="right"/>
        </w:trPr>
        <w:tc>
          <w:tcPr>
            <w:tcW w:w="4445" w:type="dxa"/>
            <w:shd w:val="clear" w:color="auto" w:fill="auto"/>
          </w:tcPr>
          <w:p w14:paraId="60A7CEE4" w14:textId="3766F893" w:rsidR="0062768B" w:rsidRDefault="00791FE1">
            <w:pPr>
              <w:spacing w:line="300" w:lineRule="auto"/>
              <w:jc w:val="right"/>
              <w:rPr>
                <w:rFonts w:ascii="Arial" w:eastAsia="仿宋_GB2312" w:hAnsi="Arial" w:cs="Arial"/>
                <w:sz w:val="28"/>
                <w:szCs w:val="21"/>
              </w:rPr>
            </w:pPr>
            <w:r>
              <w:rPr>
                <w:rFonts w:ascii="Arial" w:eastAsia="仿宋_GB2312" w:hAnsi="Arial" w:cs="Arial" w:hint="eastAsia"/>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二三年六月二十七日</w:t>
            </w:r>
          </w:p>
        </w:tc>
      </w:tr>
    </w:tbl>
    <w:p w14:paraId="7152E524" w14:textId="77777777" w:rsidR="0062768B" w:rsidRDefault="0062768B">
      <w:pPr>
        <w:spacing w:line="300" w:lineRule="auto"/>
        <w:rPr>
          <w:rFonts w:ascii="Arial" w:eastAsia="仿宋_GB2312" w:hAnsi="Arial" w:cs="Arial"/>
          <w:sz w:val="28"/>
        </w:rPr>
      </w:pPr>
    </w:p>
    <w:p w14:paraId="142D843A" w14:textId="77777777" w:rsidR="0062768B" w:rsidRDefault="0062768B">
      <w:pPr>
        <w:spacing w:line="300" w:lineRule="auto"/>
        <w:ind w:firstLineChars="1600" w:firstLine="4480"/>
        <w:jc w:val="right"/>
        <w:rPr>
          <w:rFonts w:ascii="Arial" w:eastAsia="仿宋_GB2312" w:hAnsi="Arial" w:cs="Arial"/>
          <w:sz w:val="28"/>
        </w:rPr>
      </w:pPr>
    </w:p>
    <w:p w14:paraId="31365926" w14:textId="77777777" w:rsidR="0062768B" w:rsidRDefault="0062768B">
      <w:pPr>
        <w:spacing w:line="300" w:lineRule="auto"/>
        <w:ind w:firstLineChars="1600" w:firstLine="4480"/>
        <w:rPr>
          <w:rFonts w:ascii="Arial" w:eastAsia="仿宋_GB2312" w:hAnsi="Arial" w:cs="Arial"/>
          <w:sz w:val="28"/>
        </w:rPr>
        <w:sectPr w:rsidR="0062768B">
          <w:footerReference w:type="first" r:id="rId22"/>
          <w:type w:val="nextColumn"/>
          <w:pgSz w:w="11907" w:h="16840"/>
          <w:pgMar w:top="1418" w:right="1418" w:bottom="1134" w:left="1418" w:header="794" w:footer="907" w:gutter="0"/>
          <w:pgNumType w:start="1"/>
          <w:cols w:space="720"/>
          <w:titlePg/>
          <w:docGrid w:linePitch="326"/>
        </w:sectPr>
      </w:pPr>
    </w:p>
    <w:p w14:paraId="0D06C380" w14:textId="77777777" w:rsidR="0062768B" w:rsidRDefault="00136729">
      <w:pPr>
        <w:spacing w:line="300" w:lineRule="auto"/>
        <w:outlineLvl w:val="1"/>
        <w:rPr>
          <w:rFonts w:ascii="Arial" w:eastAsia="仿宋_GB2312" w:hAnsi="Arial" w:cs="Arial"/>
          <w:b/>
          <w:sz w:val="28"/>
        </w:rPr>
      </w:pPr>
      <w:bookmarkStart w:id="79" w:name="_Toc531701558"/>
      <w:bookmarkStart w:id="80" w:name="_Toc520261133"/>
      <w:bookmarkStart w:id="81" w:name="_Toc515458365"/>
      <w:bookmarkStart w:id="82" w:name="_Toc132016729"/>
      <w:bookmarkStart w:id="83" w:name="_Toc138062999"/>
      <w:r>
        <w:rPr>
          <w:rFonts w:ascii="Arial" w:eastAsia="仿宋_GB2312" w:hAnsi="Arial" w:cs="Arial"/>
          <w:b/>
          <w:bCs/>
          <w:sz w:val="28"/>
        </w:rPr>
        <w:lastRenderedPageBreak/>
        <w:t>附</w:t>
      </w:r>
      <w:bookmarkEnd w:id="79"/>
      <w:r>
        <w:rPr>
          <w:rFonts w:ascii="Arial" w:eastAsia="仿宋_GB2312" w:hAnsi="Arial" w:cs="Arial"/>
          <w:b/>
          <w:sz w:val="28"/>
        </w:rPr>
        <w:t xml:space="preserve">                                       </w:t>
      </w:r>
      <w:bookmarkStart w:id="84" w:name="_Toc531701559"/>
      <w:bookmarkEnd w:id="80"/>
      <w:bookmarkEnd w:id="81"/>
      <w:r>
        <w:rPr>
          <w:rFonts w:ascii="Arial" w:eastAsia="仿宋_GB2312" w:hAnsi="Arial" w:cs="Arial"/>
          <w:b/>
          <w:sz w:val="28"/>
        </w:rPr>
        <w:t>估价结果一览表</w:t>
      </w:r>
      <w:bookmarkEnd w:id="82"/>
      <w:bookmarkEnd w:id="83"/>
      <w:bookmarkEnd w:id="84"/>
    </w:p>
    <w:p w14:paraId="5786BDEB" w14:textId="77777777" w:rsidR="0062768B" w:rsidRDefault="00136729">
      <w:pPr>
        <w:spacing w:line="300" w:lineRule="auto"/>
        <w:rPr>
          <w:rFonts w:ascii="Arial" w:eastAsia="仿宋_GB2312" w:hAnsi="Arial" w:cs="Arial"/>
          <w:bCs/>
          <w:sz w:val="18"/>
          <w:szCs w:val="18"/>
        </w:rPr>
      </w:pPr>
      <w:r>
        <w:rPr>
          <w:rFonts w:ascii="Arial" w:eastAsia="仿宋_GB2312" w:hAnsi="Arial" w:cs="Arial"/>
          <w:bCs/>
          <w:sz w:val="18"/>
          <w:szCs w:val="18"/>
        </w:rPr>
        <w:t>估价机构：</w:t>
      </w:r>
      <w:proofErr w:type="gramStart"/>
      <w:r>
        <w:rPr>
          <w:rFonts w:ascii="Arial" w:eastAsia="仿宋_GB2312" w:hAnsi="Arial" w:cs="Arial"/>
          <w:sz w:val="18"/>
          <w:szCs w:val="18"/>
        </w:rPr>
        <w:t>北京康正宏</w:t>
      </w:r>
      <w:proofErr w:type="gramEnd"/>
      <w:r>
        <w:rPr>
          <w:rFonts w:ascii="Arial" w:eastAsia="仿宋_GB2312" w:hAnsi="Arial" w:cs="Arial"/>
          <w:sz w:val="18"/>
          <w:szCs w:val="18"/>
        </w:rPr>
        <w:t>基房地产评估有限公司</w:t>
      </w:r>
      <w:r>
        <w:rPr>
          <w:rFonts w:ascii="Arial" w:eastAsia="仿宋_GB2312" w:hAnsi="Arial" w:cs="Arial"/>
          <w:sz w:val="18"/>
          <w:szCs w:val="18"/>
        </w:rPr>
        <w:t xml:space="preserve"> </w:t>
      </w:r>
      <w:r>
        <w:rPr>
          <w:rFonts w:ascii="Arial" w:eastAsia="仿宋_GB2312" w:hAnsi="Arial" w:cs="Arial"/>
          <w:bCs/>
          <w:sz w:val="18"/>
          <w:szCs w:val="18"/>
        </w:rPr>
        <w:t xml:space="preserve">  </w:t>
      </w:r>
      <w:r>
        <w:rPr>
          <w:rFonts w:ascii="Arial" w:eastAsia="仿宋_GB2312" w:hAnsi="Arial" w:cs="Arial"/>
          <w:bCs/>
          <w:sz w:val="18"/>
          <w:szCs w:val="18"/>
        </w:rPr>
        <w:t>估价报告编号：</w:t>
      </w:r>
      <w:r>
        <w:rPr>
          <w:rFonts w:ascii="Arial" w:eastAsia="仿宋_GB2312" w:hAnsi="Arial" w:cs="Arial"/>
          <w:bCs/>
          <w:sz w:val="18"/>
          <w:szCs w:val="18"/>
        </w:rPr>
        <w:t>2023 -1- 0340 -</w:t>
      </w:r>
      <w:r w:rsidR="00550FB0">
        <w:rPr>
          <w:rFonts w:ascii="Arial" w:eastAsia="仿宋_GB2312" w:hAnsi="Arial" w:cs="Arial"/>
          <w:bCs/>
          <w:sz w:val="18"/>
          <w:szCs w:val="18"/>
        </w:rPr>
        <w:t>F06TDCR9</w:t>
      </w:r>
      <w:r>
        <w:rPr>
          <w:rFonts w:ascii="Arial" w:eastAsia="仿宋_GB2312" w:hAnsi="Arial" w:cs="Arial"/>
          <w:bCs/>
          <w:sz w:val="18"/>
          <w:szCs w:val="18"/>
        </w:rPr>
        <w:t xml:space="preserve">   </w:t>
      </w:r>
      <w:r>
        <w:rPr>
          <w:rFonts w:ascii="Arial" w:eastAsia="仿宋_GB2312" w:hAnsi="Arial" w:cs="Arial"/>
          <w:bCs/>
          <w:sz w:val="18"/>
          <w:szCs w:val="18"/>
        </w:rPr>
        <w:t>估价期日：</w:t>
      </w:r>
      <w:r w:rsidR="00550FB0">
        <w:rPr>
          <w:rFonts w:ascii="Arial" w:eastAsia="仿宋_GB2312" w:hAnsi="Arial" w:cs="Arial"/>
          <w:bCs/>
          <w:sz w:val="18"/>
          <w:szCs w:val="18"/>
        </w:rPr>
        <w:t>2023</w:t>
      </w:r>
      <w:r w:rsidR="00550FB0">
        <w:rPr>
          <w:rFonts w:ascii="Arial" w:eastAsia="仿宋_GB2312" w:hAnsi="Arial" w:cs="Arial"/>
          <w:bCs/>
          <w:sz w:val="18"/>
          <w:szCs w:val="18"/>
        </w:rPr>
        <w:t>年</w:t>
      </w:r>
      <w:r w:rsidR="00550FB0">
        <w:rPr>
          <w:rFonts w:ascii="Arial" w:eastAsia="仿宋_GB2312" w:hAnsi="Arial" w:cs="Arial"/>
          <w:bCs/>
          <w:sz w:val="18"/>
          <w:szCs w:val="18"/>
        </w:rPr>
        <w:t>6</w:t>
      </w:r>
      <w:r w:rsidR="00550FB0">
        <w:rPr>
          <w:rFonts w:ascii="Arial" w:eastAsia="仿宋_GB2312" w:hAnsi="Arial" w:cs="Arial"/>
          <w:bCs/>
          <w:sz w:val="18"/>
          <w:szCs w:val="18"/>
        </w:rPr>
        <w:t>月</w:t>
      </w:r>
      <w:r w:rsidR="00550FB0">
        <w:rPr>
          <w:rFonts w:ascii="Arial" w:eastAsia="仿宋_GB2312" w:hAnsi="Arial" w:cs="Arial"/>
          <w:bCs/>
          <w:sz w:val="18"/>
          <w:szCs w:val="18"/>
        </w:rPr>
        <w:t>20</w:t>
      </w:r>
      <w:r w:rsidR="00550FB0">
        <w:rPr>
          <w:rFonts w:ascii="Arial" w:eastAsia="仿宋_GB2312" w:hAnsi="Arial" w:cs="Arial"/>
          <w:bCs/>
          <w:sz w:val="18"/>
          <w:szCs w:val="18"/>
        </w:rPr>
        <w:t>日</w:t>
      </w:r>
      <w:r>
        <w:rPr>
          <w:rFonts w:ascii="Arial" w:eastAsia="仿宋_GB2312" w:hAnsi="Arial" w:cs="Arial"/>
          <w:bCs/>
          <w:sz w:val="18"/>
          <w:szCs w:val="18"/>
        </w:rPr>
        <w:t xml:space="preserve">   </w:t>
      </w:r>
      <w:r>
        <w:rPr>
          <w:rFonts w:ascii="Arial" w:eastAsia="仿宋_GB2312" w:hAnsi="Arial" w:cs="Arial"/>
          <w:bCs/>
          <w:sz w:val="18"/>
          <w:szCs w:val="18"/>
        </w:rPr>
        <w:t>估价期日的国有建设用地使用权性质：拟出让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602"/>
        <w:gridCol w:w="1268"/>
        <w:gridCol w:w="647"/>
        <w:gridCol w:w="767"/>
        <w:gridCol w:w="767"/>
        <w:gridCol w:w="717"/>
        <w:gridCol w:w="944"/>
        <w:gridCol w:w="1040"/>
        <w:gridCol w:w="1050"/>
        <w:gridCol w:w="1069"/>
        <w:gridCol w:w="1012"/>
        <w:gridCol w:w="957"/>
        <w:gridCol w:w="1387"/>
        <w:gridCol w:w="1000"/>
        <w:gridCol w:w="1343"/>
      </w:tblGrid>
      <w:tr w:rsidR="0062768B" w14:paraId="65C8CE85" w14:textId="77777777">
        <w:trPr>
          <w:cantSplit/>
          <w:jc w:val="center"/>
        </w:trPr>
        <w:tc>
          <w:tcPr>
            <w:tcW w:w="602" w:type="dxa"/>
            <w:vAlign w:val="center"/>
          </w:tcPr>
          <w:p w14:paraId="6730D7F4"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估价期日土地使用者</w:t>
            </w:r>
          </w:p>
        </w:tc>
        <w:tc>
          <w:tcPr>
            <w:tcW w:w="1268" w:type="dxa"/>
            <w:vAlign w:val="center"/>
          </w:tcPr>
          <w:p w14:paraId="57D9A7F2"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宗地名称</w:t>
            </w:r>
          </w:p>
        </w:tc>
        <w:tc>
          <w:tcPr>
            <w:tcW w:w="647" w:type="dxa"/>
            <w:vAlign w:val="center"/>
          </w:tcPr>
          <w:p w14:paraId="540CD5DD"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宗地位置</w:t>
            </w:r>
          </w:p>
        </w:tc>
        <w:tc>
          <w:tcPr>
            <w:tcW w:w="767" w:type="dxa"/>
            <w:vAlign w:val="center"/>
          </w:tcPr>
          <w:p w14:paraId="0B756F28"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估价期日的规划用途</w:t>
            </w:r>
          </w:p>
        </w:tc>
        <w:tc>
          <w:tcPr>
            <w:tcW w:w="767" w:type="dxa"/>
            <w:vAlign w:val="center"/>
          </w:tcPr>
          <w:p w14:paraId="33360C47"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估价设定的用途</w:t>
            </w:r>
          </w:p>
        </w:tc>
        <w:tc>
          <w:tcPr>
            <w:tcW w:w="717" w:type="dxa"/>
            <w:vAlign w:val="center"/>
          </w:tcPr>
          <w:p w14:paraId="3B81C2DB" w14:textId="77777777" w:rsidR="0062768B" w:rsidRDefault="00136729">
            <w:pPr>
              <w:adjustRightInd/>
              <w:spacing w:line="240" w:lineRule="exact"/>
              <w:rPr>
                <w:rFonts w:ascii="Arial" w:eastAsia="仿宋_GB2312" w:hAnsi="Arial" w:cs="Arial"/>
                <w:bCs/>
                <w:sz w:val="21"/>
                <w:szCs w:val="21"/>
              </w:rPr>
            </w:pPr>
            <w:r>
              <w:rPr>
                <w:rFonts w:ascii="Arial" w:eastAsia="仿宋_GB2312" w:hAnsi="Arial" w:cs="Arial"/>
                <w:bCs/>
                <w:sz w:val="21"/>
                <w:szCs w:val="21"/>
              </w:rPr>
              <w:t>地上容积率</w:t>
            </w:r>
          </w:p>
        </w:tc>
        <w:tc>
          <w:tcPr>
            <w:tcW w:w="944" w:type="dxa"/>
            <w:vAlign w:val="center"/>
          </w:tcPr>
          <w:p w14:paraId="7C1D14D6"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估价期日的实际土地开发程度</w:t>
            </w:r>
          </w:p>
        </w:tc>
        <w:tc>
          <w:tcPr>
            <w:tcW w:w="1040" w:type="dxa"/>
            <w:vAlign w:val="center"/>
          </w:tcPr>
          <w:p w14:paraId="02B54850"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估价设定的土地开发程度</w:t>
            </w:r>
          </w:p>
        </w:tc>
        <w:tc>
          <w:tcPr>
            <w:tcW w:w="1050" w:type="dxa"/>
            <w:vAlign w:val="center"/>
          </w:tcPr>
          <w:p w14:paraId="7FA3CE32"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土地使用权年限（年）</w:t>
            </w:r>
          </w:p>
        </w:tc>
        <w:tc>
          <w:tcPr>
            <w:tcW w:w="1069" w:type="dxa"/>
            <w:vAlign w:val="center"/>
          </w:tcPr>
          <w:p w14:paraId="4A2A49A7"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出让建设用地面积（</w:t>
            </w:r>
            <w:r>
              <w:rPr>
                <w:rFonts w:ascii="Arial" w:hAnsi="Arial" w:cs="Arial"/>
                <w:bCs/>
                <w:sz w:val="21"/>
                <w:szCs w:val="21"/>
              </w:rPr>
              <w:t>㎡</w:t>
            </w:r>
            <w:r>
              <w:rPr>
                <w:rFonts w:ascii="Arial" w:eastAsia="仿宋_GB2312" w:hAnsi="Arial" w:cs="Arial"/>
                <w:bCs/>
                <w:sz w:val="21"/>
                <w:szCs w:val="21"/>
              </w:rPr>
              <w:t>）</w:t>
            </w:r>
          </w:p>
        </w:tc>
        <w:tc>
          <w:tcPr>
            <w:tcW w:w="1012" w:type="dxa"/>
            <w:vAlign w:val="center"/>
          </w:tcPr>
          <w:p w14:paraId="53587564"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出让建筑规模（</w:t>
            </w:r>
            <w:r>
              <w:rPr>
                <w:rFonts w:ascii="Arial" w:hAnsi="Arial" w:cs="Arial"/>
                <w:bCs/>
                <w:sz w:val="21"/>
                <w:szCs w:val="21"/>
              </w:rPr>
              <w:t>㎡</w:t>
            </w:r>
            <w:r>
              <w:rPr>
                <w:rFonts w:ascii="Arial" w:eastAsia="仿宋_GB2312" w:hAnsi="Arial" w:cs="Arial"/>
                <w:bCs/>
                <w:sz w:val="21"/>
                <w:szCs w:val="21"/>
              </w:rPr>
              <w:t>）</w:t>
            </w:r>
          </w:p>
        </w:tc>
        <w:tc>
          <w:tcPr>
            <w:tcW w:w="957" w:type="dxa"/>
            <w:vAlign w:val="center"/>
          </w:tcPr>
          <w:p w14:paraId="039C627C"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熟地价</w:t>
            </w:r>
            <w:r>
              <w:rPr>
                <w:rFonts w:ascii="Arial" w:eastAsia="仿宋_GB2312" w:hAnsi="Arial" w:cs="Arial" w:hint="eastAsia"/>
                <w:bCs/>
                <w:sz w:val="21"/>
                <w:szCs w:val="21"/>
              </w:rPr>
              <w:t>楼面单价</w:t>
            </w:r>
            <w:r>
              <w:rPr>
                <w:rFonts w:ascii="Arial" w:eastAsia="仿宋_GB2312" w:hAnsi="Arial" w:cs="Arial"/>
                <w:bCs/>
                <w:sz w:val="21"/>
                <w:szCs w:val="21"/>
              </w:rPr>
              <w:t>（元</w:t>
            </w:r>
            <w:r>
              <w:rPr>
                <w:rFonts w:ascii="Arial" w:eastAsia="仿宋_GB2312" w:hAnsi="Arial" w:cs="Arial"/>
                <w:bCs/>
                <w:sz w:val="21"/>
                <w:szCs w:val="21"/>
              </w:rPr>
              <w:t>/</w:t>
            </w:r>
            <w:r>
              <w:rPr>
                <w:rFonts w:ascii="Arial" w:hAnsi="Arial" w:cs="Arial"/>
                <w:bCs/>
                <w:sz w:val="21"/>
                <w:szCs w:val="21"/>
              </w:rPr>
              <w:t>㎡</w:t>
            </w:r>
            <w:r>
              <w:rPr>
                <w:rFonts w:ascii="Arial" w:eastAsia="仿宋_GB2312" w:hAnsi="Arial" w:cs="Arial"/>
                <w:bCs/>
                <w:sz w:val="21"/>
                <w:szCs w:val="21"/>
              </w:rPr>
              <w:t>）</w:t>
            </w:r>
          </w:p>
        </w:tc>
        <w:tc>
          <w:tcPr>
            <w:tcW w:w="1387" w:type="dxa"/>
            <w:vAlign w:val="center"/>
          </w:tcPr>
          <w:p w14:paraId="217AEAC4"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熟地总价（万元）</w:t>
            </w:r>
          </w:p>
        </w:tc>
        <w:tc>
          <w:tcPr>
            <w:tcW w:w="1000" w:type="dxa"/>
            <w:vAlign w:val="center"/>
          </w:tcPr>
          <w:p w14:paraId="038D3221"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政府土地出让收益</w:t>
            </w:r>
            <w:r>
              <w:rPr>
                <w:rFonts w:ascii="Arial" w:eastAsia="仿宋_GB2312" w:hAnsi="Arial" w:cs="Arial" w:hint="eastAsia"/>
                <w:bCs/>
                <w:sz w:val="21"/>
                <w:szCs w:val="21"/>
              </w:rPr>
              <w:t>楼面</w:t>
            </w:r>
            <w:r>
              <w:rPr>
                <w:rFonts w:ascii="Arial" w:eastAsia="仿宋_GB2312" w:hAnsi="Arial" w:cs="Arial"/>
                <w:bCs/>
                <w:sz w:val="21"/>
                <w:szCs w:val="21"/>
              </w:rPr>
              <w:t>单价（元</w:t>
            </w:r>
            <w:r>
              <w:rPr>
                <w:rFonts w:ascii="Arial" w:eastAsia="仿宋_GB2312" w:hAnsi="Arial" w:cs="Arial"/>
                <w:bCs/>
                <w:sz w:val="21"/>
                <w:szCs w:val="21"/>
              </w:rPr>
              <w:t>/</w:t>
            </w:r>
            <w:r>
              <w:rPr>
                <w:rFonts w:ascii="Arial" w:hAnsi="Arial" w:cs="Arial"/>
                <w:bCs/>
                <w:sz w:val="21"/>
                <w:szCs w:val="21"/>
              </w:rPr>
              <w:t>㎡</w:t>
            </w:r>
            <w:r>
              <w:rPr>
                <w:rFonts w:ascii="Arial" w:eastAsia="仿宋_GB2312" w:hAnsi="Arial" w:cs="Arial"/>
                <w:bCs/>
                <w:sz w:val="21"/>
                <w:szCs w:val="21"/>
              </w:rPr>
              <w:t>）</w:t>
            </w:r>
          </w:p>
        </w:tc>
        <w:tc>
          <w:tcPr>
            <w:tcW w:w="1343" w:type="dxa"/>
            <w:vAlign w:val="center"/>
          </w:tcPr>
          <w:p w14:paraId="5AC8D60E" w14:textId="77777777" w:rsidR="0062768B" w:rsidRDefault="00136729">
            <w:pPr>
              <w:adjustRightInd/>
              <w:spacing w:line="240" w:lineRule="exact"/>
              <w:jc w:val="center"/>
              <w:rPr>
                <w:rFonts w:ascii="Arial" w:eastAsia="仿宋_GB2312" w:hAnsi="Arial" w:cs="Arial"/>
                <w:bCs/>
                <w:sz w:val="18"/>
                <w:szCs w:val="18"/>
              </w:rPr>
            </w:pPr>
            <w:r>
              <w:rPr>
                <w:rFonts w:ascii="Arial" w:eastAsia="仿宋_GB2312" w:hAnsi="Arial" w:cs="Arial"/>
                <w:bCs/>
                <w:sz w:val="21"/>
                <w:szCs w:val="21"/>
              </w:rPr>
              <w:t>政府土地出让收益总价（万元）</w:t>
            </w:r>
          </w:p>
        </w:tc>
      </w:tr>
      <w:tr w:rsidR="0062768B" w14:paraId="47A9F6FD" w14:textId="77777777">
        <w:trPr>
          <w:cantSplit/>
          <w:trHeight w:val="1701"/>
          <w:jc w:val="center"/>
        </w:trPr>
        <w:tc>
          <w:tcPr>
            <w:tcW w:w="602" w:type="dxa"/>
            <w:vMerge w:val="restart"/>
            <w:vAlign w:val="center"/>
          </w:tcPr>
          <w:p w14:paraId="63A7B2AF"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hint="eastAsia"/>
                <w:bCs/>
                <w:sz w:val="21"/>
                <w:szCs w:val="21"/>
              </w:rPr>
              <w:t>未进行登记</w:t>
            </w:r>
          </w:p>
        </w:tc>
        <w:tc>
          <w:tcPr>
            <w:tcW w:w="1268" w:type="dxa"/>
            <w:vMerge w:val="restart"/>
            <w:vAlign w:val="center"/>
          </w:tcPr>
          <w:p w14:paraId="337ED2C5"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hint="eastAsia"/>
                <w:sz w:val="21"/>
                <w:szCs w:val="21"/>
              </w:rPr>
              <w:t>北京市顺义区高丽营镇夏县营村</w:t>
            </w:r>
            <w:r>
              <w:rPr>
                <w:rFonts w:ascii="Arial" w:eastAsia="仿宋_GB2312" w:hAnsi="Arial" w:cs="Arial" w:hint="eastAsia"/>
                <w:sz w:val="21"/>
                <w:szCs w:val="21"/>
              </w:rPr>
              <w:t>01-008</w:t>
            </w:r>
            <w:r>
              <w:rPr>
                <w:rFonts w:ascii="Arial" w:eastAsia="仿宋_GB2312" w:hAnsi="Arial" w:cs="Arial" w:hint="eastAsia"/>
                <w:sz w:val="21"/>
                <w:szCs w:val="21"/>
              </w:rPr>
              <w:t>、</w:t>
            </w:r>
            <w:r>
              <w:rPr>
                <w:rFonts w:ascii="Arial" w:eastAsia="仿宋_GB2312" w:hAnsi="Arial" w:cs="Arial" w:hint="eastAsia"/>
                <w:sz w:val="21"/>
                <w:szCs w:val="21"/>
              </w:rPr>
              <w:t>01-016</w:t>
            </w:r>
            <w:r>
              <w:rPr>
                <w:rFonts w:ascii="Arial" w:eastAsia="仿宋_GB2312" w:hAnsi="Arial" w:cs="Arial" w:hint="eastAsia"/>
                <w:sz w:val="21"/>
                <w:szCs w:val="21"/>
              </w:rPr>
              <w:t>、</w:t>
            </w:r>
            <w:r>
              <w:rPr>
                <w:rFonts w:ascii="Arial" w:eastAsia="仿宋_GB2312" w:hAnsi="Arial" w:cs="Arial" w:hint="eastAsia"/>
                <w:sz w:val="21"/>
                <w:szCs w:val="21"/>
              </w:rPr>
              <w:t>01-026-1</w:t>
            </w:r>
            <w:r>
              <w:rPr>
                <w:rFonts w:ascii="Arial" w:eastAsia="仿宋_GB2312" w:hAnsi="Arial" w:cs="Arial" w:hint="eastAsia"/>
                <w:sz w:val="21"/>
                <w:szCs w:val="21"/>
              </w:rPr>
              <w:t>地块</w:t>
            </w:r>
            <w:r>
              <w:rPr>
                <w:rFonts w:ascii="Arial" w:eastAsia="仿宋_GB2312" w:hAnsi="Arial" w:cs="Arial" w:hint="eastAsia"/>
                <w:sz w:val="21"/>
                <w:szCs w:val="21"/>
              </w:rPr>
              <w:t>R2</w:t>
            </w:r>
            <w:proofErr w:type="gramStart"/>
            <w:r>
              <w:rPr>
                <w:rFonts w:ascii="Arial" w:eastAsia="仿宋_GB2312" w:hAnsi="Arial" w:cs="Arial" w:hint="eastAsia"/>
                <w:sz w:val="21"/>
                <w:szCs w:val="21"/>
              </w:rPr>
              <w:t>二</w:t>
            </w:r>
            <w:proofErr w:type="gramEnd"/>
            <w:r>
              <w:rPr>
                <w:rFonts w:ascii="Arial" w:eastAsia="仿宋_GB2312" w:hAnsi="Arial" w:cs="Arial" w:hint="eastAsia"/>
                <w:sz w:val="21"/>
                <w:szCs w:val="21"/>
              </w:rPr>
              <w:t>类居住用地及</w:t>
            </w:r>
            <w:r>
              <w:rPr>
                <w:rFonts w:ascii="Arial" w:eastAsia="仿宋_GB2312" w:hAnsi="Arial" w:cs="Arial" w:hint="eastAsia"/>
                <w:sz w:val="21"/>
                <w:szCs w:val="21"/>
              </w:rPr>
              <w:t>01-020</w:t>
            </w:r>
            <w:r>
              <w:rPr>
                <w:rFonts w:ascii="Arial" w:eastAsia="仿宋_GB2312" w:hAnsi="Arial" w:cs="Arial" w:hint="eastAsia"/>
                <w:sz w:val="21"/>
                <w:szCs w:val="21"/>
              </w:rPr>
              <w:t>地块</w:t>
            </w:r>
            <w:r>
              <w:rPr>
                <w:rFonts w:ascii="Arial" w:eastAsia="仿宋_GB2312" w:hAnsi="Arial" w:cs="Arial" w:hint="eastAsia"/>
                <w:sz w:val="21"/>
                <w:szCs w:val="21"/>
              </w:rPr>
              <w:t>A334</w:t>
            </w:r>
            <w:r>
              <w:rPr>
                <w:rFonts w:ascii="Arial" w:eastAsia="仿宋_GB2312" w:hAnsi="Arial" w:cs="Arial" w:hint="eastAsia"/>
                <w:sz w:val="21"/>
                <w:szCs w:val="21"/>
              </w:rPr>
              <w:t>托幼用地</w:t>
            </w:r>
          </w:p>
        </w:tc>
        <w:tc>
          <w:tcPr>
            <w:tcW w:w="647" w:type="dxa"/>
            <w:vMerge w:val="restart"/>
            <w:vAlign w:val="center"/>
          </w:tcPr>
          <w:p w14:paraId="23689853"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hint="eastAsia"/>
                <w:sz w:val="21"/>
                <w:szCs w:val="21"/>
              </w:rPr>
              <w:t>北京市顺义区高丽营镇夏县营村</w:t>
            </w:r>
          </w:p>
        </w:tc>
        <w:tc>
          <w:tcPr>
            <w:tcW w:w="767" w:type="dxa"/>
            <w:vMerge w:val="restart"/>
            <w:vAlign w:val="center"/>
          </w:tcPr>
          <w:p w14:paraId="7EA869F0"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sz w:val="21"/>
                <w:szCs w:val="21"/>
              </w:rPr>
              <w:t>R2</w:t>
            </w:r>
            <w:proofErr w:type="gramStart"/>
            <w:r>
              <w:rPr>
                <w:rFonts w:ascii="Arial" w:eastAsia="仿宋_GB2312" w:hAnsi="Arial" w:cs="Arial"/>
                <w:sz w:val="21"/>
                <w:szCs w:val="21"/>
              </w:rPr>
              <w:t>二</w:t>
            </w:r>
            <w:proofErr w:type="gramEnd"/>
            <w:r>
              <w:rPr>
                <w:rFonts w:ascii="Arial" w:eastAsia="仿宋_GB2312" w:hAnsi="Arial" w:cs="Arial"/>
                <w:sz w:val="21"/>
                <w:szCs w:val="21"/>
              </w:rPr>
              <w:t>类居住用地</w:t>
            </w:r>
            <w:r>
              <w:rPr>
                <w:rFonts w:ascii="Arial" w:eastAsia="仿宋_GB2312" w:hAnsi="Arial" w:cs="Arial" w:hint="eastAsia"/>
                <w:sz w:val="21"/>
                <w:szCs w:val="21"/>
              </w:rPr>
              <w:t>、</w:t>
            </w:r>
            <w:r>
              <w:rPr>
                <w:rFonts w:ascii="Arial" w:eastAsia="仿宋_GB2312" w:hAnsi="Arial" w:cs="Arial" w:hint="eastAsia"/>
                <w:sz w:val="21"/>
                <w:szCs w:val="21"/>
              </w:rPr>
              <w:t>A334</w:t>
            </w:r>
            <w:r>
              <w:rPr>
                <w:rFonts w:ascii="Arial" w:eastAsia="仿宋_GB2312" w:hAnsi="Arial" w:cs="Arial" w:hint="eastAsia"/>
                <w:sz w:val="21"/>
                <w:szCs w:val="21"/>
              </w:rPr>
              <w:t>托幼用地</w:t>
            </w:r>
          </w:p>
        </w:tc>
        <w:tc>
          <w:tcPr>
            <w:tcW w:w="767" w:type="dxa"/>
            <w:vAlign w:val="center"/>
          </w:tcPr>
          <w:p w14:paraId="1DF50876" w14:textId="77777777" w:rsidR="0062768B" w:rsidRDefault="00136729">
            <w:pPr>
              <w:adjustRightInd/>
              <w:spacing w:line="240" w:lineRule="exact"/>
              <w:jc w:val="center"/>
              <w:rPr>
                <w:rFonts w:ascii="Arial" w:eastAsia="仿宋_GB2312" w:hAnsi="Arial" w:cs="Arial"/>
                <w:sz w:val="21"/>
                <w:szCs w:val="21"/>
              </w:rPr>
            </w:pPr>
            <w:r>
              <w:rPr>
                <w:rFonts w:ascii="Arial" w:eastAsia="仿宋_GB2312" w:hAnsi="Arial" w:cs="Arial"/>
                <w:sz w:val="21"/>
                <w:szCs w:val="21"/>
              </w:rPr>
              <w:t>住宅</w:t>
            </w:r>
          </w:p>
        </w:tc>
        <w:tc>
          <w:tcPr>
            <w:tcW w:w="717" w:type="dxa"/>
            <w:vMerge w:val="restart"/>
            <w:vAlign w:val="center"/>
          </w:tcPr>
          <w:p w14:paraId="5C525C79"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1.2</w:t>
            </w:r>
          </w:p>
        </w:tc>
        <w:tc>
          <w:tcPr>
            <w:tcW w:w="944" w:type="dxa"/>
            <w:vMerge w:val="restart"/>
            <w:vAlign w:val="center"/>
          </w:tcPr>
          <w:p w14:paraId="5EB28458" w14:textId="77777777" w:rsidR="0062768B" w:rsidRDefault="00136729">
            <w:pPr>
              <w:adjustRightInd/>
              <w:spacing w:line="240" w:lineRule="exact"/>
              <w:jc w:val="center"/>
              <w:rPr>
                <w:rFonts w:ascii="Arial" w:eastAsia="仿宋_GB2312" w:hAnsi="Arial" w:cs="Arial"/>
                <w:sz w:val="21"/>
                <w:szCs w:val="21"/>
              </w:rPr>
            </w:pPr>
            <w:r>
              <w:rPr>
                <w:rFonts w:ascii="Arial" w:eastAsia="仿宋_GB2312" w:hAnsi="Arial" w:cs="Arial" w:hint="eastAsia"/>
                <w:sz w:val="21"/>
                <w:szCs w:val="21"/>
              </w:rPr>
              <w:t>土地开发程度红线外市政基础设施达“六通”（通路、通上水（自来水、中水）、通下水（雨水、污水）、通电（管沟、电缆）、通燃气、通热力）、宗地红线内场地平整</w:t>
            </w:r>
          </w:p>
        </w:tc>
        <w:tc>
          <w:tcPr>
            <w:tcW w:w="1040" w:type="dxa"/>
            <w:vMerge w:val="restart"/>
            <w:vAlign w:val="center"/>
          </w:tcPr>
          <w:p w14:paraId="018BFD83" w14:textId="77777777" w:rsidR="0062768B" w:rsidRDefault="00136729">
            <w:pPr>
              <w:adjustRightInd/>
              <w:spacing w:line="240" w:lineRule="exact"/>
              <w:jc w:val="center"/>
              <w:rPr>
                <w:rFonts w:ascii="Arial" w:eastAsia="仿宋_GB2312" w:hAnsi="Arial" w:cs="Arial"/>
                <w:sz w:val="21"/>
                <w:szCs w:val="21"/>
              </w:rPr>
            </w:pPr>
            <w:r>
              <w:rPr>
                <w:rFonts w:ascii="Arial" w:eastAsia="仿宋_GB2312" w:hAnsi="Arial" w:cs="Arial" w:hint="eastAsia"/>
                <w:sz w:val="21"/>
                <w:szCs w:val="21"/>
              </w:rPr>
              <w:t>土地开发程度红线外市政基础设施达“六通”（通路、通上水（自来水、中水）、通下水（雨水、污水）、通电（管沟、电缆）、通燃气、通热力）、宗地红线内场地平整</w:t>
            </w:r>
          </w:p>
        </w:tc>
        <w:tc>
          <w:tcPr>
            <w:tcW w:w="1050" w:type="dxa"/>
            <w:vAlign w:val="center"/>
          </w:tcPr>
          <w:p w14:paraId="72894063"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70</w:t>
            </w:r>
          </w:p>
        </w:tc>
        <w:tc>
          <w:tcPr>
            <w:tcW w:w="1069" w:type="dxa"/>
            <w:vMerge w:val="restart"/>
            <w:vAlign w:val="center"/>
          </w:tcPr>
          <w:p w14:paraId="1677FFD8"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sz w:val="21"/>
                <w:szCs w:val="21"/>
              </w:rPr>
              <w:t>56790.45</w:t>
            </w:r>
          </w:p>
        </w:tc>
        <w:tc>
          <w:tcPr>
            <w:tcW w:w="1012" w:type="dxa"/>
            <w:vAlign w:val="center"/>
          </w:tcPr>
          <w:p w14:paraId="149EB373"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sz w:val="21"/>
                <w:szCs w:val="21"/>
              </w:rPr>
              <w:t>68148.54</w:t>
            </w:r>
          </w:p>
        </w:tc>
        <w:tc>
          <w:tcPr>
            <w:tcW w:w="957" w:type="dxa"/>
            <w:vAlign w:val="center"/>
          </w:tcPr>
          <w:p w14:paraId="2756FC2D"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sz w:val="21"/>
                <w:szCs w:val="21"/>
              </w:rPr>
              <w:t>15150</w:t>
            </w:r>
          </w:p>
        </w:tc>
        <w:tc>
          <w:tcPr>
            <w:tcW w:w="1387" w:type="dxa"/>
            <w:vAlign w:val="center"/>
          </w:tcPr>
          <w:p w14:paraId="4F150311"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sz w:val="21"/>
                <w:szCs w:val="21"/>
              </w:rPr>
              <w:t>103245.0381</w:t>
            </w:r>
          </w:p>
        </w:tc>
        <w:tc>
          <w:tcPr>
            <w:tcW w:w="1000" w:type="dxa"/>
            <w:tcBorders>
              <w:left w:val="single" w:sz="4" w:space="0" w:color="auto"/>
            </w:tcBorders>
            <w:vAlign w:val="center"/>
          </w:tcPr>
          <w:p w14:paraId="74239045"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sz w:val="21"/>
                <w:szCs w:val="21"/>
              </w:rPr>
              <w:t>3788</w:t>
            </w:r>
          </w:p>
        </w:tc>
        <w:tc>
          <w:tcPr>
            <w:tcW w:w="1343" w:type="dxa"/>
            <w:tcBorders>
              <w:left w:val="single" w:sz="4" w:space="0" w:color="auto"/>
            </w:tcBorders>
            <w:vAlign w:val="center"/>
          </w:tcPr>
          <w:p w14:paraId="136292E4"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sz w:val="21"/>
                <w:szCs w:val="21"/>
              </w:rPr>
              <w:t>25814.6670</w:t>
            </w:r>
          </w:p>
        </w:tc>
      </w:tr>
      <w:tr w:rsidR="0062768B" w14:paraId="425C39C4" w14:textId="77777777">
        <w:trPr>
          <w:cantSplit/>
          <w:trHeight w:val="1701"/>
          <w:jc w:val="center"/>
        </w:trPr>
        <w:tc>
          <w:tcPr>
            <w:tcW w:w="602" w:type="dxa"/>
            <w:vMerge/>
            <w:vAlign w:val="center"/>
          </w:tcPr>
          <w:p w14:paraId="5E7530A9" w14:textId="77777777" w:rsidR="0062768B" w:rsidRDefault="0062768B">
            <w:pPr>
              <w:adjustRightInd/>
              <w:spacing w:line="240" w:lineRule="exact"/>
              <w:jc w:val="center"/>
              <w:rPr>
                <w:rFonts w:ascii="Arial" w:eastAsia="仿宋_GB2312" w:hAnsi="Arial" w:cs="Arial"/>
                <w:bCs/>
                <w:sz w:val="18"/>
                <w:szCs w:val="18"/>
              </w:rPr>
            </w:pPr>
          </w:p>
        </w:tc>
        <w:tc>
          <w:tcPr>
            <w:tcW w:w="1268" w:type="dxa"/>
            <w:vMerge/>
            <w:vAlign w:val="center"/>
          </w:tcPr>
          <w:p w14:paraId="50D89AAF" w14:textId="77777777" w:rsidR="0062768B" w:rsidRDefault="0062768B">
            <w:pPr>
              <w:adjustRightInd/>
              <w:spacing w:line="240" w:lineRule="exact"/>
              <w:jc w:val="center"/>
              <w:rPr>
                <w:rFonts w:ascii="Arial" w:eastAsia="仿宋_GB2312" w:hAnsi="Arial" w:cs="Arial"/>
                <w:sz w:val="15"/>
                <w:szCs w:val="15"/>
              </w:rPr>
            </w:pPr>
          </w:p>
        </w:tc>
        <w:tc>
          <w:tcPr>
            <w:tcW w:w="647" w:type="dxa"/>
            <w:vMerge/>
            <w:vAlign w:val="center"/>
          </w:tcPr>
          <w:p w14:paraId="20B31CDE" w14:textId="77777777" w:rsidR="0062768B" w:rsidRDefault="0062768B">
            <w:pPr>
              <w:adjustRightInd/>
              <w:spacing w:line="240" w:lineRule="exact"/>
              <w:jc w:val="center"/>
              <w:rPr>
                <w:rFonts w:ascii="Arial" w:eastAsia="仿宋_GB2312" w:hAnsi="Arial" w:cs="Arial"/>
                <w:sz w:val="15"/>
                <w:szCs w:val="15"/>
              </w:rPr>
            </w:pPr>
          </w:p>
        </w:tc>
        <w:tc>
          <w:tcPr>
            <w:tcW w:w="767" w:type="dxa"/>
            <w:vMerge/>
            <w:vAlign w:val="center"/>
          </w:tcPr>
          <w:p w14:paraId="12673CB4" w14:textId="77777777" w:rsidR="0062768B" w:rsidRDefault="0062768B">
            <w:pPr>
              <w:adjustRightInd/>
              <w:spacing w:line="240" w:lineRule="exact"/>
              <w:jc w:val="center"/>
              <w:rPr>
                <w:rFonts w:ascii="Arial" w:eastAsia="仿宋_GB2312" w:hAnsi="Arial" w:cs="Arial"/>
                <w:sz w:val="15"/>
                <w:szCs w:val="15"/>
              </w:rPr>
            </w:pPr>
          </w:p>
        </w:tc>
        <w:tc>
          <w:tcPr>
            <w:tcW w:w="767" w:type="dxa"/>
            <w:vAlign w:val="center"/>
          </w:tcPr>
          <w:p w14:paraId="1D9086E1" w14:textId="77777777" w:rsidR="0062768B" w:rsidRDefault="00136729">
            <w:pPr>
              <w:adjustRightInd/>
              <w:spacing w:line="240" w:lineRule="exact"/>
              <w:jc w:val="center"/>
              <w:rPr>
                <w:rFonts w:ascii="Arial" w:eastAsia="仿宋_GB2312" w:hAnsi="Arial" w:cs="Arial"/>
                <w:sz w:val="21"/>
                <w:szCs w:val="21"/>
              </w:rPr>
            </w:pPr>
            <w:r>
              <w:rPr>
                <w:rFonts w:ascii="Arial" w:eastAsia="仿宋_GB2312" w:hAnsi="Arial" w:cs="Arial"/>
                <w:sz w:val="21"/>
                <w:szCs w:val="21"/>
              </w:rPr>
              <w:t>商业</w:t>
            </w:r>
          </w:p>
          <w:p w14:paraId="4C933623" w14:textId="77777777" w:rsidR="0062768B" w:rsidRDefault="00136729">
            <w:pPr>
              <w:adjustRightInd/>
              <w:spacing w:line="240" w:lineRule="exact"/>
              <w:jc w:val="center"/>
              <w:rPr>
                <w:rFonts w:ascii="Arial" w:eastAsia="仿宋_GB2312" w:hAnsi="Arial" w:cs="Arial"/>
                <w:sz w:val="21"/>
                <w:szCs w:val="21"/>
              </w:rPr>
            </w:pPr>
            <w:r>
              <w:rPr>
                <w:rFonts w:ascii="Arial" w:eastAsia="仿宋_GB2312" w:hAnsi="Arial" w:cs="Arial" w:hint="eastAsia"/>
                <w:sz w:val="21"/>
                <w:szCs w:val="21"/>
              </w:rPr>
              <w:t>（其他商服）</w:t>
            </w:r>
          </w:p>
        </w:tc>
        <w:tc>
          <w:tcPr>
            <w:tcW w:w="717" w:type="dxa"/>
            <w:vMerge/>
            <w:vAlign w:val="center"/>
          </w:tcPr>
          <w:p w14:paraId="4690B2BC" w14:textId="77777777" w:rsidR="0062768B" w:rsidRDefault="0062768B">
            <w:pPr>
              <w:adjustRightInd/>
              <w:spacing w:line="240" w:lineRule="exact"/>
              <w:jc w:val="center"/>
              <w:rPr>
                <w:rFonts w:ascii="Arial" w:eastAsia="仿宋_GB2312" w:hAnsi="Arial" w:cs="Arial"/>
                <w:bCs/>
                <w:sz w:val="21"/>
                <w:szCs w:val="21"/>
              </w:rPr>
            </w:pPr>
          </w:p>
        </w:tc>
        <w:tc>
          <w:tcPr>
            <w:tcW w:w="944" w:type="dxa"/>
            <w:vMerge/>
            <w:vAlign w:val="center"/>
          </w:tcPr>
          <w:p w14:paraId="38259DDB" w14:textId="77777777" w:rsidR="0062768B" w:rsidRDefault="0062768B">
            <w:pPr>
              <w:adjustRightInd/>
              <w:spacing w:line="240" w:lineRule="exact"/>
              <w:jc w:val="center"/>
              <w:rPr>
                <w:rFonts w:ascii="Arial" w:eastAsia="仿宋_GB2312" w:hAnsi="Arial" w:cs="Arial"/>
                <w:bCs/>
                <w:sz w:val="21"/>
                <w:szCs w:val="21"/>
              </w:rPr>
            </w:pPr>
          </w:p>
        </w:tc>
        <w:tc>
          <w:tcPr>
            <w:tcW w:w="1040" w:type="dxa"/>
            <w:vMerge/>
            <w:vAlign w:val="center"/>
          </w:tcPr>
          <w:p w14:paraId="16259FF2" w14:textId="77777777" w:rsidR="0062768B" w:rsidRDefault="0062768B">
            <w:pPr>
              <w:adjustRightInd/>
              <w:spacing w:line="240" w:lineRule="exact"/>
              <w:jc w:val="center"/>
              <w:rPr>
                <w:rFonts w:ascii="Arial" w:eastAsia="仿宋_GB2312" w:hAnsi="Arial" w:cs="Arial"/>
                <w:bCs/>
                <w:sz w:val="21"/>
                <w:szCs w:val="21"/>
              </w:rPr>
            </w:pPr>
          </w:p>
        </w:tc>
        <w:tc>
          <w:tcPr>
            <w:tcW w:w="1050" w:type="dxa"/>
            <w:vAlign w:val="center"/>
          </w:tcPr>
          <w:p w14:paraId="3C75C208"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40</w:t>
            </w:r>
          </w:p>
        </w:tc>
        <w:tc>
          <w:tcPr>
            <w:tcW w:w="1069" w:type="dxa"/>
            <w:vMerge/>
            <w:vAlign w:val="center"/>
          </w:tcPr>
          <w:p w14:paraId="0CA192D0" w14:textId="77777777" w:rsidR="0062768B" w:rsidRDefault="0062768B">
            <w:pPr>
              <w:adjustRightInd/>
              <w:spacing w:line="240" w:lineRule="exact"/>
              <w:jc w:val="center"/>
              <w:rPr>
                <w:rFonts w:ascii="Arial" w:eastAsia="仿宋_GB2312" w:hAnsi="Arial" w:cs="Arial"/>
                <w:bCs/>
                <w:sz w:val="21"/>
                <w:szCs w:val="21"/>
              </w:rPr>
            </w:pPr>
          </w:p>
        </w:tc>
        <w:tc>
          <w:tcPr>
            <w:tcW w:w="1012" w:type="dxa"/>
            <w:vAlign w:val="center"/>
          </w:tcPr>
          <w:p w14:paraId="2D89EA3D"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w:t>
            </w:r>
          </w:p>
        </w:tc>
        <w:tc>
          <w:tcPr>
            <w:tcW w:w="957" w:type="dxa"/>
            <w:vAlign w:val="center"/>
          </w:tcPr>
          <w:p w14:paraId="1EEBF43D"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sz w:val="21"/>
                <w:szCs w:val="21"/>
              </w:rPr>
              <w:t>8128</w:t>
            </w:r>
          </w:p>
        </w:tc>
        <w:tc>
          <w:tcPr>
            <w:tcW w:w="1387" w:type="dxa"/>
            <w:vAlign w:val="center"/>
          </w:tcPr>
          <w:p w14:paraId="5D0585F9"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w:t>
            </w:r>
          </w:p>
        </w:tc>
        <w:tc>
          <w:tcPr>
            <w:tcW w:w="1000" w:type="dxa"/>
            <w:tcBorders>
              <w:left w:val="single" w:sz="4" w:space="0" w:color="auto"/>
            </w:tcBorders>
            <w:vAlign w:val="center"/>
          </w:tcPr>
          <w:p w14:paraId="37F19C0A"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sz w:val="21"/>
                <w:szCs w:val="21"/>
              </w:rPr>
              <w:t>2032</w:t>
            </w:r>
          </w:p>
        </w:tc>
        <w:tc>
          <w:tcPr>
            <w:tcW w:w="1343" w:type="dxa"/>
            <w:tcBorders>
              <w:left w:val="single" w:sz="4" w:space="0" w:color="auto"/>
            </w:tcBorders>
            <w:vAlign w:val="center"/>
          </w:tcPr>
          <w:p w14:paraId="4AFC0BC4"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w:t>
            </w:r>
          </w:p>
        </w:tc>
      </w:tr>
      <w:tr w:rsidR="0062768B" w14:paraId="2398669B" w14:textId="77777777">
        <w:trPr>
          <w:cantSplit/>
          <w:trHeight w:val="1701"/>
          <w:jc w:val="center"/>
        </w:trPr>
        <w:tc>
          <w:tcPr>
            <w:tcW w:w="602" w:type="dxa"/>
            <w:vMerge/>
            <w:vAlign w:val="center"/>
          </w:tcPr>
          <w:p w14:paraId="6720ECB1" w14:textId="77777777" w:rsidR="0062768B" w:rsidRDefault="0062768B">
            <w:pPr>
              <w:adjustRightInd/>
              <w:spacing w:line="240" w:lineRule="exact"/>
              <w:jc w:val="center"/>
              <w:rPr>
                <w:rFonts w:ascii="Arial" w:eastAsia="仿宋_GB2312" w:hAnsi="Arial" w:cs="Arial"/>
                <w:bCs/>
                <w:sz w:val="18"/>
                <w:szCs w:val="18"/>
              </w:rPr>
            </w:pPr>
          </w:p>
        </w:tc>
        <w:tc>
          <w:tcPr>
            <w:tcW w:w="1268" w:type="dxa"/>
            <w:vMerge/>
            <w:vAlign w:val="center"/>
          </w:tcPr>
          <w:p w14:paraId="75252FFE" w14:textId="77777777" w:rsidR="0062768B" w:rsidRDefault="0062768B">
            <w:pPr>
              <w:adjustRightInd/>
              <w:spacing w:line="240" w:lineRule="exact"/>
              <w:jc w:val="center"/>
              <w:rPr>
                <w:rFonts w:ascii="Arial" w:eastAsia="仿宋_GB2312" w:hAnsi="Arial" w:cs="Arial"/>
                <w:sz w:val="15"/>
                <w:szCs w:val="15"/>
              </w:rPr>
            </w:pPr>
          </w:p>
        </w:tc>
        <w:tc>
          <w:tcPr>
            <w:tcW w:w="647" w:type="dxa"/>
            <w:vMerge/>
            <w:vAlign w:val="center"/>
          </w:tcPr>
          <w:p w14:paraId="2EAF207B" w14:textId="77777777" w:rsidR="0062768B" w:rsidRDefault="0062768B">
            <w:pPr>
              <w:adjustRightInd/>
              <w:spacing w:line="240" w:lineRule="exact"/>
              <w:jc w:val="center"/>
              <w:rPr>
                <w:rFonts w:ascii="Arial" w:eastAsia="仿宋_GB2312" w:hAnsi="Arial" w:cs="Arial"/>
                <w:sz w:val="15"/>
                <w:szCs w:val="15"/>
              </w:rPr>
            </w:pPr>
          </w:p>
        </w:tc>
        <w:tc>
          <w:tcPr>
            <w:tcW w:w="767" w:type="dxa"/>
            <w:vMerge/>
            <w:vAlign w:val="center"/>
          </w:tcPr>
          <w:p w14:paraId="0F7DD63E" w14:textId="77777777" w:rsidR="0062768B" w:rsidRDefault="0062768B">
            <w:pPr>
              <w:adjustRightInd/>
              <w:spacing w:line="240" w:lineRule="exact"/>
              <w:jc w:val="center"/>
              <w:rPr>
                <w:rFonts w:ascii="Arial" w:eastAsia="仿宋_GB2312" w:hAnsi="Arial" w:cs="Arial"/>
                <w:sz w:val="15"/>
                <w:szCs w:val="15"/>
              </w:rPr>
            </w:pPr>
          </w:p>
        </w:tc>
        <w:tc>
          <w:tcPr>
            <w:tcW w:w="767" w:type="dxa"/>
            <w:vAlign w:val="center"/>
          </w:tcPr>
          <w:p w14:paraId="6990CDE8" w14:textId="77777777" w:rsidR="0062768B" w:rsidRDefault="00136729">
            <w:pPr>
              <w:adjustRightInd/>
              <w:spacing w:line="240" w:lineRule="exact"/>
              <w:jc w:val="center"/>
              <w:rPr>
                <w:rFonts w:ascii="Arial" w:eastAsia="仿宋_GB2312" w:hAnsi="Arial" w:cs="Arial"/>
                <w:sz w:val="21"/>
                <w:szCs w:val="21"/>
              </w:rPr>
            </w:pPr>
            <w:r>
              <w:rPr>
                <w:rFonts w:ascii="Arial" w:eastAsia="仿宋_GB2312" w:hAnsi="Arial" w:cs="Arial" w:hint="eastAsia"/>
                <w:sz w:val="21"/>
                <w:szCs w:val="21"/>
              </w:rPr>
              <w:t>公共</w:t>
            </w:r>
            <w:r>
              <w:rPr>
                <w:rFonts w:ascii="Arial" w:eastAsia="仿宋_GB2312" w:hAnsi="Arial" w:cs="Arial"/>
                <w:sz w:val="21"/>
                <w:szCs w:val="21"/>
              </w:rPr>
              <w:t>服务</w:t>
            </w:r>
          </w:p>
        </w:tc>
        <w:tc>
          <w:tcPr>
            <w:tcW w:w="717" w:type="dxa"/>
            <w:vMerge/>
            <w:vAlign w:val="center"/>
          </w:tcPr>
          <w:p w14:paraId="73381EC3" w14:textId="77777777" w:rsidR="0062768B" w:rsidRDefault="0062768B">
            <w:pPr>
              <w:adjustRightInd/>
              <w:spacing w:line="240" w:lineRule="exact"/>
              <w:jc w:val="center"/>
              <w:rPr>
                <w:rFonts w:ascii="Arial" w:eastAsia="仿宋_GB2312" w:hAnsi="Arial" w:cs="Arial"/>
                <w:bCs/>
                <w:sz w:val="21"/>
                <w:szCs w:val="21"/>
              </w:rPr>
            </w:pPr>
          </w:p>
        </w:tc>
        <w:tc>
          <w:tcPr>
            <w:tcW w:w="944" w:type="dxa"/>
            <w:vMerge/>
            <w:vAlign w:val="center"/>
          </w:tcPr>
          <w:p w14:paraId="4B0104BE" w14:textId="77777777" w:rsidR="0062768B" w:rsidRDefault="0062768B">
            <w:pPr>
              <w:adjustRightInd/>
              <w:spacing w:line="240" w:lineRule="exact"/>
              <w:jc w:val="center"/>
              <w:rPr>
                <w:rFonts w:ascii="Arial" w:eastAsia="仿宋_GB2312" w:hAnsi="Arial" w:cs="Arial"/>
                <w:bCs/>
                <w:sz w:val="21"/>
                <w:szCs w:val="21"/>
              </w:rPr>
            </w:pPr>
          </w:p>
        </w:tc>
        <w:tc>
          <w:tcPr>
            <w:tcW w:w="1040" w:type="dxa"/>
            <w:vMerge/>
            <w:vAlign w:val="center"/>
          </w:tcPr>
          <w:p w14:paraId="011FC811" w14:textId="77777777" w:rsidR="0062768B" w:rsidRDefault="0062768B">
            <w:pPr>
              <w:adjustRightInd/>
              <w:spacing w:line="240" w:lineRule="exact"/>
              <w:jc w:val="center"/>
              <w:rPr>
                <w:rFonts w:ascii="Arial" w:eastAsia="仿宋_GB2312" w:hAnsi="Arial" w:cs="Arial"/>
                <w:bCs/>
                <w:sz w:val="21"/>
                <w:szCs w:val="21"/>
              </w:rPr>
            </w:pPr>
          </w:p>
        </w:tc>
        <w:tc>
          <w:tcPr>
            <w:tcW w:w="1050" w:type="dxa"/>
            <w:vAlign w:val="center"/>
          </w:tcPr>
          <w:p w14:paraId="3B4ADBE3"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50</w:t>
            </w:r>
          </w:p>
        </w:tc>
        <w:tc>
          <w:tcPr>
            <w:tcW w:w="1069" w:type="dxa"/>
            <w:vMerge/>
            <w:vAlign w:val="center"/>
          </w:tcPr>
          <w:p w14:paraId="41E277A5" w14:textId="77777777" w:rsidR="0062768B" w:rsidRDefault="0062768B">
            <w:pPr>
              <w:adjustRightInd/>
              <w:spacing w:line="240" w:lineRule="exact"/>
              <w:jc w:val="center"/>
              <w:rPr>
                <w:rFonts w:ascii="Arial" w:eastAsia="仿宋_GB2312" w:hAnsi="Arial" w:cs="Arial"/>
                <w:bCs/>
                <w:sz w:val="21"/>
                <w:szCs w:val="21"/>
              </w:rPr>
            </w:pPr>
          </w:p>
        </w:tc>
        <w:tc>
          <w:tcPr>
            <w:tcW w:w="1012" w:type="dxa"/>
            <w:vAlign w:val="center"/>
          </w:tcPr>
          <w:p w14:paraId="2814D4A0"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w:t>
            </w:r>
          </w:p>
        </w:tc>
        <w:tc>
          <w:tcPr>
            <w:tcW w:w="957" w:type="dxa"/>
            <w:vAlign w:val="center"/>
          </w:tcPr>
          <w:p w14:paraId="422DD63E" w14:textId="77777777" w:rsidR="0062768B" w:rsidRDefault="00136729">
            <w:pPr>
              <w:adjustRightInd/>
              <w:spacing w:line="240" w:lineRule="exact"/>
              <w:jc w:val="center"/>
              <w:rPr>
                <w:rFonts w:ascii="Arial" w:eastAsia="仿宋_GB2312" w:hAnsi="Arial" w:cs="Arial"/>
                <w:bCs/>
                <w:sz w:val="18"/>
                <w:szCs w:val="18"/>
              </w:rPr>
            </w:pPr>
            <w:r>
              <w:rPr>
                <w:rFonts w:ascii="Arial" w:eastAsia="仿宋_GB2312" w:hAnsi="Arial" w:cs="Arial"/>
                <w:sz w:val="21"/>
                <w:szCs w:val="21"/>
              </w:rPr>
              <w:t>3623</w:t>
            </w:r>
          </w:p>
        </w:tc>
        <w:tc>
          <w:tcPr>
            <w:tcW w:w="1387" w:type="dxa"/>
            <w:vAlign w:val="center"/>
          </w:tcPr>
          <w:p w14:paraId="7380D360"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w:t>
            </w:r>
          </w:p>
        </w:tc>
        <w:tc>
          <w:tcPr>
            <w:tcW w:w="1000" w:type="dxa"/>
            <w:tcBorders>
              <w:left w:val="single" w:sz="4" w:space="0" w:color="auto"/>
            </w:tcBorders>
            <w:vAlign w:val="center"/>
          </w:tcPr>
          <w:p w14:paraId="3039F553"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sz w:val="21"/>
                <w:szCs w:val="21"/>
              </w:rPr>
              <w:t>906</w:t>
            </w:r>
          </w:p>
        </w:tc>
        <w:tc>
          <w:tcPr>
            <w:tcW w:w="1343" w:type="dxa"/>
            <w:tcBorders>
              <w:left w:val="single" w:sz="4" w:space="0" w:color="auto"/>
            </w:tcBorders>
            <w:vAlign w:val="center"/>
          </w:tcPr>
          <w:p w14:paraId="3A8536E9"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w:t>
            </w:r>
          </w:p>
        </w:tc>
      </w:tr>
      <w:tr w:rsidR="0062768B" w14:paraId="30CB72E4" w14:textId="77777777">
        <w:trPr>
          <w:cantSplit/>
          <w:jc w:val="center"/>
        </w:trPr>
        <w:tc>
          <w:tcPr>
            <w:tcW w:w="602" w:type="dxa"/>
            <w:vAlign w:val="center"/>
          </w:tcPr>
          <w:p w14:paraId="28A5199C" w14:textId="77777777" w:rsidR="0062768B" w:rsidRDefault="00136729">
            <w:pPr>
              <w:adjustRightInd/>
              <w:spacing w:line="240" w:lineRule="exact"/>
              <w:jc w:val="center"/>
              <w:rPr>
                <w:rFonts w:ascii="Arial" w:eastAsia="仿宋_GB2312" w:hAnsi="Arial" w:cs="Arial"/>
                <w:bCs/>
                <w:sz w:val="18"/>
                <w:szCs w:val="18"/>
              </w:rPr>
            </w:pPr>
            <w:r>
              <w:rPr>
                <w:rFonts w:ascii="Arial" w:eastAsia="仿宋_GB2312" w:hAnsi="Arial" w:cs="Arial"/>
                <w:bCs/>
                <w:sz w:val="18"/>
                <w:szCs w:val="18"/>
              </w:rPr>
              <w:t>合计</w:t>
            </w:r>
          </w:p>
        </w:tc>
        <w:tc>
          <w:tcPr>
            <w:tcW w:w="1268" w:type="dxa"/>
            <w:vAlign w:val="center"/>
          </w:tcPr>
          <w:p w14:paraId="60D42C38" w14:textId="77777777" w:rsidR="0062768B" w:rsidRDefault="00136729">
            <w:pPr>
              <w:adjustRightInd/>
              <w:spacing w:line="240" w:lineRule="exact"/>
              <w:jc w:val="center"/>
              <w:rPr>
                <w:rFonts w:ascii="Arial" w:eastAsia="仿宋_GB2312" w:hAnsi="Arial" w:cs="Arial"/>
                <w:sz w:val="15"/>
                <w:szCs w:val="15"/>
              </w:rPr>
            </w:pPr>
            <w:r>
              <w:rPr>
                <w:rFonts w:ascii="Arial" w:eastAsia="仿宋_GB2312" w:hAnsi="Arial" w:cs="Arial"/>
                <w:bCs/>
                <w:sz w:val="21"/>
                <w:szCs w:val="21"/>
              </w:rPr>
              <w:t>—</w:t>
            </w:r>
          </w:p>
        </w:tc>
        <w:tc>
          <w:tcPr>
            <w:tcW w:w="647" w:type="dxa"/>
            <w:vAlign w:val="center"/>
          </w:tcPr>
          <w:p w14:paraId="46B1432D" w14:textId="77777777" w:rsidR="0062768B" w:rsidRDefault="00136729">
            <w:pPr>
              <w:adjustRightInd/>
              <w:spacing w:line="240" w:lineRule="exact"/>
              <w:jc w:val="center"/>
              <w:rPr>
                <w:rFonts w:ascii="Arial" w:eastAsia="仿宋_GB2312" w:hAnsi="Arial" w:cs="Arial"/>
                <w:sz w:val="15"/>
                <w:szCs w:val="15"/>
              </w:rPr>
            </w:pPr>
            <w:r>
              <w:rPr>
                <w:rFonts w:ascii="Arial" w:eastAsia="仿宋_GB2312" w:hAnsi="Arial" w:cs="Arial"/>
                <w:bCs/>
                <w:sz w:val="21"/>
                <w:szCs w:val="21"/>
              </w:rPr>
              <w:t>—</w:t>
            </w:r>
          </w:p>
        </w:tc>
        <w:tc>
          <w:tcPr>
            <w:tcW w:w="767" w:type="dxa"/>
            <w:vAlign w:val="center"/>
          </w:tcPr>
          <w:p w14:paraId="196ADF3B" w14:textId="77777777" w:rsidR="0062768B" w:rsidRDefault="00136729">
            <w:pPr>
              <w:adjustRightInd/>
              <w:spacing w:line="240" w:lineRule="exact"/>
              <w:ind w:firstLineChars="100" w:firstLine="210"/>
              <w:rPr>
                <w:rFonts w:ascii="Arial" w:eastAsia="仿宋_GB2312" w:hAnsi="Arial" w:cs="Arial"/>
                <w:sz w:val="15"/>
                <w:szCs w:val="15"/>
              </w:rPr>
            </w:pPr>
            <w:r>
              <w:rPr>
                <w:rFonts w:ascii="Arial" w:eastAsia="仿宋_GB2312" w:hAnsi="Arial" w:cs="Arial"/>
                <w:bCs/>
                <w:sz w:val="21"/>
                <w:szCs w:val="21"/>
              </w:rPr>
              <w:t>—</w:t>
            </w:r>
          </w:p>
        </w:tc>
        <w:tc>
          <w:tcPr>
            <w:tcW w:w="767" w:type="dxa"/>
            <w:vAlign w:val="center"/>
          </w:tcPr>
          <w:p w14:paraId="340291A8" w14:textId="77777777" w:rsidR="0062768B" w:rsidRDefault="00136729">
            <w:pPr>
              <w:adjustRightInd/>
              <w:spacing w:line="240" w:lineRule="exact"/>
              <w:jc w:val="center"/>
              <w:rPr>
                <w:rFonts w:ascii="Arial" w:eastAsia="仿宋_GB2312" w:hAnsi="Arial" w:cs="Arial"/>
                <w:sz w:val="21"/>
                <w:szCs w:val="21"/>
              </w:rPr>
            </w:pPr>
            <w:r>
              <w:rPr>
                <w:rFonts w:ascii="Arial" w:eastAsia="仿宋_GB2312" w:hAnsi="Arial" w:cs="Arial"/>
                <w:bCs/>
                <w:sz w:val="21"/>
                <w:szCs w:val="21"/>
              </w:rPr>
              <w:t>—</w:t>
            </w:r>
          </w:p>
        </w:tc>
        <w:tc>
          <w:tcPr>
            <w:tcW w:w="717" w:type="dxa"/>
            <w:vAlign w:val="center"/>
          </w:tcPr>
          <w:p w14:paraId="619AAED9"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w:t>
            </w:r>
          </w:p>
        </w:tc>
        <w:tc>
          <w:tcPr>
            <w:tcW w:w="944" w:type="dxa"/>
            <w:vAlign w:val="center"/>
          </w:tcPr>
          <w:p w14:paraId="0632AC5A"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w:t>
            </w:r>
          </w:p>
        </w:tc>
        <w:tc>
          <w:tcPr>
            <w:tcW w:w="1040" w:type="dxa"/>
            <w:vAlign w:val="center"/>
          </w:tcPr>
          <w:p w14:paraId="610AB34A"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w:t>
            </w:r>
          </w:p>
        </w:tc>
        <w:tc>
          <w:tcPr>
            <w:tcW w:w="1050" w:type="dxa"/>
            <w:vAlign w:val="center"/>
          </w:tcPr>
          <w:p w14:paraId="728CF95E"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w:t>
            </w:r>
          </w:p>
        </w:tc>
        <w:tc>
          <w:tcPr>
            <w:tcW w:w="1069" w:type="dxa"/>
            <w:vAlign w:val="center"/>
          </w:tcPr>
          <w:p w14:paraId="25478309"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sz w:val="21"/>
                <w:szCs w:val="21"/>
              </w:rPr>
              <w:t>56790.45</w:t>
            </w:r>
          </w:p>
        </w:tc>
        <w:tc>
          <w:tcPr>
            <w:tcW w:w="1012" w:type="dxa"/>
            <w:vAlign w:val="center"/>
          </w:tcPr>
          <w:p w14:paraId="437ABBB9"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sz w:val="21"/>
                <w:szCs w:val="21"/>
              </w:rPr>
              <w:t>68148.54</w:t>
            </w:r>
          </w:p>
        </w:tc>
        <w:tc>
          <w:tcPr>
            <w:tcW w:w="957" w:type="dxa"/>
            <w:vAlign w:val="center"/>
          </w:tcPr>
          <w:p w14:paraId="56807EAC"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w:t>
            </w:r>
          </w:p>
        </w:tc>
        <w:tc>
          <w:tcPr>
            <w:tcW w:w="1387" w:type="dxa"/>
            <w:vAlign w:val="center"/>
          </w:tcPr>
          <w:p w14:paraId="1A887DDA"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sz w:val="21"/>
                <w:szCs w:val="21"/>
              </w:rPr>
              <w:t xml:space="preserve">103245.0381 </w:t>
            </w:r>
          </w:p>
        </w:tc>
        <w:tc>
          <w:tcPr>
            <w:tcW w:w="1000" w:type="dxa"/>
            <w:tcBorders>
              <w:left w:val="single" w:sz="4" w:space="0" w:color="auto"/>
            </w:tcBorders>
            <w:vAlign w:val="center"/>
          </w:tcPr>
          <w:p w14:paraId="0150E738"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w:t>
            </w:r>
          </w:p>
        </w:tc>
        <w:tc>
          <w:tcPr>
            <w:tcW w:w="1343" w:type="dxa"/>
            <w:tcBorders>
              <w:left w:val="single" w:sz="4" w:space="0" w:color="auto"/>
            </w:tcBorders>
            <w:vAlign w:val="center"/>
          </w:tcPr>
          <w:p w14:paraId="17C30CB6"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sz w:val="21"/>
                <w:szCs w:val="21"/>
              </w:rPr>
              <w:t>25814.6670</w:t>
            </w:r>
          </w:p>
        </w:tc>
      </w:tr>
    </w:tbl>
    <w:p w14:paraId="080372D4" w14:textId="77777777" w:rsidR="0062768B" w:rsidRDefault="00136729">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0758F09E" w14:textId="77777777" w:rsidR="0062768B" w:rsidRDefault="0062768B">
      <w:pPr>
        <w:pStyle w:val="12"/>
        <w:spacing w:line="300" w:lineRule="auto"/>
        <w:ind w:rightChars="-170" w:right="-408" w:firstLine="420"/>
        <w:rPr>
          <w:rFonts w:ascii="Arial" w:hAnsi="Arial" w:cs="Arial"/>
          <w:bCs/>
          <w:sz w:val="21"/>
          <w:szCs w:val="21"/>
        </w:rPr>
        <w:sectPr w:rsidR="0062768B">
          <w:headerReference w:type="default" r:id="rId23"/>
          <w:footerReference w:type="default" r:id="rId24"/>
          <w:headerReference w:type="first" r:id="rId25"/>
          <w:pgSz w:w="16840" w:h="11907" w:orient="landscape"/>
          <w:pgMar w:top="1418" w:right="1418" w:bottom="1134" w:left="1418" w:header="794" w:footer="907" w:gutter="0"/>
          <w:cols w:space="720"/>
          <w:titlePg/>
          <w:docGrid w:linePitch="326"/>
        </w:sectPr>
      </w:pPr>
    </w:p>
    <w:p w14:paraId="7A13A510" w14:textId="77777777" w:rsidR="0062768B" w:rsidRDefault="00136729">
      <w:pPr>
        <w:spacing w:line="300" w:lineRule="auto"/>
        <w:ind w:left="1"/>
        <w:jc w:val="both"/>
        <w:rPr>
          <w:rFonts w:ascii="Arial" w:eastAsia="仿宋_GB2312" w:hAnsi="Arial" w:cs="Arial"/>
          <w:b/>
        </w:rPr>
      </w:pPr>
      <w:r>
        <w:rPr>
          <w:rFonts w:ascii="Arial" w:eastAsia="仿宋_GB2312" w:hAnsi="Arial" w:cs="Arial"/>
          <w:b/>
        </w:rPr>
        <w:lastRenderedPageBreak/>
        <w:t>一、上述估价结果的限定条件</w:t>
      </w:r>
    </w:p>
    <w:p w14:paraId="5EB06031" w14:textId="77777777" w:rsidR="0062768B" w:rsidRDefault="00136729">
      <w:pPr>
        <w:adjustRightInd/>
        <w:spacing w:line="300" w:lineRule="auto"/>
        <w:jc w:val="both"/>
        <w:rPr>
          <w:rFonts w:ascii="Arial" w:eastAsia="仿宋_GB2312" w:hAnsi="Arial" w:cs="Arial"/>
          <w:bCs/>
        </w:rPr>
      </w:pPr>
      <w:r>
        <w:rPr>
          <w:rFonts w:ascii="Arial" w:eastAsia="仿宋_GB2312" w:hAnsi="Arial" w:cs="Arial"/>
          <w:bCs/>
        </w:rPr>
        <w:t>（一）土地权利限制：至估价期日，估价对象无他项权利；</w:t>
      </w:r>
    </w:p>
    <w:p w14:paraId="2F672652" w14:textId="08E1A9C8" w:rsidR="0062768B" w:rsidRDefault="00136729">
      <w:pPr>
        <w:adjustRightInd/>
        <w:spacing w:line="300" w:lineRule="auto"/>
        <w:jc w:val="both"/>
        <w:rPr>
          <w:rFonts w:ascii="仿宋_GB2312" w:eastAsia="仿宋_GB2312" w:hAnsi="Arial"/>
          <w:bCs/>
        </w:rPr>
      </w:pPr>
      <w:r>
        <w:rPr>
          <w:rFonts w:ascii="Arial" w:eastAsia="仿宋_GB2312" w:hAnsi="Arial" w:cs="Arial"/>
          <w:bCs/>
        </w:rPr>
        <w:t>（二）基础设施条件：</w:t>
      </w:r>
      <w:r>
        <w:rPr>
          <w:rFonts w:ascii="仿宋_GB2312" w:eastAsia="仿宋_GB2312" w:hAnsi="Arial" w:hint="eastAsia"/>
          <w:bCs/>
        </w:rPr>
        <w:t>估价对象实际开发程度为宗地外“六通”（通路、通上水（自来水、中水）、通下水（雨水、污水）、通电（管沟、电缆）、通燃气、通热力），宗地红线内场地平整；本次评估设定开发程度为土地开发程度红线外市政基础设施达宗地外“六通”</w:t>
      </w:r>
      <w:r w:rsidR="00835791">
        <w:rPr>
          <w:rFonts w:ascii="仿宋_GB2312" w:eastAsia="仿宋_GB2312" w:hAnsi="Arial" w:hint="eastAsia"/>
          <w:bCs/>
        </w:rPr>
        <w:t>（通路、通上水（自来水、中水）、通下水（雨水、污水）、通电、通燃气、通热力）</w:t>
      </w:r>
      <w:r>
        <w:rPr>
          <w:rFonts w:ascii="仿宋_GB2312" w:eastAsia="仿宋_GB2312" w:hAnsi="Arial" w:hint="eastAsia"/>
          <w:bCs/>
        </w:rPr>
        <w:t>，宗地红线内场地平整</w:t>
      </w:r>
      <w:r>
        <w:rPr>
          <w:rFonts w:ascii="仿宋_GB2312" w:eastAsia="仿宋_GB2312" w:hAnsi="Arial"/>
          <w:bCs/>
        </w:rPr>
        <w:t>；</w:t>
      </w:r>
    </w:p>
    <w:p w14:paraId="2335EE8F" w14:textId="77777777" w:rsidR="0062768B" w:rsidRDefault="00136729">
      <w:pPr>
        <w:adjustRightInd/>
        <w:spacing w:line="300" w:lineRule="auto"/>
        <w:jc w:val="both"/>
        <w:rPr>
          <w:rFonts w:ascii="Arial" w:eastAsia="仿宋_GB2312" w:hAnsi="Arial" w:cs="Arial"/>
          <w:bCs/>
        </w:rPr>
      </w:pPr>
      <w:r>
        <w:rPr>
          <w:rFonts w:ascii="Arial" w:eastAsia="仿宋_GB2312" w:hAnsi="Arial" w:cs="Arial"/>
          <w:bCs/>
        </w:rPr>
        <w:t>（三）规划限制条件：依据</w:t>
      </w:r>
      <w:r>
        <w:rPr>
          <w:rFonts w:ascii="Arial" w:eastAsia="仿宋_GB2312" w:hAnsi="Arial" w:cs="Arial" w:hint="eastAsia"/>
          <w:bCs/>
        </w:rPr>
        <w:t>《北京市规划和自然资源委员会顺义分局关于顺义区高丽营镇夏县营村棚户区改造土地开发项目</w:t>
      </w:r>
      <w:r>
        <w:rPr>
          <w:rFonts w:ascii="Arial" w:eastAsia="仿宋_GB2312" w:hAnsi="Arial" w:cs="Arial" w:hint="eastAsia"/>
          <w:bCs/>
        </w:rPr>
        <w:t>01-008</w:t>
      </w:r>
      <w:r>
        <w:rPr>
          <w:rFonts w:ascii="Arial" w:eastAsia="仿宋_GB2312" w:hAnsi="Arial" w:cs="Arial" w:hint="eastAsia"/>
          <w:bCs/>
        </w:rPr>
        <w:t>、</w:t>
      </w:r>
      <w:r>
        <w:rPr>
          <w:rFonts w:ascii="Arial" w:eastAsia="仿宋_GB2312" w:hAnsi="Arial" w:cs="Arial" w:hint="eastAsia"/>
          <w:bCs/>
        </w:rPr>
        <w:t>01-015-1</w:t>
      </w:r>
      <w:r>
        <w:rPr>
          <w:rFonts w:ascii="Arial" w:eastAsia="仿宋_GB2312" w:hAnsi="Arial" w:cs="Arial" w:hint="eastAsia"/>
          <w:bCs/>
        </w:rPr>
        <w:t>、</w:t>
      </w:r>
      <w:r>
        <w:rPr>
          <w:rFonts w:ascii="Arial" w:eastAsia="仿宋_GB2312" w:hAnsi="Arial" w:cs="Arial" w:hint="eastAsia"/>
          <w:bCs/>
        </w:rPr>
        <w:t>01-015-2</w:t>
      </w:r>
      <w:r>
        <w:rPr>
          <w:rFonts w:ascii="Arial" w:eastAsia="仿宋_GB2312" w:hAnsi="Arial" w:cs="Arial" w:hint="eastAsia"/>
          <w:bCs/>
        </w:rPr>
        <w:t>、</w:t>
      </w:r>
      <w:r>
        <w:rPr>
          <w:rFonts w:ascii="Arial" w:eastAsia="仿宋_GB2312" w:hAnsi="Arial" w:cs="Arial" w:hint="eastAsia"/>
          <w:bCs/>
        </w:rPr>
        <w:t>01-016</w:t>
      </w:r>
      <w:r>
        <w:rPr>
          <w:rFonts w:ascii="Arial" w:eastAsia="仿宋_GB2312" w:hAnsi="Arial" w:cs="Arial" w:hint="eastAsia"/>
          <w:bCs/>
        </w:rPr>
        <w:t>、</w:t>
      </w:r>
      <w:r>
        <w:rPr>
          <w:rFonts w:ascii="Arial" w:eastAsia="仿宋_GB2312" w:hAnsi="Arial" w:cs="Arial" w:hint="eastAsia"/>
          <w:bCs/>
        </w:rPr>
        <w:t>01-020</w:t>
      </w:r>
      <w:r>
        <w:rPr>
          <w:rFonts w:ascii="Arial" w:eastAsia="仿宋_GB2312" w:hAnsi="Arial" w:cs="Arial" w:hint="eastAsia"/>
          <w:bCs/>
        </w:rPr>
        <w:t>、</w:t>
      </w:r>
      <w:r>
        <w:rPr>
          <w:rFonts w:ascii="Arial" w:eastAsia="仿宋_GB2312" w:hAnsi="Arial" w:cs="Arial" w:hint="eastAsia"/>
          <w:bCs/>
        </w:rPr>
        <w:t>01-025</w:t>
      </w:r>
      <w:r>
        <w:rPr>
          <w:rFonts w:ascii="Arial" w:eastAsia="仿宋_GB2312" w:hAnsi="Arial" w:cs="Arial" w:hint="eastAsia"/>
          <w:bCs/>
        </w:rPr>
        <w:t>、</w:t>
      </w:r>
      <w:r>
        <w:rPr>
          <w:rFonts w:ascii="Arial" w:eastAsia="仿宋_GB2312" w:hAnsi="Arial" w:cs="Arial" w:hint="eastAsia"/>
          <w:bCs/>
        </w:rPr>
        <w:t>01-026-1</w:t>
      </w:r>
      <w:r>
        <w:rPr>
          <w:rFonts w:ascii="Arial" w:eastAsia="仿宋_GB2312" w:hAnsi="Arial" w:cs="Arial" w:hint="eastAsia"/>
          <w:bCs/>
        </w:rPr>
        <w:t>等二类居住用地、托幼用地、商业用地地块“多规合一”协同平台供地审核意见的函》（京</w:t>
      </w:r>
      <w:proofErr w:type="gramStart"/>
      <w:r>
        <w:rPr>
          <w:rFonts w:ascii="Arial" w:eastAsia="仿宋_GB2312" w:hAnsi="Arial" w:cs="Arial" w:hint="eastAsia"/>
          <w:bCs/>
        </w:rPr>
        <w:t>规</w:t>
      </w:r>
      <w:proofErr w:type="gramEnd"/>
      <w:r>
        <w:rPr>
          <w:rFonts w:ascii="Arial" w:eastAsia="仿宋_GB2312" w:hAnsi="Arial" w:cs="Arial" w:hint="eastAsia"/>
          <w:bCs/>
        </w:rPr>
        <w:t>自（顺）</w:t>
      </w:r>
      <w:proofErr w:type="gramStart"/>
      <w:r>
        <w:rPr>
          <w:rFonts w:ascii="Arial" w:eastAsia="仿宋_GB2312" w:hAnsi="Arial" w:cs="Arial" w:hint="eastAsia"/>
          <w:bCs/>
        </w:rPr>
        <w:t>供审函</w:t>
      </w:r>
      <w:proofErr w:type="gramEnd"/>
      <w:r>
        <w:rPr>
          <w:rFonts w:ascii="Arial" w:eastAsia="仿宋_GB2312" w:hAnsi="Arial" w:cs="Arial" w:hint="eastAsia"/>
          <w:bCs/>
        </w:rPr>
        <w:t>【</w:t>
      </w:r>
      <w:r>
        <w:rPr>
          <w:rFonts w:ascii="Arial" w:eastAsia="仿宋_GB2312" w:hAnsi="Arial" w:cs="Arial" w:hint="eastAsia"/>
          <w:bCs/>
        </w:rPr>
        <w:t>2023</w:t>
      </w:r>
      <w:r>
        <w:rPr>
          <w:rFonts w:ascii="Arial" w:eastAsia="仿宋_GB2312" w:hAnsi="Arial" w:cs="Arial" w:hint="eastAsia"/>
          <w:bCs/>
        </w:rPr>
        <w:t>】</w:t>
      </w:r>
      <w:r>
        <w:rPr>
          <w:rFonts w:ascii="Arial" w:eastAsia="仿宋_GB2312" w:hAnsi="Arial" w:cs="Arial" w:hint="eastAsia"/>
          <w:bCs/>
        </w:rPr>
        <w:t>0004</w:t>
      </w:r>
      <w:r>
        <w:rPr>
          <w:rFonts w:ascii="Arial" w:eastAsia="仿宋_GB2312" w:hAnsi="Arial" w:cs="Arial" w:hint="eastAsia"/>
          <w:bCs/>
        </w:rPr>
        <w:t>号）</w:t>
      </w:r>
      <w:r>
        <w:rPr>
          <w:rFonts w:ascii="Arial" w:eastAsia="仿宋_GB2312" w:hAnsi="Arial" w:cs="Arial"/>
          <w:bCs/>
        </w:rPr>
        <w:t>；</w:t>
      </w:r>
    </w:p>
    <w:p w14:paraId="670DA476" w14:textId="77777777" w:rsidR="0062768B" w:rsidRDefault="00136729">
      <w:pPr>
        <w:adjustRightInd/>
        <w:spacing w:line="300" w:lineRule="auto"/>
        <w:jc w:val="both"/>
        <w:rPr>
          <w:rFonts w:ascii="Arial" w:eastAsia="仿宋_GB2312" w:hAnsi="Arial" w:cs="Arial"/>
          <w:bCs/>
        </w:rPr>
      </w:pPr>
      <w:r>
        <w:rPr>
          <w:rFonts w:ascii="Arial" w:eastAsia="仿宋_GB2312" w:hAnsi="Arial" w:cs="Arial"/>
          <w:bCs/>
        </w:rPr>
        <w:t>（四）影响土地价格的其他限定条件：无。</w:t>
      </w:r>
    </w:p>
    <w:p w14:paraId="116B2BC5" w14:textId="77777777" w:rsidR="0062768B" w:rsidRDefault="00136729">
      <w:pPr>
        <w:spacing w:line="300" w:lineRule="auto"/>
        <w:jc w:val="both"/>
        <w:rPr>
          <w:rFonts w:ascii="Arial" w:eastAsia="仿宋_GB2312" w:hAnsi="Arial" w:cs="Arial"/>
          <w:bCs/>
        </w:rPr>
      </w:pPr>
      <w:r>
        <w:rPr>
          <w:rFonts w:ascii="Arial" w:eastAsia="仿宋_GB2312" w:hAnsi="Arial" w:cs="Arial"/>
          <w:b/>
        </w:rPr>
        <w:t>二、其他需要说明的事项</w:t>
      </w:r>
      <w:r>
        <w:rPr>
          <w:rFonts w:ascii="Arial" w:eastAsia="仿宋_GB2312" w:hAnsi="Arial" w:cs="Arial"/>
          <w:bCs/>
        </w:rPr>
        <w:t>：</w:t>
      </w:r>
    </w:p>
    <w:p w14:paraId="577AE36E" w14:textId="77777777" w:rsidR="0062768B" w:rsidRDefault="00136729">
      <w:pPr>
        <w:adjustRightInd/>
        <w:spacing w:line="300" w:lineRule="auto"/>
        <w:jc w:val="both"/>
        <w:rPr>
          <w:rFonts w:ascii="Arial" w:eastAsia="仿宋_GB2312" w:hAnsi="Arial" w:cs="Arial"/>
          <w:bCs/>
        </w:rPr>
      </w:pPr>
      <w:r>
        <w:rPr>
          <w:rFonts w:ascii="Arial" w:eastAsia="仿宋_GB2312" w:hAnsi="Arial" w:cs="Arial" w:hint="eastAsia"/>
          <w:bCs/>
        </w:rPr>
        <w:t>（一）本报告结果是在满足地价定义中全部假设与限制条件下的地价，若估价对象的土地权利状况，利用方式、估价期日、土地开发状况，土地使用年期、容积率等影响地价的因素发生了变化，该评估价格应作相应的调整，不能直接使用本次估价结论。</w:t>
      </w:r>
    </w:p>
    <w:p w14:paraId="2073DC03" w14:textId="77777777" w:rsidR="0062768B" w:rsidRDefault="00136729">
      <w:pPr>
        <w:adjustRightInd/>
        <w:spacing w:line="300" w:lineRule="auto"/>
        <w:jc w:val="both"/>
        <w:rPr>
          <w:rFonts w:ascii="Arial" w:eastAsia="仿宋_GB2312" w:hAnsi="Arial" w:cs="Arial"/>
          <w:bCs/>
        </w:rPr>
      </w:pPr>
      <w:r>
        <w:rPr>
          <w:rFonts w:ascii="Arial" w:eastAsia="仿宋_GB2312" w:hAnsi="Arial" w:cs="Arial" w:hint="eastAsia"/>
          <w:bCs/>
        </w:rPr>
        <w:t>（二）土地权属、利用状况等</w:t>
      </w:r>
      <w:proofErr w:type="gramStart"/>
      <w:r>
        <w:rPr>
          <w:rFonts w:ascii="Arial" w:eastAsia="仿宋_GB2312" w:hAnsi="Arial" w:cs="Arial" w:hint="eastAsia"/>
          <w:bCs/>
        </w:rPr>
        <w:t>咨料均</w:t>
      </w:r>
      <w:proofErr w:type="gramEnd"/>
      <w:r>
        <w:rPr>
          <w:rFonts w:ascii="Arial" w:eastAsia="仿宋_GB2312" w:hAnsi="Arial" w:cs="Arial" w:hint="eastAsia"/>
          <w:bCs/>
        </w:rPr>
        <w:t>由委托方提供，估价师结合执业经验，对上相关评估资料的真实性，合法性，有限性，适用性进行了尽职核实和专业判断，但资料的真实性最终由委托方负责，如有虚假，评估机构不承担相应责任</w:t>
      </w:r>
      <w:r>
        <w:rPr>
          <w:rFonts w:ascii="Arial" w:eastAsia="仿宋_GB2312" w:hAnsi="Arial" w:cs="Arial" w:hint="eastAsia"/>
          <w:bCs/>
        </w:rPr>
        <w:t>;</w:t>
      </w:r>
      <w:r>
        <w:rPr>
          <w:rFonts w:ascii="Arial" w:eastAsia="仿宋_GB2312" w:hAnsi="Arial" w:cs="Arial" w:hint="eastAsia"/>
          <w:bCs/>
        </w:rPr>
        <w:t>房地产市场交易、区位条件等资料由土地估价专业评估师通过住建委、</w:t>
      </w:r>
      <w:proofErr w:type="gramStart"/>
      <w:r>
        <w:rPr>
          <w:rFonts w:ascii="Arial" w:eastAsia="仿宋_GB2312" w:hAnsi="Arial" w:cs="Arial" w:hint="eastAsia"/>
          <w:bCs/>
        </w:rPr>
        <w:t>规自委等官网</w:t>
      </w:r>
      <w:proofErr w:type="gramEnd"/>
      <w:r>
        <w:rPr>
          <w:rFonts w:ascii="Arial" w:eastAsia="仿宋_GB2312" w:hAnsi="Arial" w:cs="Arial" w:hint="eastAsia"/>
          <w:bCs/>
        </w:rPr>
        <w:t>或现场勘查而得，评估机构对所收集资料的真实性、准确性负责。</w:t>
      </w:r>
    </w:p>
    <w:p w14:paraId="17CC2BE5" w14:textId="77777777" w:rsidR="0062768B" w:rsidRDefault="00136729">
      <w:pPr>
        <w:adjustRightInd/>
        <w:spacing w:line="300" w:lineRule="auto"/>
        <w:jc w:val="both"/>
        <w:rPr>
          <w:rFonts w:ascii="Arial" w:eastAsia="仿宋_GB2312" w:hAnsi="Arial" w:cs="Arial"/>
          <w:bCs/>
        </w:rPr>
      </w:pPr>
      <w:r>
        <w:rPr>
          <w:rFonts w:ascii="Arial" w:eastAsia="仿宋_GB2312" w:hAnsi="Arial" w:cs="Arial" w:hint="eastAsia"/>
          <w:bCs/>
        </w:rPr>
        <w:t>（三）本报告仅为出让方通过集体决策确定估价对象土地出让底价提供参考依据</w:t>
      </w:r>
      <w:r>
        <w:rPr>
          <w:rFonts w:ascii="Arial" w:eastAsia="仿宋_GB2312" w:hAnsi="Arial" w:cs="Arial"/>
          <w:bCs/>
        </w:rPr>
        <w:t>。</w:t>
      </w:r>
    </w:p>
    <w:p w14:paraId="0EBCAAA4" w14:textId="77777777" w:rsidR="0062768B" w:rsidRDefault="00136729">
      <w:pPr>
        <w:spacing w:line="300" w:lineRule="auto"/>
        <w:rPr>
          <w:rFonts w:ascii="Arial" w:eastAsia="仿宋_GB2312" w:hAnsi="Arial" w:cs="Arial"/>
          <w:bCs/>
        </w:rPr>
      </w:pPr>
      <w:r>
        <w:rPr>
          <w:rFonts w:ascii="Arial" w:eastAsia="仿宋_GB2312" w:hAnsi="Arial" w:cs="Arial"/>
          <w:bCs/>
        </w:rPr>
        <w:t xml:space="preserve"> </w:t>
      </w:r>
    </w:p>
    <w:p w14:paraId="76EAFCC3" w14:textId="77777777" w:rsidR="0062768B" w:rsidRDefault="0062768B">
      <w:pPr>
        <w:spacing w:line="300" w:lineRule="auto"/>
        <w:ind w:firstLine="7500"/>
        <w:jc w:val="right"/>
        <w:rPr>
          <w:rFonts w:ascii="Arial" w:eastAsia="仿宋_GB2312" w:hAnsi="Arial" w:cs="Arial"/>
          <w:bCs/>
        </w:rPr>
      </w:pPr>
    </w:p>
    <w:p w14:paraId="2FEFC4F8" w14:textId="77777777" w:rsidR="0062768B" w:rsidRDefault="00136729">
      <w:pPr>
        <w:spacing w:line="300" w:lineRule="auto"/>
        <w:ind w:firstLine="3828"/>
        <w:jc w:val="right"/>
        <w:rPr>
          <w:rFonts w:ascii="Arial" w:eastAsia="仿宋_GB2312" w:hAnsi="Arial" w:cs="Arial"/>
          <w:bCs/>
        </w:rPr>
      </w:pPr>
      <w:r>
        <w:rPr>
          <w:rFonts w:ascii="Arial" w:eastAsia="仿宋_GB2312" w:hAnsi="Arial" w:cs="Arial"/>
          <w:bCs/>
        </w:rPr>
        <w:t>估价机构：</w:t>
      </w:r>
      <w:proofErr w:type="gramStart"/>
      <w:r>
        <w:rPr>
          <w:rFonts w:ascii="Arial" w:eastAsia="仿宋_GB2312" w:hAnsi="Arial" w:cs="Arial"/>
          <w:bCs/>
        </w:rPr>
        <w:t>北京康正宏</w:t>
      </w:r>
      <w:proofErr w:type="gramEnd"/>
      <w:r>
        <w:rPr>
          <w:rFonts w:ascii="Arial" w:eastAsia="仿宋_GB2312" w:hAnsi="Arial" w:cs="Arial"/>
          <w:bCs/>
        </w:rPr>
        <w:t>基房地产评估有限公司</w:t>
      </w:r>
      <w:r>
        <w:rPr>
          <w:rFonts w:ascii="Arial" w:eastAsia="仿宋_GB2312" w:hAnsi="Arial" w:cs="Arial"/>
          <w:bCs/>
        </w:rPr>
        <w:t xml:space="preserve">  </w:t>
      </w:r>
    </w:p>
    <w:p w14:paraId="1C6428F3" w14:textId="77777777" w:rsidR="0062768B" w:rsidRDefault="0062768B">
      <w:pPr>
        <w:spacing w:line="300" w:lineRule="auto"/>
        <w:ind w:firstLine="3828"/>
        <w:jc w:val="right"/>
        <w:rPr>
          <w:rFonts w:ascii="Arial" w:eastAsia="仿宋_GB2312" w:hAnsi="Arial" w:cs="Arial"/>
          <w:bCs/>
        </w:rPr>
      </w:pPr>
    </w:p>
    <w:p w14:paraId="4983B75C" w14:textId="026FE688" w:rsidR="0062768B" w:rsidRDefault="00136729">
      <w:pPr>
        <w:spacing w:line="300" w:lineRule="auto"/>
        <w:ind w:firstLine="3828"/>
        <w:jc w:val="right"/>
        <w:rPr>
          <w:rFonts w:ascii="Arial" w:eastAsia="仿宋_GB2312" w:hAnsi="Arial" w:cs="Arial"/>
          <w:sz w:val="28"/>
        </w:rPr>
      </w:pPr>
      <w:r>
        <w:rPr>
          <w:rFonts w:ascii="Arial" w:eastAsia="仿宋_GB2312" w:hAnsi="Arial" w:cs="Arial"/>
          <w:bCs/>
        </w:rPr>
        <w:t xml:space="preserve">              </w:t>
      </w:r>
      <w:r w:rsidR="00036F92">
        <w:rPr>
          <w:rFonts w:ascii="Arial" w:eastAsia="仿宋_GB2312" w:hAnsi="Arial" w:cs="Arial"/>
          <w:bCs/>
        </w:rPr>
        <w:t>2023</w:t>
      </w:r>
      <w:r w:rsidR="00036F92">
        <w:rPr>
          <w:rFonts w:ascii="Arial" w:eastAsia="仿宋_GB2312" w:hAnsi="Arial" w:cs="Arial"/>
          <w:bCs/>
        </w:rPr>
        <w:t>年</w:t>
      </w:r>
      <w:r w:rsidR="00036F92">
        <w:rPr>
          <w:rFonts w:ascii="Arial" w:eastAsia="仿宋_GB2312" w:hAnsi="Arial" w:cs="Arial"/>
          <w:bCs/>
        </w:rPr>
        <w:t>6</w:t>
      </w:r>
      <w:r w:rsidR="00036F92">
        <w:rPr>
          <w:rFonts w:ascii="Arial" w:eastAsia="仿宋_GB2312" w:hAnsi="Arial" w:cs="Arial"/>
          <w:bCs/>
        </w:rPr>
        <w:t>月</w:t>
      </w:r>
      <w:r w:rsidR="00036F92">
        <w:rPr>
          <w:rFonts w:ascii="Arial" w:eastAsia="仿宋_GB2312" w:hAnsi="Arial" w:cs="Arial"/>
          <w:bCs/>
        </w:rPr>
        <w:t>27</w:t>
      </w:r>
      <w:r w:rsidR="00036F92">
        <w:rPr>
          <w:rFonts w:ascii="Arial" w:eastAsia="仿宋_GB2312" w:hAnsi="Arial" w:cs="Arial"/>
          <w:bCs/>
        </w:rPr>
        <w:t>日</w:t>
      </w:r>
    </w:p>
    <w:p w14:paraId="5D1E3064" w14:textId="77777777" w:rsidR="0062768B" w:rsidRDefault="0062768B">
      <w:pPr>
        <w:spacing w:line="300" w:lineRule="auto"/>
        <w:ind w:firstLineChars="1600" w:firstLine="4480"/>
        <w:rPr>
          <w:rFonts w:ascii="Arial" w:eastAsia="仿宋_GB2312" w:hAnsi="Arial" w:cs="Arial"/>
          <w:sz w:val="28"/>
        </w:rPr>
        <w:sectPr w:rsidR="0062768B">
          <w:headerReference w:type="first" r:id="rId26"/>
          <w:pgSz w:w="11907" w:h="16840"/>
          <w:pgMar w:top="1418" w:right="1418" w:bottom="1134" w:left="1418" w:header="794" w:footer="907" w:gutter="0"/>
          <w:cols w:space="720"/>
          <w:titlePg/>
          <w:docGrid w:linePitch="326"/>
        </w:sectPr>
      </w:pPr>
    </w:p>
    <w:p w14:paraId="6A3362B6" w14:textId="77777777" w:rsidR="0062768B" w:rsidRDefault="00136729">
      <w:pPr>
        <w:spacing w:line="300" w:lineRule="auto"/>
        <w:jc w:val="center"/>
        <w:outlineLvl w:val="0"/>
        <w:rPr>
          <w:rFonts w:ascii="Arial" w:hAnsi="Arial" w:cs="Arial"/>
          <w:b/>
          <w:sz w:val="32"/>
        </w:rPr>
      </w:pPr>
      <w:bookmarkStart w:id="85" w:name="_Toc520261134"/>
      <w:bookmarkStart w:id="86" w:name="_Toc531701560"/>
      <w:bookmarkStart w:id="87" w:name="_Toc515458366"/>
      <w:bookmarkStart w:id="88" w:name="_Toc132016730"/>
      <w:bookmarkStart w:id="89" w:name="_Toc425250313"/>
      <w:bookmarkStart w:id="90" w:name="_Toc416783528"/>
      <w:bookmarkStart w:id="91" w:name="_Toc418750891"/>
      <w:bookmarkStart w:id="92" w:name="_Toc469066311"/>
      <w:bookmarkStart w:id="93" w:name="_Toc138063000"/>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估价对象界定</w:t>
      </w:r>
      <w:bookmarkEnd w:id="85"/>
      <w:bookmarkEnd w:id="86"/>
      <w:bookmarkEnd w:id="87"/>
      <w:bookmarkEnd w:id="88"/>
      <w:bookmarkEnd w:id="89"/>
      <w:bookmarkEnd w:id="90"/>
      <w:bookmarkEnd w:id="91"/>
      <w:bookmarkEnd w:id="92"/>
      <w:bookmarkEnd w:id="93"/>
    </w:p>
    <w:p w14:paraId="505EE005" w14:textId="77777777" w:rsidR="0062768B" w:rsidRDefault="0062768B">
      <w:pPr>
        <w:spacing w:line="300" w:lineRule="auto"/>
        <w:rPr>
          <w:rFonts w:ascii="Arial" w:eastAsia="仿宋_GB2312" w:hAnsi="Arial" w:cs="Arial"/>
          <w:sz w:val="28"/>
        </w:rPr>
      </w:pPr>
    </w:p>
    <w:p w14:paraId="62C4FBFA" w14:textId="77777777" w:rsidR="0062768B" w:rsidRDefault="00136729">
      <w:pPr>
        <w:spacing w:line="300" w:lineRule="auto"/>
        <w:outlineLvl w:val="1"/>
        <w:rPr>
          <w:rFonts w:ascii="Arial" w:eastAsia="仿宋_GB2312" w:hAnsi="Arial" w:cs="Arial"/>
          <w:b/>
          <w:sz w:val="28"/>
        </w:rPr>
      </w:pPr>
      <w:bookmarkStart w:id="94" w:name="_Toc416783529"/>
      <w:bookmarkStart w:id="95" w:name="_Toc515261594"/>
      <w:bookmarkStart w:id="96" w:name="_Toc138063001"/>
      <w:bookmarkStart w:id="97" w:name="_Toc469066312"/>
      <w:bookmarkStart w:id="98" w:name="_Toc418750892"/>
      <w:bookmarkStart w:id="99" w:name="_Toc425250314"/>
      <w:bookmarkStart w:id="100" w:name="_Toc132016731"/>
      <w:bookmarkStart w:id="101" w:name="_Toc531701561"/>
      <w:bookmarkStart w:id="102" w:name="_Toc520261135"/>
      <w:bookmarkStart w:id="103" w:name="_Toc515458367"/>
      <w:bookmarkStart w:id="104" w:name="_Toc469066315"/>
      <w:bookmarkStart w:id="105" w:name="_Toc425250317"/>
      <w:bookmarkStart w:id="106" w:name="_Toc418750895"/>
      <w:bookmarkStart w:id="107" w:name="_Toc416783532"/>
      <w:r>
        <w:rPr>
          <w:rFonts w:ascii="Arial" w:eastAsia="仿宋_GB2312" w:hAnsi="Arial" w:cs="Arial"/>
          <w:b/>
          <w:sz w:val="28"/>
        </w:rPr>
        <w:t>一、委托估价方</w:t>
      </w:r>
      <w:bookmarkEnd w:id="94"/>
      <w:bookmarkEnd w:id="95"/>
      <w:bookmarkEnd w:id="96"/>
      <w:bookmarkEnd w:id="97"/>
      <w:bookmarkEnd w:id="98"/>
      <w:bookmarkEnd w:id="99"/>
      <w:bookmarkEnd w:id="100"/>
      <w:bookmarkEnd w:id="101"/>
      <w:bookmarkEnd w:id="102"/>
      <w:bookmarkEnd w:id="103"/>
    </w:p>
    <w:p w14:paraId="3A038FB2" w14:textId="77777777" w:rsidR="0062768B" w:rsidRDefault="00136729">
      <w:pPr>
        <w:spacing w:line="300" w:lineRule="auto"/>
        <w:ind w:firstLine="570"/>
        <w:jc w:val="both"/>
        <w:rPr>
          <w:rFonts w:ascii="Arial" w:eastAsia="仿宋_GB2312" w:hAnsi="Arial" w:cs="Arial"/>
          <w:sz w:val="28"/>
        </w:rPr>
      </w:pPr>
      <w:r>
        <w:rPr>
          <w:rFonts w:ascii="Arial" w:eastAsia="仿宋_GB2312" w:hAnsi="Arial" w:cs="Arial"/>
          <w:sz w:val="28"/>
        </w:rPr>
        <w:t>本次评估委托估价方为</w:t>
      </w:r>
      <w:r>
        <w:rPr>
          <w:rFonts w:ascii="Arial" w:eastAsia="仿宋" w:hAnsi="Arial" w:cs="Arial" w:hint="eastAsia"/>
          <w:bCs/>
          <w:sz w:val="28"/>
          <w:szCs w:val="28"/>
        </w:rPr>
        <w:t>北京市</w:t>
      </w:r>
      <w:r>
        <w:rPr>
          <w:rFonts w:ascii="Arial" w:eastAsia="仿宋" w:hAnsi="Arial" w:cs="Arial"/>
          <w:bCs/>
          <w:sz w:val="28"/>
          <w:szCs w:val="28"/>
        </w:rPr>
        <w:t>规划和自然资源委员会</w:t>
      </w:r>
      <w:r>
        <w:rPr>
          <w:rFonts w:ascii="Arial" w:eastAsia="仿宋_GB2312" w:hAnsi="Arial" w:cs="Arial"/>
          <w:sz w:val="28"/>
        </w:rPr>
        <w:t>。</w:t>
      </w:r>
    </w:p>
    <w:p w14:paraId="35AC6C64" w14:textId="77777777" w:rsidR="0062768B" w:rsidRDefault="00136729">
      <w:pPr>
        <w:snapToGrid w:val="0"/>
        <w:spacing w:line="300" w:lineRule="auto"/>
        <w:ind w:firstLine="556"/>
        <w:rPr>
          <w:rFonts w:ascii="Arial" w:eastAsia="仿宋" w:hAnsi="Arial" w:cs="Arial"/>
          <w:sz w:val="28"/>
          <w:szCs w:val="28"/>
        </w:rPr>
      </w:pPr>
      <w:r>
        <w:rPr>
          <w:rFonts w:ascii="Arial" w:eastAsia="仿宋" w:hAnsi="Arial" w:cs="Arial"/>
          <w:sz w:val="28"/>
          <w:szCs w:val="28"/>
        </w:rPr>
        <w:t>单位地址：北京市通州区承安路</w:t>
      </w:r>
      <w:r>
        <w:rPr>
          <w:rFonts w:ascii="Arial" w:eastAsia="仿宋" w:hAnsi="Arial" w:cs="Arial"/>
          <w:sz w:val="28"/>
          <w:szCs w:val="28"/>
        </w:rPr>
        <w:t>1</w:t>
      </w:r>
      <w:r>
        <w:rPr>
          <w:rFonts w:ascii="Arial" w:eastAsia="仿宋" w:hAnsi="Arial" w:cs="Arial"/>
          <w:sz w:val="28"/>
          <w:szCs w:val="28"/>
        </w:rPr>
        <w:t>号院</w:t>
      </w:r>
    </w:p>
    <w:p w14:paraId="32C7122B" w14:textId="77777777" w:rsidR="0062768B" w:rsidRDefault="00136729">
      <w:pPr>
        <w:tabs>
          <w:tab w:val="left" w:pos="3125"/>
        </w:tabs>
        <w:spacing w:line="300" w:lineRule="auto"/>
        <w:ind w:firstLineChars="200" w:firstLine="560"/>
        <w:jc w:val="both"/>
        <w:rPr>
          <w:rFonts w:ascii="Arial" w:eastAsia="仿宋_GB2312" w:hAnsi="Arial" w:cs="Arial"/>
          <w:sz w:val="28"/>
        </w:rPr>
      </w:pPr>
      <w:r>
        <w:rPr>
          <w:rFonts w:ascii="Arial" w:eastAsia="仿宋" w:hAnsi="Arial" w:cs="Arial"/>
          <w:sz w:val="28"/>
          <w:szCs w:val="28"/>
        </w:rPr>
        <w:t>联系人：孙一鸣</w:t>
      </w:r>
      <w:r>
        <w:rPr>
          <w:rFonts w:ascii="Arial" w:eastAsia="仿宋_GB2312" w:hAnsi="Arial" w:cs="Arial"/>
          <w:sz w:val="28"/>
        </w:rPr>
        <w:tab/>
      </w:r>
    </w:p>
    <w:p w14:paraId="1A10CD4C" w14:textId="77777777" w:rsidR="0062768B" w:rsidRDefault="0062768B">
      <w:pPr>
        <w:adjustRightInd/>
        <w:spacing w:line="300" w:lineRule="auto"/>
        <w:ind w:firstLineChars="200" w:firstLine="560"/>
        <w:jc w:val="both"/>
        <w:rPr>
          <w:rFonts w:ascii="Arial" w:eastAsia="仿宋_GB2312" w:hAnsi="Arial" w:cs="Arial"/>
          <w:sz w:val="28"/>
        </w:rPr>
      </w:pPr>
    </w:p>
    <w:p w14:paraId="11A08FA4" w14:textId="77777777" w:rsidR="0062768B" w:rsidRDefault="00136729">
      <w:pPr>
        <w:spacing w:line="300" w:lineRule="auto"/>
        <w:outlineLvl w:val="1"/>
        <w:rPr>
          <w:rFonts w:ascii="Arial" w:eastAsia="仿宋_GB2312" w:hAnsi="Arial" w:cs="Arial"/>
          <w:b/>
          <w:sz w:val="28"/>
        </w:rPr>
      </w:pPr>
      <w:bookmarkStart w:id="108" w:name="_Toc418750893"/>
      <w:bookmarkStart w:id="109" w:name="_Toc469066313"/>
      <w:bookmarkStart w:id="110" w:name="_Toc531701562"/>
      <w:bookmarkStart w:id="111" w:name="_Toc132016732"/>
      <w:bookmarkStart w:id="112" w:name="_Toc416783530"/>
      <w:bookmarkStart w:id="113" w:name="_Toc138063002"/>
      <w:bookmarkStart w:id="114" w:name="_Toc515458368"/>
      <w:bookmarkStart w:id="115" w:name="_Toc520261136"/>
      <w:bookmarkStart w:id="116" w:name="_Toc425250315"/>
      <w:bookmarkStart w:id="117" w:name="_Toc515261595"/>
      <w:r>
        <w:rPr>
          <w:rFonts w:ascii="Arial" w:eastAsia="仿宋_GB2312" w:hAnsi="Arial" w:cs="Arial"/>
          <w:b/>
          <w:sz w:val="28"/>
        </w:rPr>
        <w:t>二、估价对象</w:t>
      </w:r>
      <w:bookmarkEnd w:id="108"/>
      <w:bookmarkEnd w:id="109"/>
      <w:bookmarkEnd w:id="110"/>
      <w:bookmarkEnd w:id="111"/>
      <w:bookmarkEnd w:id="112"/>
      <w:bookmarkEnd w:id="113"/>
      <w:bookmarkEnd w:id="114"/>
      <w:bookmarkEnd w:id="115"/>
      <w:bookmarkEnd w:id="116"/>
      <w:bookmarkEnd w:id="117"/>
    </w:p>
    <w:p w14:paraId="57B32E70" w14:textId="77777777" w:rsidR="0062768B" w:rsidRDefault="00136729">
      <w:pPr>
        <w:tabs>
          <w:tab w:val="left" w:pos="9027"/>
        </w:tabs>
        <w:adjustRightInd/>
        <w:spacing w:line="300" w:lineRule="auto"/>
        <w:ind w:firstLineChars="200" w:firstLine="560"/>
        <w:jc w:val="both"/>
        <w:rPr>
          <w:rFonts w:ascii="Arial" w:eastAsia="仿宋" w:hAnsi="Arial" w:cs="Arial"/>
          <w:sz w:val="28"/>
        </w:rPr>
      </w:pPr>
      <w:r>
        <w:rPr>
          <w:rFonts w:ascii="Arial" w:eastAsia="仿宋" w:hAnsi="Arial" w:cs="Arial"/>
          <w:sz w:val="28"/>
          <w:szCs w:val="28"/>
        </w:rPr>
        <w:t>估价对象</w:t>
      </w:r>
      <w:r>
        <w:rPr>
          <w:rFonts w:ascii="Arial" w:eastAsia="仿宋" w:hAnsi="Arial" w:cs="Arial"/>
          <w:sz w:val="28"/>
        </w:rPr>
        <w:t>北京市顺义区高丽营镇夏县营村</w:t>
      </w:r>
      <w:r>
        <w:rPr>
          <w:rFonts w:ascii="Arial" w:eastAsia="仿宋" w:hAnsi="Arial" w:cs="Arial"/>
          <w:sz w:val="28"/>
        </w:rPr>
        <w:t>01-008</w:t>
      </w:r>
      <w:r>
        <w:rPr>
          <w:rFonts w:ascii="Arial" w:eastAsia="仿宋" w:hAnsi="Arial" w:cs="Arial"/>
          <w:sz w:val="28"/>
        </w:rPr>
        <w:t>等</w:t>
      </w:r>
      <w:r>
        <w:rPr>
          <w:rFonts w:ascii="Arial" w:eastAsia="仿宋" w:hAnsi="Arial" w:cs="Arial"/>
          <w:sz w:val="28"/>
          <w:szCs w:val="28"/>
        </w:rPr>
        <w:t>地块位于</w:t>
      </w:r>
      <w:r>
        <w:rPr>
          <w:rFonts w:ascii="Arial" w:eastAsia="仿宋" w:hAnsi="Arial" w:cs="Arial"/>
          <w:sz w:val="28"/>
        </w:rPr>
        <w:t>顺义</w:t>
      </w:r>
      <w:r>
        <w:rPr>
          <w:rFonts w:ascii="Arial" w:eastAsia="仿宋" w:hAnsi="Arial" w:cs="Arial"/>
          <w:sz w:val="28"/>
          <w:szCs w:val="28"/>
        </w:rPr>
        <w:t>区</w:t>
      </w:r>
      <w:r>
        <w:rPr>
          <w:rFonts w:ascii="Arial" w:eastAsia="仿宋" w:hAnsi="Arial" w:cs="Arial"/>
          <w:sz w:val="28"/>
        </w:rPr>
        <w:t>高丽营</w:t>
      </w:r>
      <w:r>
        <w:rPr>
          <w:rFonts w:ascii="Arial" w:eastAsia="仿宋" w:hAnsi="Arial" w:cs="Arial"/>
          <w:sz w:val="28"/>
          <w:szCs w:val="28"/>
        </w:rPr>
        <w:t>镇夏县营村，东至</w:t>
      </w:r>
      <w:proofErr w:type="gramStart"/>
      <w:r>
        <w:rPr>
          <w:rFonts w:ascii="Arial" w:eastAsia="仿宋" w:hAnsi="Arial" w:cs="Arial"/>
          <w:sz w:val="28"/>
        </w:rPr>
        <w:t>火寺路</w:t>
      </w:r>
      <w:proofErr w:type="gramEnd"/>
      <w:r>
        <w:rPr>
          <w:rFonts w:ascii="Arial" w:eastAsia="仿宋" w:hAnsi="Arial" w:cs="Arial"/>
          <w:sz w:val="28"/>
          <w:szCs w:val="28"/>
        </w:rPr>
        <w:t>，西</w:t>
      </w:r>
      <w:proofErr w:type="gramStart"/>
      <w:r>
        <w:rPr>
          <w:rFonts w:ascii="Arial" w:eastAsia="仿宋" w:hAnsi="Arial" w:cs="Arial"/>
          <w:sz w:val="28"/>
          <w:szCs w:val="28"/>
        </w:rPr>
        <w:t>至</w:t>
      </w:r>
      <w:r>
        <w:rPr>
          <w:rFonts w:ascii="Arial" w:eastAsia="仿宋" w:hAnsi="Arial" w:cs="Arial"/>
          <w:sz w:val="28"/>
        </w:rPr>
        <w:t>喜夏</w:t>
      </w:r>
      <w:proofErr w:type="gramEnd"/>
      <w:r>
        <w:rPr>
          <w:rFonts w:ascii="Arial" w:eastAsia="仿宋" w:hAnsi="Arial" w:cs="Arial"/>
          <w:sz w:val="28"/>
        </w:rPr>
        <w:t>街</w:t>
      </w:r>
      <w:r>
        <w:rPr>
          <w:rFonts w:ascii="Arial" w:eastAsia="仿宋" w:hAnsi="Arial" w:cs="Arial"/>
          <w:sz w:val="28"/>
          <w:szCs w:val="28"/>
        </w:rPr>
        <w:t>，南至</w:t>
      </w:r>
      <w:r>
        <w:rPr>
          <w:rFonts w:ascii="Arial" w:eastAsia="仿宋" w:hAnsi="Arial" w:cs="Arial"/>
          <w:sz w:val="28"/>
        </w:rPr>
        <w:t>夏鑫街</w:t>
      </w:r>
      <w:r>
        <w:rPr>
          <w:rFonts w:ascii="Arial" w:eastAsia="仿宋" w:hAnsi="Arial" w:cs="Arial"/>
          <w:sz w:val="28"/>
          <w:szCs w:val="28"/>
        </w:rPr>
        <w:t>，北至</w:t>
      </w:r>
      <w:proofErr w:type="gramStart"/>
      <w:r>
        <w:rPr>
          <w:rFonts w:ascii="Arial" w:eastAsia="仿宋" w:hAnsi="Arial" w:cs="Arial"/>
          <w:sz w:val="28"/>
        </w:rPr>
        <w:t>鑫</w:t>
      </w:r>
      <w:proofErr w:type="gramEnd"/>
      <w:r>
        <w:rPr>
          <w:rFonts w:ascii="Arial" w:eastAsia="仿宋" w:hAnsi="Arial" w:cs="Arial"/>
          <w:sz w:val="28"/>
        </w:rPr>
        <w:t>鼎街</w:t>
      </w:r>
      <w:r>
        <w:rPr>
          <w:rFonts w:ascii="Arial" w:eastAsia="仿宋" w:hAnsi="Arial" w:cs="Arial"/>
          <w:sz w:val="28"/>
          <w:szCs w:val="28"/>
        </w:rPr>
        <w:t>。该宗地已取得</w:t>
      </w:r>
      <w:r>
        <w:rPr>
          <w:rFonts w:ascii="Arial" w:eastAsia="仿宋" w:hAnsi="Arial" w:cs="Arial"/>
          <w:sz w:val="28"/>
        </w:rPr>
        <w:t>《北京市人民政府关于顺义区二〇二〇年度批次建设用地的批复》（</w:t>
      </w:r>
      <w:proofErr w:type="gramStart"/>
      <w:r>
        <w:rPr>
          <w:rFonts w:ascii="Arial" w:eastAsia="仿宋" w:hAnsi="Arial" w:cs="Arial"/>
          <w:sz w:val="28"/>
        </w:rPr>
        <w:t>京政地字</w:t>
      </w:r>
      <w:proofErr w:type="gramEnd"/>
      <w:r>
        <w:rPr>
          <w:rFonts w:ascii="Arial" w:eastAsia="仿宋" w:hAnsi="Arial" w:cs="Arial"/>
          <w:sz w:val="28"/>
        </w:rPr>
        <w:t>【</w:t>
      </w:r>
      <w:r>
        <w:rPr>
          <w:rFonts w:ascii="Arial" w:eastAsia="仿宋" w:hAnsi="Arial" w:cs="Arial"/>
          <w:sz w:val="28"/>
        </w:rPr>
        <w:t>2020</w:t>
      </w:r>
      <w:r>
        <w:rPr>
          <w:rFonts w:ascii="Arial" w:eastAsia="仿宋" w:hAnsi="Arial" w:cs="Arial"/>
          <w:sz w:val="28"/>
        </w:rPr>
        <w:t>】</w:t>
      </w:r>
      <w:r>
        <w:rPr>
          <w:rFonts w:ascii="Arial" w:eastAsia="仿宋" w:hAnsi="Arial" w:cs="Arial"/>
          <w:sz w:val="28"/>
        </w:rPr>
        <w:t>121</w:t>
      </w:r>
      <w:r>
        <w:rPr>
          <w:rFonts w:ascii="Arial" w:eastAsia="仿宋" w:hAnsi="Arial" w:cs="Arial"/>
          <w:sz w:val="28"/>
        </w:rPr>
        <w:t>号）</w:t>
      </w:r>
      <w:r>
        <w:rPr>
          <w:rFonts w:ascii="Arial" w:eastAsia="仿宋" w:hAnsi="Arial" w:cs="Arial"/>
          <w:sz w:val="28"/>
          <w:szCs w:val="28"/>
        </w:rPr>
        <w:t>，同意</w:t>
      </w:r>
      <w:r>
        <w:rPr>
          <w:rFonts w:ascii="Arial" w:eastAsia="仿宋" w:hAnsi="Arial" w:cs="Arial"/>
          <w:sz w:val="28"/>
        </w:rPr>
        <w:t>北京中交城市开发有限公司</w:t>
      </w:r>
      <w:r>
        <w:rPr>
          <w:rFonts w:ascii="Arial" w:eastAsia="仿宋" w:hAnsi="Arial" w:cs="Arial"/>
          <w:sz w:val="28"/>
          <w:szCs w:val="28"/>
        </w:rPr>
        <w:t>实施</w:t>
      </w:r>
      <w:r>
        <w:rPr>
          <w:rFonts w:ascii="Arial" w:eastAsia="仿宋" w:hAnsi="Arial" w:cs="Arial"/>
          <w:sz w:val="28"/>
        </w:rPr>
        <w:t>顺义</w:t>
      </w:r>
      <w:r>
        <w:rPr>
          <w:rFonts w:ascii="Arial" w:eastAsia="仿宋" w:hAnsi="Arial" w:cs="Arial"/>
          <w:sz w:val="28"/>
          <w:szCs w:val="28"/>
        </w:rPr>
        <w:t>区高丽营镇夏县营村棚户区</w:t>
      </w:r>
      <w:r>
        <w:rPr>
          <w:rFonts w:ascii="Arial" w:eastAsia="仿宋" w:hAnsi="Arial" w:cs="Arial"/>
          <w:sz w:val="28"/>
        </w:rPr>
        <w:t>，</w:t>
      </w:r>
      <w:r>
        <w:rPr>
          <w:rFonts w:ascii="Arial" w:eastAsia="仿宋" w:hAnsi="Arial" w:cs="Arial"/>
          <w:sz w:val="28"/>
          <w:szCs w:val="28"/>
        </w:rPr>
        <w:t>其中经营性建设用地入市公开交易。根据《北京市规划和自然资源委员会顺义分局关于顺义区高丽营镇夏县营村棚户区改造土地开发项目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01-015-1</w:t>
      </w:r>
      <w:r>
        <w:rPr>
          <w:rFonts w:ascii="Arial" w:eastAsia="仿宋" w:hAnsi="Arial" w:cs="Arial"/>
          <w:sz w:val="28"/>
          <w:szCs w:val="28"/>
        </w:rPr>
        <w:t>、</w:t>
      </w:r>
      <w:r>
        <w:rPr>
          <w:rFonts w:ascii="Arial" w:eastAsia="仿宋" w:hAnsi="Arial" w:cs="Arial"/>
          <w:sz w:val="28"/>
          <w:szCs w:val="28"/>
        </w:rPr>
        <w:t>01-015-2</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w:t>
      </w:r>
      <w:r>
        <w:rPr>
          <w:rFonts w:ascii="Arial" w:eastAsia="仿宋" w:hAnsi="Arial" w:cs="Arial"/>
          <w:sz w:val="28"/>
          <w:szCs w:val="28"/>
        </w:rPr>
        <w:t>01-025</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等二类居住用地、托幼用地、商业用地地块</w:t>
      </w:r>
      <w:r>
        <w:rPr>
          <w:rFonts w:ascii="Arial" w:eastAsia="仿宋" w:hAnsi="Arial" w:cs="Arial"/>
          <w:sz w:val="28"/>
          <w:szCs w:val="28"/>
        </w:rPr>
        <w:t>“</w:t>
      </w:r>
      <w:r>
        <w:rPr>
          <w:rFonts w:ascii="Arial" w:eastAsia="仿宋" w:hAnsi="Arial" w:cs="Arial"/>
          <w:sz w:val="28"/>
          <w:szCs w:val="28"/>
        </w:rPr>
        <w:t>多规合一</w:t>
      </w:r>
      <w:r>
        <w:rPr>
          <w:rFonts w:ascii="Arial" w:eastAsia="仿宋" w:hAnsi="Arial" w:cs="Arial"/>
          <w:sz w:val="28"/>
          <w:szCs w:val="28"/>
        </w:rPr>
        <w:t>”</w:t>
      </w:r>
      <w:r>
        <w:rPr>
          <w:rFonts w:ascii="Arial" w:eastAsia="仿宋" w:hAnsi="Arial" w:cs="Arial"/>
          <w:sz w:val="28"/>
          <w:szCs w:val="28"/>
        </w:rPr>
        <w:t>协同平台供地审核意见的函》（京</w:t>
      </w:r>
      <w:proofErr w:type="gramStart"/>
      <w:r>
        <w:rPr>
          <w:rFonts w:ascii="Arial" w:eastAsia="仿宋" w:hAnsi="Arial" w:cs="Arial"/>
          <w:sz w:val="28"/>
          <w:szCs w:val="28"/>
        </w:rPr>
        <w:t>规</w:t>
      </w:r>
      <w:proofErr w:type="gramEnd"/>
      <w:r>
        <w:rPr>
          <w:rFonts w:ascii="Arial" w:eastAsia="仿宋" w:hAnsi="Arial" w:cs="Arial"/>
          <w:sz w:val="28"/>
          <w:szCs w:val="28"/>
        </w:rPr>
        <w:t>自（顺）</w:t>
      </w:r>
      <w:proofErr w:type="gramStart"/>
      <w:r>
        <w:rPr>
          <w:rFonts w:ascii="Arial" w:eastAsia="仿宋" w:hAnsi="Arial" w:cs="Arial"/>
          <w:sz w:val="28"/>
          <w:szCs w:val="28"/>
        </w:rPr>
        <w:t>供审函</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0004</w:t>
      </w:r>
      <w:r>
        <w:rPr>
          <w:rFonts w:ascii="Arial" w:eastAsia="仿宋" w:hAnsi="Arial" w:cs="Arial"/>
          <w:sz w:val="28"/>
          <w:szCs w:val="28"/>
        </w:rPr>
        <w:t>号）</w:t>
      </w:r>
      <w:r>
        <w:rPr>
          <w:rFonts w:ascii="Arial" w:eastAsia="仿宋" w:hAnsi="Arial" w:cs="Arial"/>
          <w:sz w:val="28"/>
          <w:szCs w:val="28"/>
        </w:rPr>
        <w:t>,</w:t>
      </w:r>
      <w:r>
        <w:rPr>
          <w:rFonts w:ascii="Arial" w:eastAsia="仿宋" w:hAnsi="Arial" w:cs="Arial"/>
          <w:sz w:val="28"/>
          <w:szCs w:val="28"/>
        </w:rPr>
        <w:t>估价对象规划建设用地性质为</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类居住用地及</w:t>
      </w:r>
      <w:r>
        <w:rPr>
          <w:rFonts w:ascii="Arial" w:eastAsia="仿宋" w:hAnsi="Arial" w:cs="Arial"/>
          <w:sz w:val="28"/>
        </w:rPr>
        <w:t>A334</w:t>
      </w:r>
      <w:r>
        <w:rPr>
          <w:rFonts w:ascii="Arial" w:eastAsia="仿宋" w:hAnsi="Arial" w:cs="Arial"/>
          <w:sz w:val="28"/>
        </w:rPr>
        <w:t>托幼</w:t>
      </w:r>
      <w:r>
        <w:rPr>
          <w:rFonts w:ascii="Arial" w:eastAsia="仿宋" w:hAnsi="Arial" w:cs="Arial"/>
          <w:sz w:val="28"/>
          <w:szCs w:val="28"/>
        </w:rPr>
        <w:t>用地，</w:t>
      </w:r>
      <w:r>
        <w:rPr>
          <w:rFonts w:ascii="Arial" w:eastAsia="仿宋" w:hAnsi="Arial" w:cs="Arial"/>
          <w:bCs/>
          <w:sz w:val="28"/>
          <w:szCs w:val="28"/>
        </w:rPr>
        <w:t>北京市规划和自然资源委员会</w:t>
      </w:r>
      <w:proofErr w:type="gramStart"/>
      <w:r>
        <w:rPr>
          <w:rFonts w:ascii="Arial" w:eastAsia="仿宋" w:hAnsi="Arial" w:cs="Arial"/>
          <w:sz w:val="28"/>
          <w:szCs w:val="28"/>
        </w:rPr>
        <w:t>拟按照</w:t>
      </w:r>
      <w:proofErr w:type="gramEnd"/>
      <w:r>
        <w:rPr>
          <w:rFonts w:ascii="Arial" w:eastAsia="仿宋" w:hAnsi="Arial" w:cs="Arial"/>
          <w:sz w:val="28"/>
          <w:szCs w:val="28"/>
        </w:rPr>
        <w:t>规划用途对估价对象实施挂牌供应。</w:t>
      </w:r>
    </w:p>
    <w:p w14:paraId="100970CE" w14:textId="77777777" w:rsidR="0062768B" w:rsidRDefault="00136729">
      <w:pPr>
        <w:tabs>
          <w:tab w:val="left" w:pos="9027"/>
        </w:tabs>
        <w:adjustRightInd/>
        <w:spacing w:line="300" w:lineRule="auto"/>
        <w:ind w:firstLineChars="200" w:firstLine="560"/>
        <w:jc w:val="both"/>
        <w:rPr>
          <w:rFonts w:ascii="Arial" w:eastAsia="仿宋" w:hAnsi="Arial" w:cs="Arial"/>
          <w:sz w:val="28"/>
        </w:rPr>
      </w:pPr>
      <w:r>
        <w:rPr>
          <w:rFonts w:ascii="Arial" w:eastAsia="仿宋" w:hAnsi="Arial" w:cs="Arial"/>
          <w:sz w:val="28"/>
          <w:szCs w:val="28"/>
        </w:rPr>
        <w:t>根据</w:t>
      </w:r>
      <w:r>
        <w:rPr>
          <w:rFonts w:ascii="Arial" w:eastAsia="仿宋" w:hAnsi="Arial" w:cs="Arial"/>
          <w:sz w:val="28"/>
        </w:rPr>
        <w:t>《北京市规划和自然资源委员会顺义分局关于顺义区高丽营镇夏县营村棚户区改造土地开发项目</w:t>
      </w:r>
      <w:r>
        <w:rPr>
          <w:rFonts w:ascii="Arial" w:eastAsia="仿宋" w:hAnsi="Arial" w:cs="Arial"/>
          <w:sz w:val="28"/>
        </w:rPr>
        <w:t>01-008</w:t>
      </w:r>
      <w:r>
        <w:rPr>
          <w:rFonts w:ascii="Arial" w:eastAsia="仿宋" w:hAnsi="Arial" w:cs="Arial"/>
          <w:sz w:val="28"/>
        </w:rPr>
        <w:t>、</w:t>
      </w:r>
      <w:r>
        <w:rPr>
          <w:rFonts w:ascii="Arial" w:eastAsia="仿宋" w:hAnsi="Arial" w:cs="Arial"/>
          <w:sz w:val="28"/>
        </w:rPr>
        <w:t>01-015-1</w:t>
      </w:r>
      <w:r>
        <w:rPr>
          <w:rFonts w:ascii="Arial" w:eastAsia="仿宋" w:hAnsi="Arial" w:cs="Arial"/>
          <w:sz w:val="28"/>
        </w:rPr>
        <w:t>、</w:t>
      </w:r>
      <w:r>
        <w:rPr>
          <w:rFonts w:ascii="Arial" w:eastAsia="仿宋" w:hAnsi="Arial" w:cs="Arial"/>
          <w:sz w:val="28"/>
        </w:rPr>
        <w:t>01-015-2</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01-020</w:t>
      </w:r>
      <w:r>
        <w:rPr>
          <w:rFonts w:ascii="Arial" w:eastAsia="仿宋" w:hAnsi="Arial" w:cs="Arial"/>
          <w:sz w:val="28"/>
        </w:rPr>
        <w:t>、</w:t>
      </w:r>
      <w:r>
        <w:rPr>
          <w:rFonts w:ascii="Arial" w:eastAsia="仿宋" w:hAnsi="Arial" w:cs="Arial"/>
          <w:sz w:val="28"/>
        </w:rPr>
        <w:t>01-025</w:t>
      </w:r>
      <w:r>
        <w:rPr>
          <w:rFonts w:ascii="Arial" w:eastAsia="仿宋" w:hAnsi="Arial" w:cs="Arial"/>
          <w:sz w:val="28"/>
        </w:rPr>
        <w:t>、</w:t>
      </w:r>
      <w:r>
        <w:rPr>
          <w:rFonts w:ascii="Arial" w:eastAsia="仿宋" w:hAnsi="Arial" w:cs="Arial"/>
          <w:sz w:val="28"/>
        </w:rPr>
        <w:t>01-026-1</w:t>
      </w:r>
      <w:r>
        <w:rPr>
          <w:rFonts w:ascii="Arial" w:eastAsia="仿宋" w:hAnsi="Arial" w:cs="Arial"/>
          <w:sz w:val="28"/>
        </w:rPr>
        <w:t>等二类居住用地、托幼用地、商业用地地块</w:t>
      </w:r>
      <w:r>
        <w:rPr>
          <w:rFonts w:ascii="Arial" w:eastAsia="仿宋" w:hAnsi="Arial" w:cs="Arial"/>
          <w:sz w:val="28"/>
        </w:rPr>
        <w:t>“</w:t>
      </w:r>
      <w:r>
        <w:rPr>
          <w:rFonts w:ascii="Arial" w:eastAsia="仿宋" w:hAnsi="Arial" w:cs="Arial"/>
          <w:sz w:val="28"/>
        </w:rPr>
        <w:t>多规合一</w:t>
      </w:r>
      <w:r>
        <w:rPr>
          <w:rFonts w:ascii="Arial" w:eastAsia="仿宋" w:hAnsi="Arial" w:cs="Arial"/>
          <w:sz w:val="28"/>
        </w:rPr>
        <w:t>”</w:t>
      </w:r>
      <w:r>
        <w:rPr>
          <w:rFonts w:ascii="Arial" w:eastAsia="仿宋" w:hAnsi="Arial" w:cs="Arial"/>
          <w:sz w:val="28"/>
        </w:rPr>
        <w:t>协同平台供地审核意见的函》（京</w:t>
      </w:r>
      <w:proofErr w:type="gramStart"/>
      <w:r>
        <w:rPr>
          <w:rFonts w:ascii="Arial" w:eastAsia="仿宋" w:hAnsi="Arial" w:cs="Arial"/>
          <w:sz w:val="28"/>
        </w:rPr>
        <w:t>规</w:t>
      </w:r>
      <w:proofErr w:type="gramEnd"/>
      <w:r>
        <w:rPr>
          <w:rFonts w:ascii="Arial" w:eastAsia="仿宋" w:hAnsi="Arial" w:cs="Arial"/>
          <w:sz w:val="28"/>
        </w:rPr>
        <w:t>自（顺）</w:t>
      </w:r>
      <w:proofErr w:type="gramStart"/>
      <w:r>
        <w:rPr>
          <w:rFonts w:ascii="Arial" w:eastAsia="仿宋" w:hAnsi="Arial" w:cs="Arial"/>
          <w:sz w:val="28"/>
        </w:rPr>
        <w:t>供审函</w:t>
      </w:r>
      <w:proofErr w:type="gramEnd"/>
      <w:r>
        <w:rPr>
          <w:rFonts w:ascii="Arial" w:eastAsia="仿宋" w:hAnsi="Arial" w:cs="Arial"/>
          <w:sz w:val="28"/>
        </w:rPr>
        <w:t>【</w:t>
      </w:r>
      <w:r>
        <w:rPr>
          <w:rFonts w:ascii="Arial" w:eastAsia="仿宋" w:hAnsi="Arial" w:cs="Arial"/>
          <w:sz w:val="28"/>
        </w:rPr>
        <w:t>2023</w:t>
      </w:r>
      <w:r>
        <w:rPr>
          <w:rFonts w:ascii="Arial" w:eastAsia="仿宋" w:hAnsi="Arial" w:cs="Arial"/>
          <w:sz w:val="28"/>
        </w:rPr>
        <w:t>】</w:t>
      </w:r>
      <w:r>
        <w:rPr>
          <w:rFonts w:ascii="Arial" w:eastAsia="仿宋" w:hAnsi="Arial" w:cs="Arial"/>
          <w:sz w:val="28"/>
        </w:rPr>
        <w:t>0004</w:t>
      </w:r>
      <w:r>
        <w:rPr>
          <w:rFonts w:ascii="Arial" w:eastAsia="仿宋" w:hAnsi="Arial" w:cs="Arial"/>
          <w:sz w:val="28"/>
        </w:rPr>
        <w:t>号），本次估价对象</w:t>
      </w:r>
      <w:r>
        <w:rPr>
          <w:rFonts w:ascii="Arial" w:eastAsia="仿宋" w:hAnsi="Arial" w:cs="Arial"/>
          <w:sz w:val="28"/>
        </w:rPr>
        <w:t>01-008</w:t>
      </w:r>
      <w:r>
        <w:rPr>
          <w:rFonts w:ascii="Arial" w:eastAsia="仿宋" w:hAnsi="Arial" w:cs="Arial"/>
          <w:sz w:val="28"/>
        </w:rPr>
        <w:t>等地块共</w:t>
      </w:r>
      <w:r>
        <w:rPr>
          <w:rFonts w:ascii="Arial" w:eastAsia="仿宋" w:hAnsi="Arial" w:cs="Arial"/>
          <w:sz w:val="28"/>
        </w:rPr>
        <w:t>4</w:t>
      </w:r>
      <w:r>
        <w:rPr>
          <w:rFonts w:ascii="Arial" w:eastAsia="仿宋" w:hAnsi="Arial" w:cs="Arial"/>
          <w:sz w:val="28"/>
        </w:rPr>
        <w:t>宗地，用地规模合计为</w:t>
      </w:r>
      <w:r>
        <w:rPr>
          <w:rFonts w:ascii="Arial" w:eastAsia="仿宋" w:hAnsi="Arial" w:cs="Arial"/>
          <w:sz w:val="28"/>
        </w:rPr>
        <w:t>60990.43</w:t>
      </w:r>
      <w:r>
        <w:rPr>
          <w:rFonts w:ascii="Arial" w:eastAsia="仿宋" w:hAnsi="Arial" w:cs="Arial"/>
          <w:sz w:val="28"/>
        </w:rPr>
        <w:t>平方米，全部为建设用地，建筑规模合计为</w:t>
      </w:r>
      <w:r>
        <w:rPr>
          <w:rFonts w:ascii="Arial" w:eastAsia="仿宋" w:hAnsi="Arial" w:cs="Arial"/>
          <w:sz w:val="28"/>
        </w:rPr>
        <w:t>71508.52</w:t>
      </w:r>
      <w:r>
        <w:rPr>
          <w:rFonts w:ascii="Arial" w:eastAsia="仿宋" w:hAnsi="Arial" w:cs="Arial"/>
          <w:sz w:val="28"/>
        </w:rPr>
        <w:t>平方米。</w:t>
      </w:r>
      <w:r>
        <w:rPr>
          <w:rFonts w:ascii="Arial" w:eastAsia="仿宋" w:hAnsi="Arial" w:cs="Arial"/>
          <w:sz w:val="28"/>
          <w:szCs w:val="28"/>
        </w:rPr>
        <w:t>其中，估价对象</w:t>
      </w:r>
      <w:r>
        <w:rPr>
          <w:rFonts w:ascii="Arial" w:eastAsia="仿宋" w:hAnsi="Arial" w:cs="Arial"/>
          <w:sz w:val="28"/>
        </w:rPr>
        <w:t>01-008</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24804.85</w:t>
      </w:r>
      <w:r>
        <w:rPr>
          <w:rFonts w:ascii="Arial" w:eastAsia="仿宋" w:hAnsi="Arial" w:cs="Arial"/>
          <w:sz w:val="28"/>
        </w:rPr>
        <w:t>平方米，地上建筑规模为</w:t>
      </w:r>
      <w:r>
        <w:rPr>
          <w:rFonts w:ascii="Arial" w:eastAsia="仿宋" w:hAnsi="Arial" w:cs="Arial"/>
          <w:sz w:val="28"/>
        </w:rPr>
        <w:t>29765.82</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w:t>
      </w:r>
      <w:r>
        <w:rPr>
          <w:rFonts w:ascii="Arial" w:eastAsia="仿宋" w:hAnsi="Arial" w:cs="Arial"/>
          <w:sz w:val="28"/>
          <w:szCs w:val="28"/>
        </w:rPr>
        <w:t>估价对象</w:t>
      </w:r>
      <w:r>
        <w:rPr>
          <w:rFonts w:ascii="Arial" w:eastAsia="仿宋" w:hAnsi="Arial" w:cs="Arial"/>
          <w:sz w:val="28"/>
        </w:rPr>
        <w:t>01-016</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23103.85</w:t>
      </w:r>
      <w:r>
        <w:rPr>
          <w:rFonts w:ascii="Arial" w:eastAsia="仿宋" w:hAnsi="Arial" w:cs="Arial"/>
          <w:sz w:val="28"/>
        </w:rPr>
        <w:t>平方米，地上建筑规模为</w:t>
      </w:r>
      <w:r>
        <w:rPr>
          <w:rFonts w:ascii="Arial" w:eastAsia="仿宋" w:hAnsi="Arial" w:cs="Arial"/>
          <w:sz w:val="28"/>
        </w:rPr>
        <w:t>27724.62</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w:t>
      </w:r>
      <w:r>
        <w:rPr>
          <w:rFonts w:ascii="Arial" w:eastAsia="仿宋" w:hAnsi="Arial" w:cs="Arial"/>
          <w:sz w:val="28"/>
          <w:szCs w:val="28"/>
        </w:rPr>
        <w:t>估价对象</w:t>
      </w:r>
      <w:r>
        <w:rPr>
          <w:rFonts w:ascii="Arial" w:eastAsia="仿宋" w:hAnsi="Arial" w:cs="Arial"/>
          <w:sz w:val="28"/>
          <w:szCs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8881.75</w:t>
      </w:r>
      <w:r>
        <w:rPr>
          <w:rFonts w:ascii="Arial" w:eastAsia="仿宋" w:hAnsi="Arial" w:cs="Arial"/>
          <w:sz w:val="28"/>
        </w:rPr>
        <w:t>平方米，地上建筑规模为</w:t>
      </w:r>
      <w:r>
        <w:rPr>
          <w:rFonts w:ascii="Arial" w:eastAsia="仿宋" w:hAnsi="Arial" w:cs="Arial"/>
          <w:sz w:val="28"/>
        </w:rPr>
        <w:t>10658.10</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w:t>
      </w:r>
      <w:r>
        <w:rPr>
          <w:rFonts w:ascii="Arial" w:eastAsia="仿宋" w:hAnsi="Arial" w:cs="Arial"/>
          <w:sz w:val="28"/>
        </w:rPr>
        <w:t xml:space="preserve"> </w:t>
      </w:r>
      <w:r>
        <w:rPr>
          <w:rFonts w:ascii="Arial" w:eastAsia="仿宋" w:hAnsi="Arial" w:cs="Arial"/>
          <w:sz w:val="28"/>
        </w:rPr>
        <w:t>另有</w:t>
      </w:r>
      <w:r>
        <w:rPr>
          <w:rFonts w:ascii="Arial" w:eastAsia="仿宋" w:hAnsi="Arial" w:cs="Arial"/>
          <w:sz w:val="28"/>
          <w:szCs w:val="28"/>
        </w:rPr>
        <w:t>估价对象</w:t>
      </w:r>
      <w:r>
        <w:rPr>
          <w:rFonts w:ascii="Arial" w:eastAsia="仿宋" w:hAnsi="Arial" w:cs="Arial"/>
          <w:sz w:val="28"/>
        </w:rPr>
        <w:t>01-020</w:t>
      </w:r>
      <w:r>
        <w:rPr>
          <w:rFonts w:ascii="Arial" w:eastAsia="仿宋" w:hAnsi="Arial" w:cs="Arial"/>
          <w:sz w:val="28"/>
        </w:rPr>
        <w:t>地块</w:t>
      </w:r>
      <w:r>
        <w:rPr>
          <w:rFonts w:ascii="Arial" w:eastAsia="仿宋" w:hAnsi="Arial" w:cs="Arial"/>
          <w:sz w:val="28"/>
        </w:rPr>
        <w:lastRenderedPageBreak/>
        <w:t>（</w:t>
      </w:r>
      <w:r>
        <w:rPr>
          <w:rFonts w:ascii="Arial" w:eastAsia="仿宋" w:hAnsi="Arial" w:cs="Arial"/>
          <w:sz w:val="28"/>
        </w:rPr>
        <w:t>A334</w:t>
      </w:r>
      <w:r>
        <w:rPr>
          <w:rFonts w:ascii="Arial" w:eastAsia="仿宋" w:hAnsi="Arial" w:cs="Arial"/>
          <w:sz w:val="28"/>
        </w:rPr>
        <w:t>托幼用地，不出让）建设用地规模为</w:t>
      </w:r>
      <w:r>
        <w:rPr>
          <w:rFonts w:ascii="Arial" w:eastAsia="仿宋" w:hAnsi="Arial" w:cs="Arial"/>
          <w:sz w:val="28"/>
        </w:rPr>
        <w:t>4199.98</w:t>
      </w:r>
      <w:r>
        <w:rPr>
          <w:rFonts w:ascii="Arial" w:eastAsia="仿宋" w:hAnsi="Arial" w:cs="Arial"/>
          <w:sz w:val="28"/>
        </w:rPr>
        <w:t>平方米，地上建筑规模为</w:t>
      </w:r>
      <w:r>
        <w:rPr>
          <w:rFonts w:ascii="Arial" w:eastAsia="仿宋" w:hAnsi="Arial" w:cs="Arial"/>
          <w:sz w:val="28"/>
        </w:rPr>
        <w:t>3359.98</w:t>
      </w:r>
      <w:r>
        <w:rPr>
          <w:rFonts w:ascii="Arial" w:eastAsia="仿宋" w:hAnsi="Arial" w:cs="Arial"/>
          <w:sz w:val="28"/>
        </w:rPr>
        <w:t>平方米，容积率为</w:t>
      </w:r>
      <w:r>
        <w:rPr>
          <w:rFonts w:ascii="Arial" w:eastAsia="仿宋" w:hAnsi="Arial" w:cs="Arial"/>
          <w:sz w:val="28"/>
        </w:rPr>
        <w:t>0.8</w:t>
      </w:r>
      <w:r>
        <w:rPr>
          <w:rFonts w:ascii="Arial" w:eastAsia="仿宋" w:hAnsi="Arial" w:cs="Arial"/>
          <w:sz w:val="28"/>
        </w:rPr>
        <w:t>。根据《北京市人民政府关于更新出让国有建设用地使用权基准地价的通知》（京政发（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号）中的相关规定，本次评估</w:t>
      </w:r>
      <w:r>
        <w:rPr>
          <w:rFonts w:ascii="Arial" w:eastAsia="仿宋" w:hAnsi="Arial" w:cs="Arial"/>
          <w:sz w:val="28"/>
        </w:rPr>
        <w:t>01-008</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类居住用地）容积率为</w:t>
      </w:r>
      <w:r>
        <w:rPr>
          <w:rFonts w:ascii="Arial" w:eastAsia="仿宋" w:hAnsi="Arial" w:cs="Arial"/>
          <w:sz w:val="28"/>
        </w:rPr>
        <w:t>1.2</w:t>
      </w:r>
      <w:r>
        <w:rPr>
          <w:rFonts w:ascii="Arial" w:eastAsia="仿宋" w:hAnsi="Arial" w:cs="Arial"/>
          <w:sz w:val="28"/>
        </w:rPr>
        <w:t>；具体详见下表：</w:t>
      </w:r>
    </w:p>
    <w:p w14:paraId="55395AD0" w14:textId="77777777" w:rsidR="0062768B" w:rsidRDefault="00136729">
      <w:pPr>
        <w:tabs>
          <w:tab w:val="left" w:pos="9027"/>
        </w:tabs>
        <w:spacing w:line="300" w:lineRule="auto"/>
        <w:jc w:val="center"/>
        <w:rPr>
          <w:rFonts w:ascii="Arial" w:eastAsia="仿宋_GB2312" w:hAnsi="Arial" w:cs="Arial"/>
          <w:b/>
          <w:sz w:val="28"/>
          <w:szCs w:val="28"/>
        </w:rPr>
      </w:pPr>
      <w:r>
        <w:rPr>
          <w:rFonts w:ascii="Arial" w:eastAsia="仿宋_GB2312" w:hAnsi="Arial" w:cs="Arial"/>
          <w:b/>
          <w:sz w:val="28"/>
          <w:szCs w:val="28"/>
        </w:rPr>
        <w:t>土地用途及建筑规模表</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600"/>
        <w:gridCol w:w="2180"/>
        <w:gridCol w:w="1599"/>
        <w:gridCol w:w="1160"/>
        <w:gridCol w:w="1744"/>
        <w:gridCol w:w="1015"/>
      </w:tblGrid>
      <w:tr w:rsidR="0062768B" w14:paraId="460BA81B" w14:textId="77777777">
        <w:trPr>
          <w:cantSplit/>
          <w:jc w:val="center"/>
        </w:trPr>
        <w:tc>
          <w:tcPr>
            <w:tcW w:w="860" w:type="pct"/>
            <w:vAlign w:val="center"/>
          </w:tcPr>
          <w:p w14:paraId="145DBE73"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规划地块编号</w:t>
            </w:r>
          </w:p>
        </w:tc>
        <w:tc>
          <w:tcPr>
            <w:tcW w:w="1172" w:type="pct"/>
            <w:vAlign w:val="center"/>
          </w:tcPr>
          <w:p w14:paraId="6B5FEFEE"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用地性质</w:t>
            </w:r>
          </w:p>
        </w:tc>
        <w:tc>
          <w:tcPr>
            <w:tcW w:w="860" w:type="pct"/>
            <w:vAlign w:val="center"/>
          </w:tcPr>
          <w:p w14:paraId="5A847977"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建设用地规模</w:t>
            </w:r>
          </w:p>
          <w:p w14:paraId="2734BBC0"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（平方米）</w:t>
            </w:r>
          </w:p>
        </w:tc>
        <w:tc>
          <w:tcPr>
            <w:tcW w:w="624" w:type="pct"/>
            <w:vAlign w:val="center"/>
          </w:tcPr>
          <w:p w14:paraId="2D136F58"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容积率</w:t>
            </w:r>
          </w:p>
        </w:tc>
        <w:tc>
          <w:tcPr>
            <w:tcW w:w="938" w:type="pct"/>
            <w:vAlign w:val="center"/>
          </w:tcPr>
          <w:p w14:paraId="5DA35E74"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地上建筑规模</w:t>
            </w:r>
          </w:p>
          <w:p w14:paraId="5F6B8006"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（平方米）</w:t>
            </w:r>
          </w:p>
        </w:tc>
        <w:tc>
          <w:tcPr>
            <w:tcW w:w="546" w:type="pct"/>
            <w:vAlign w:val="center"/>
          </w:tcPr>
          <w:p w14:paraId="3A1B57FF"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备注</w:t>
            </w:r>
          </w:p>
        </w:tc>
      </w:tr>
      <w:tr w:rsidR="0062768B" w14:paraId="48115EBF" w14:textId="77777777">
        <w:trPr>
          <w:cantSplit/>
          <w:jc w:val="center"/>
        </w:trPr>
        <w:tc>
          <w:tcPr>
            <w:tcW w:w="860" w:type="pct"/>
            <w:vAlign w:val="center"/>
          </w:tcPr>
          <w:p w14:paraId="483CDED0"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01-008</w:t>
            </w:r>
          </w:p>
        </w:tc>
        <w:tc>
          <w:tcPr>
            <w:tcW w:w="1172" w:type="pct"/>
            <w:vMerge w:val="restart"/>
            <w:vAlign w:val="center"/>
          </w:tcPr>
          <w:p w14:paraId="623CA495"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p>
        </w:tc>
        <w:tc>
          <w:tcPr>
            <w:tcW w:w="860" w:type="pct"/>
            <w:vAlign w:val="center"/>
          </w:tcPr>
          <w:p w14:paraId="4B82CBDC"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24804.85</w:t>
            </w:r>
          </w:p>
        </w:tc>
        <w:tc>
          <w:tcPr>
            <w:tcW w:w="624" w:type="pct"/>
            <w:vMerge w:val="restart"/>
            <w:vAlign w:val="center"/>
          </w:tcPr>
          <w:p w14:paraId="73D387B1"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1.2</w:t>
            </w:r>
          </w:p>
        </w:tc>
        <w:tc>
          <w:tcPr>
            <w:tcW w:w="938" w:type="pct"/>
            <w:vAlign w:val="center"/>
          </w:tcPr>
          <w:p w14:paraId="15098A2A"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29765.82</w:t>
            </w:r>
          </w:p>
        </w:tc>
        <w:tc>
          <w:tcPr>
            <w:tcW w:w="546" w:type="pct"/>
            <w:vAlign w:val="center"/>
          </w:tcPr>
          <w:p w14:paraId="2A062049"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w:t>
            </w:r>
          </w:p>
        </w:tc>
      </w:tr>
      <w:tr w:rsidR="0062768B" w14:paraId="1AB297E0" w14:textId="77777777">
        <w:trPr>
          <w:cantSplit/>
          <w:jc w:val="center"/>
        </w:trPr>
        <w:tc>
          <w:tcPr>
            <w:tcW w:w="860" w:type="pct"/>
            <w:vAlign w:val="center"/>
          </w:tcPr>
          <w:p w14:paraId="5D6C9123"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01-016</w:t>
            </w:r>
          </w:p>
        </w:tc>
        <w:tc>
          <w:tcPr>
            <w:tcW w:w="1172" w:type="pct"/>
            <w:vMerge/>
            <w:vAlign w:val="center"/>
          </w:tcPr>
          <w:p w14:paraId="2908DE0F" w14:textId="77777777" w:rsidR="0062768B" w:rsidRDefault="0062768B">
            <w:pPr>
              <w:snapToGrid w:val="0"/>
              <w:spacing w:line="240" w:lineRule="exact"/>
              <w:jc w:val="center"/>
              <w:rPr>
                <w:rFonts w:ascii="Arial" w:eastAsia="仿宋" w:hAnsi="Arial" w:cs="Arial"/>
                <w:sz w:val="18"/>
                <w:szCs w:val="18"/>
              </w:rPr>
            </w:pPr>
          </w:p>
        </w:tc>
        <w:tc>
          <w:tcPr>
            <w:tcW w:w="860" w:type="pct"/>
            <w:vAlign w:val="center"/>
          </w:tcPr>
          <w:p w14:paraId="543B9FF8"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23103.85</w:t>
            </w:r>
          </w:p>
        </w:tc>
        <w:tc>
          <w:tcPr>
            <w:tcW w:w="624" w:type="pct"/>
            <w:vMerge/>
            <w:vAlign w:val="center"/>
          </w:tcPr>
          <w:p w14:paraId="0E74C19E" w14:textId="77777777" w:rsidR="0062768B" w:rsidRDefault="0062768B">
            <w:pPr>
              <w:snapToGrid w:val="0"/>
              <w:spacing w:line="240" w:lineRule="exact"/>
              <w:jc w:val="center"/>
              <w:rPr>
                <w:rFonts w:ascii="Arial" w:eastAsia="仿宋" w:hAnsi="Arial" w:cs="Arial"/>
                <w:sz w:val="18"/>
                <w:szCs w:val="18"/>
              </w:rPr>
            </w:pPr>
          </w:p>
        </w:tc>
        <w:tc>
          <w:tcPr>
            <w:tcW w:w="938" w:type="pct"/>
            <w:vAlign w:val="center"/>
          </w:tcPr>
          <w:p w14:paraId="303479AE"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27724.62</w:t>
            </w:r>
          </w:p>
        </w:tc>
        <w:tc>
          <w:tcPr>
            <w:tcW w:w="546" w:type="pct"/>
            <w:vAlign w:val="center"/>
          </w:tcPr>
          <w:p w14:paraId="682CD349"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w:t>
            </w:r>
          </w:p>
        </w:tc>
      </w:tr>
      <w:tr w:rsidR="0062768B" w14:paraId="3B081E11" w14:textId="77777777">
        <w:trPr>
          <w:cantSplit/>
          <w:jc w:val="center"/>
        </w:trPr>
        <w:tc>
          <w:tcPr>
            <w:tcW w:w="860" w:type="pct"/>
            <w:vAlign w:val="center"/>
          </w:tcPr>
          <w:p w14:paraId="5079259F"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01-026-1</w:t>
            </w:r>
          </w:p>
        </w:tc>
        <w:tc>
          <w:tcPr>
            <w:tcW w:w="1172" w:type="pct"/>
            <w:vMerge/>
            <w:vAlign w:val="center"/>
          </w:tcPr>
          <w:p w14:paraId="52A515E9" w14:textId="77777777" w:rsidR="0062768B" w:rsidRDefault="0062768B">
            <w:pPr>
              <w:snapToGrid w:val="0"/>
              <w:spacing w:line="240" w:lineRule="exact"/>
              <w:jc w:val="center"/>
              <w:rPr>
                <w:rFonts w:ascii="Arial" w:eastAsia="仿宋" w:hAnsi="Arial" w:cs="Arial"/>
                <w:sz w:val="18"/>
                <w:szCs w:val="18"/>
              </w:rPr>
            </w:pPr>
          </w:p>
        </w:tc>
        <w:tc>
          <w:tcPr>
            <w:tcW w:w="860" w:type="pct"/>
            <w:vAlign w:val="center"/>
          </w:tcPr>
          <w:p w14:paraId="22465A9F"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8881.75</w:t>
            </w:r>
          </w:p>
        </w:tc>
        <w:tc>
          <w:tcPr>
            <w:tcW w:w="624" w:type="pct"/>
            <w:vMerge/>
            <w:vAlign w:val="center"/>
          </w:tcPr>
          <w:p w14:paraId="000F4A7A" w14:textId="77777777" w:rsidR="0062768B" w:rsidRDefault="0062768B">
            <w:pPr>
              <w:snapToGrid w:val="0"/>
              <w:spacing w:line="240" w:lineRule="exact"/>
              <w:jc w:val="center"/>
              <w:rPr>
                <w:rFonts w:ascii="Arial" w:eastAsia="仿宋" w:hAnsi="Arial" w:cs="Arial"/>
                <w:sz w:val="18"/>
                <w:szCs w:val="18"/>
              </w:rPr>
            </w:pPr>
          </w:p>
        </w:tc>
        <w:tc>
          <w:tcPr>
            <w:tcW w:w="938" w:type="pct"/>
            <w:vAlign w:val="center"/>
          </w:tcPr>
          <w:p w14:paraId="65A8CD16"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10658.10</w:t>
            </w:r>
          </w:p>
        </w:tc>
        <w:tc>
          <w:tcPr>
            <w:tcW w:w="546" w:type="pct"/>
            <w:vAlign w:val="center"/>
          </w:tcPr>
          <w:p w14:paraId="17D0A9A0"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w:t>
            </w:r>
          </w:p>
        </w:tc>
      </w:tr>
      <w:tr w:rsidR="0062768B" w14:paraId="5E693ACE" w14:textId="77777777">
        <w:trPr>
          <w:cantSplit/>
          <w:jc w:val="center"/>
        </w:trPr>
        <w:tc>
          <w:tcPr>
            <w:tcW w:w="2032" w:type="pct"/>
            <w:gridSpan w:val="2"/>
            <w:vAlign w:val="center"/>
          </w:tcPr>
          <w:p w14:paraId="41763BD5"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小计</w:t>
            </w:r>
          </w:p>
        </w:tc>
        <w:tc>
          <w:tcPr>
            <w:tcW w:w="860" w:type="pct"/>
            <w:vAlign w:val="center"/>
          </w:tcPr>
          <w:p w14:paraId="6FE2230F"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56790.45</w:t>
            </w:r>
          </w:p>
        </w:tc>
        <w:tc>
          <w:tcPr>
            <w:tcW w:w="624" w:type="pct"/>
            <w:vAlign w:val="center"/>
          </w:tcPr>
          <w:p w14:paraId="5167D7A1"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1.2</w:t>
            </w:r>
          </w:p>
        </w:tc>
        <w:tc>
          <w:tcPr>
            <w:tcW w:w="938" w:type="pct"/>
            <w:vAlign w:val="center"/>
          </w:tcPr>
          <w:p w14:paraId="17C82BF5"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68148.54</w:t>
            </w:r>
          </w:p>
        </w:tc>
        <w:tc>
          <w:tcPr>
            <w:tcW w:w="546" w:type="pct"/>
            <w:vAlign w:val="center"/>
          </w:tcPr>
          <w:p w14:paraId="754B2221" w14:textId="77777777" w:rsidR="0062768B" w:rsidRDefault="0062768B">
            <w:pPr>
              <w:snapToGrid w:val="0"/>
              <w:spacing w:line="240" w:lineRule="exact"/>
              <w:jc w:val="center"/>
              <w:rPr>
                <w:rFonts w:ascii="Arial" w:eastAsia="仿宋" w:hAnsi="Arial" w:cs="Arial"/>
                <w:sz w:val="18"/>
                <w:szCs w:val="18"/>
              </w:rPr>
            </w:pPr>
          </w:p>
        </w:tc>
      </w:tr>
      <w:tr w:rsidR="0062768B" w14:paraId="7D76966B" w14:textId="77777777">
        <w:trPr>
          <w:cantSplit/>
          <w:jc w:val="center"/>
        </w:trPr>
        <w:tc>
          <w:tcPr>
            <w:tcW w:w="860" w:type="pct"/>
            <w:vAlign w:val="center"/>
          </w:tcPr>
          <w:p w14:paraId="0601E38E"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01-020</w:t>
            </w:r>
          </w:p>
        </w:tc>
        <w:tc>
          <w:tcPr>
            <w:tcW w:w="1172" w:type="pct"/>
            <w:vAlign w:val="center"/>
          </w:tcPr>
          <w:p w14:paraId="11837596"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A334</w:t>
            </w:r>
            <w:r>
              <w:rPr>
                <w:rFonts w:ascii="Arial" w:eastAsia="仿宋" w:hAnsi="Arial" w:cs="Arial"/>
                <w:sz w:val="18"/>
                <w:szCs w:val="18"/>
              </w:rPr>
              <w:t>托幼用地</w:t>
            </w:r>
          </w:p>
        </w:tc>
        <w:tc>
          <w:tcPr>
            <w:tcW w:w="860" w:type="pct"/>
            <w:vAlign w:val="center"/>
          </w:tcPr>
          <w:p w14:paraId="7B42BB67"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4199.98</w:t>
            </w:r>
          </w:p>
        </w:tc>
        <w:tc>
          <w:tcPr>
            <w:tcW w:w="624" w:type="pct"/>
            <w:vAlign w:val="center"/>
          </w:tcPr>
          <w:p w14:paraId="4A1C5C4C"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0.8</w:t>
            </w:r>
          </w:p>
        </w:tc>
        <w:tc>
          <w:tcPr>
            <w:tcW w:w="938" w:type="pct"/>
            <w:vAlign w:val="center"/>
          </w:tcPr>
          <w:p w14:paraId="3D0DAF71"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3359.98</w:t>
            </w:r>
          </w:p>
        </w:tc>
        <w:tc>
          <w:tcPr>
            <w:tcW w:w="546" w:type="pct"/>
            <w:vAlign w:val="center"/>
          </w:tcPr>
          <w:p w14:paraId="5110681A"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不出让</w:t>
            </w:r>
          </w:p>
        </w:tc>
      </w:tr>
      <w:tr w:rsidR="0062768B" w14:paraId="4D9E2D93" w14:textId="77777777">
        <w:trPr>
          <w:cantSplit/>
          <w:jc w:val="center"/>
        </w:trPr>
        <w:tc>
          <w:tcPr>
            <w:tcW w:w="2032" w:type="pct"/>
            <w:gridSpan w:val="2"/>
            <w:vAlign w:val="center"/>
          </w:tcPr>
          <w:p w14:paraId="49757311"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小计</w:t>
            </w:r>
          </w:p>
        </w:tc>
        <w:tc>
          <w:tcPr>
            <w:tcW w:w="860" w:type="pct"/>
            <w:vAlign w:val="center"/>
          </w:tcPr>
          <w:p w14:paraId="39CC381B"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4199.98</w:t>
            </w:r>
          </w:p>
        </w:tc>
        <w:tc>
          <w:tcPr>
            <w:tcW w:w="624" w:type="pct"/>
            <w:vAlign w:val="center"/>
          </w:tcPr>
          <w:p w14:paraId="6A9130FC"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0.8</w:t>
            </w:r>
          </w:p>
        </w:tc>
        <w:tc>
          <w:tcPr>
            <w:tcW w:w="938" w:type="pct"/>
            <w:vAlign w:val="center"/>
          </w:tcPr>
          <w:p w14:paraId="5F1110D5"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3359.98</w:t>
            </w:r>
          </w:p>
        </w:tc>
        <w:tc>
          <w:tcPr>
            <w:tcW w:w="546" w:type="pct"/>
            <w:vAlign w:val="center"/>
          </w:tcPr>
          <w:p w14:paraId="2CBF9AB0" w14:textId="77777777" w:rsidR="0062768B" w:rsidRDefault="0062768B">
            <w:pPr>
              <w:snapToGrid w:val="0"/>
              <w:spacing w:line="240" w:lineRule="exact"/>
              <w:jc w:val="center"/>
              <w:rPr>
                <w:rFonts w:ascii="Arial" w:eastAsia="仿宋" w:hAnsi="Arial" w:cs="Arial"/>
                <w:sz w:val="18"/>
                <w:szCs w:val="18"/>
              </w:rPr>
            </w:pPr>
          </w:p>
        </w:tc>
      </w:tr>
      <w:tr w:rsidR="0062768B" w14:paraId="202C0263" w14:textId="77777777">
        <w:trPr>
          <w:cantSplit/>
          <w:jc w:val="center"/>
        </w:trPr>
        <w:tc>
          <w:tcPr>
            <w:tcW w:w="2032" w:type="pct"/>
            <w:gridSpan w:val="2"/>
            <w:vAlign w:val="center"/>
          </w:tcPr>
          <w:p w14:paraId="48473FDC"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合计</w:t>
            </w:r>
          </w:p>
        </w:tc>
        <w:tc>
          <w:tcPr>
            <w:tcW w:w="860" w:type="pct"/>
            <w:vAlign w:val="center"/>
          </w:tcPr>
          <w:p w14:paraId="7069C47E"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60990.43</w:t>
            </w:r>
          </w:p>
        </w:tc>
        <w:tc>
          <w:tcPr>
            <w:tcW w:w="624" w:type="pct"/>
            <w:vAlign w:val="center"/>
          </w:tcPr>
          <w:p w14:paraId="24A4135B"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w:t>
            </w:r>
          </w:p>
        </w:tc>
        <w:tc>
          <w:tcPr>
            <w:tcW w:w="938" w:type="pct"/>
            <w:vAlign w:val="center"/>
          </w:tcPr>
          <w:p w14:paraId="45874E05"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71508.52</w:t>
            </w:r>
          </w:p>
        </w:tc>
        <w:tc>
          <w:tcPr>
            <w:tcW w:w="546" w:type="pct"/>
            <w:vAlign w:val="center"/>
          </w:tcPr>
          <w:p w14:paraId="72C8E5FD"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w:t>
            </w:r>
          </w:p>
        </w:tc>
      </w:tr>
    </w:tbl>
    <w:p w14:paraId="536463F5" w14:textId="77777777" w:rsidR="0062768B" w:rsidRDefault="0062768B">
      <w:pPr>
        <w:tabs>
          <w:tab w:val="left" w:pos="1418"/>
        </w:tabs>
        <w:adjustRightInd/>
        <w:spacing w:line="240" w:lineRule="exact"/>
        <w:ind w:firstLine="578"/>
        <w:jc w:val="both"/>
        <w:rPr>
          <w:rFonts w:ascii="Arial" w:eastAsia="仿宋_GB2312" w:hAnsi="Arial" w:cs="Arial"/>
          <w:sz w:val="28"/>
        </w:rPr>
      </w:pPr>
    </w:p>
    <w:p w14:paraId="4D5B9F98" w14:textId="77777777" w:rsidR="0062768B" w:rsidRDefault="00136729">
      <w:pPr>
        <w:tabs>
          <w:tab w:val="left" w:pos="1418"/>
        </w:tabs>
        <w:adjustRightInd/>
        <w:spacing w:line="300" w:lineRule="auto"/>
        <w:ind w:firstLineChars="200" w:firstLine="560"/>
        <w:jc w:val="both"/>
        <w:rPr>
          <w:rFonts w:ascii="Arial" w:eastAsia="仿宋" w:hAnsi="Arial" w:cs="Arial"/>
          <w:sz w:val="28"/>
        </w:rPr>
      </w:pPr>
      <w:r>
        <w:rPr>
          <w:rFonts w:ascii="Arial" w:eastAsia="仿宋" w:hAnsi="Arial" w:cs="Arial"/>
          <w:sz w:val="28"/>
        </w:rPr>
        <w:t>估价对象规划用途为</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类居住用地及</w:t>
      </w:r>
      <w:r>
        <w:rPr>
          <w:rFonts w:ascii="Arial" w:eastAsia="仿宋" w:hAnsi="Arial" w:cs="Arial"/>
          <w:sz w:val="28"/>
        </w:rPr>
        <w:t>A334</w:t>
      </w:r>
      <w:r>
        <w:rPr>
          <w:rFonts w:ascii="Arial" w:eastAsia="仿宋" w:hAnsi="Arial" w:cs="Arial"/>
          <w:sz w:val="28"/>
        </w:rPr>
        <w:t>托幼用地</w:t>
      </w:r>
      <w:r>
        <w:rPr>
          <w:rFonts w:ascii="Arial" w:eastAsia="仿宋" w:hAnsi="Arial" w:cs="Arial"/>
          <w:sz w:val="28"/>
          <w:szCs w:val="28"/>
        </w:rPr>
        <w:t>，</w:t>
      </w:r>
      <w:r>
        <w:rPr>
          <w:rFonts w:ascii="Arial" w:eastAsia="仿宋" w:hAnsi="Arial" w:cs="Arial"/>
          <w:sz w:val="28"/>
        </w:rPr>
        <w:t>根据《北京市人民政府关于更新出让国有建设用地使用权基准地价的通知》（京政发（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号），评估设定用途为住宅、商业（其他商服）及公共服务，</w:t>
      </w:r>
      <w:r>
        <w:rPr>
          <w:rFonts w:ascii="Arial" w:eastAsia="仿宋" w:hAnsi="Arial" w:cs="Arial"/>
          <w:sz w:val="28"/>
          <w:szCs w:val="28"/>
        </w:rPr>
        <w:t>本次评估设定土地使用年限为住宅用途法定最高使用年限</w:t>
      </w:r>
      <w:r>
        <w:rPr>
          <w:rFonts w:ascii="Arial" w:eastAsia="仿宋" w:hAnsi="Arial" w:cs="Arial"/>
          <w:sz w:val="28"/>
          <w:szCs w:val="28"/>
        </w:rPr>
        <w:t>70</w:t>
      </w:r>
      <w:r>
        <w:rPr>
          <w:rFonts w:ascii="Arial" w:eastAsia="仿宋" w:hAnsi="Arial" w:cs="Arial"/>
          <w:sz w:val="28"/>
          <w:szCs w:val="28"/>
        </w:rPr>
        <w:t>年、商业</w:t>
      </w:r>
      <w:r>
        <w:rPr>
          <w:rFonts w:ascii="Arial" w:eastAsia="仿宋" w:hAnsi="Arial" w:cs="Arial"/>
          <w:sz w:val="28"/>
        </w:rPr>
        <w:t>（其他商服）</w:t>
      </w:r>
      <w:r>
        <w:rPr>
          <w:rFonts w:ascii="Arial" w:eastAsia="仿宋" w:hAnsi="Arial" w:cs="Arial"/>
          <w:sz w:val="28"/>
          <w:szCs w:val="28"/>
        </w:rPr>
        <w:t>用途法定最高使用年限</w:t>
      </w:r>
      <w:r>
        <w:rPr>
          <w:rFonts w:ascii="Arial" w:eastAsia="仿宋" w:hAnsi="Arial" w:cs="Arial"/>
          <w:sz w:val="28"/>
          <w:szCs w:val="28"/>
        </w:rPr>
        <w:t>40</w:t>
      </w:r>
      <w:r>
        <w:rPr>
          <w:rFonts w:ascii="Arial" w:eastAsia="仿宋" w:hAnsi="Arial" w:cs="Arial"/>
          <w:sz w:val="28"/>
          <w:szCs w:val="28"/>
        </w:rPr>
        <w:t>年、</w:t>
      </w:r>
      <w:r>
        <w:rPr>
          <w:rFonts w:ascii="Arial" w:eastAsia="仿宋" w:hAnsi="Arial" w:cs="Arial"/>
          <w:sz w:val="28"/>
        </w:rPr>
        <w:t>公共服务</w:t>
      </w:r>
      <w:r>
        <w:rPr>
          <w:rFonts w:ascii="Arial" w:eastAsia="仿宋" w:hAnsi="Arial" w:cs="Arial"/>
          <w:sz w:val="28"/>
          <w:szCs w:val="28"/>
        </w:rPr>
        <w:t>用途法定最高使用年限</w:t>
      </w:r>
      <w:r>
        <w:rPr>
          <w:rFonts w:ascii="Arial" w:eastAsia="仿宋" w:hAnsi="Arial" w:cs="Arial"/>
          <w:sz w:val="28"/>
          <w:szCs w:val="28"/>
        </w:rPr>
        <w:t>50</w:t>
      </w:r>
      <w:r>
        <w:rPr>
          <w:rFonts w:ascii="Arial" w:eastAsia="仿宋" w:hAnsi="Arial" w:cs="Arial"/>
          <w:sz w:val="28"/>
          <w:szCs w:val="28"/>
        </w:rPr>
        <w:t>年。</w:t>
      </w:r>
    </w:p>
    <w:p w14:paraId="4F067225" w14:textId="795AB38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rPr>
        <w:t>根据《北京市人民政府关于更新出让国有建设用地使用权基准地价的通知》（京政发（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号），估价对象属北京市基准地价住宅类九级</w:t>
      </w:r>
      <w:r>
        <w:rPr>
          <w:rFonts w:ascii="Arial" w:eastAsia="仿宋" w:hAnsi="Arial" w:cs="Arial"/>
          <w:sz w:val="28"/>
        </w:rPr>
        <w:t>IX-</w:t>
      </w:r>
      <w:r>
        <w:rPr>
          <w:rFonts w:ascii="Arial" w:eastAsia="仿宋" w:hAnsi="Arial" w:cs="Arial"/>
          <w:sz w:val="28"/>
        </w:rPr>
        <w:t>顺</w:t>
      </w:r>
      <w:r>
        <w:rPr>
          <w:rFonts w:ascii="Arial" w:eastAsia="仿宋" w:hAnsi="Arial" w:cs="Arial"/>
          <w:sz w:val="28"/>
        </w:rPr>
        <w:t>5</w:t>
      </w:r>
      <w:r>
        <w:rPr>
          <w:rFonts w:ascii="Arial" w:eastAsia="仿宋" w:hAnsi="Arial" w:cs="Arial"/>
          <w:sz w:val="28"/>
        </w:rPr>
        <w:t>区片、</w:t>
      </w:r>
      <w:proofErr w:type="gramStart"/>
      <w:r>
        <w:rPr>
          <w:rFonts w:ascii="Arial" w:eastAsia="仿宋" w:hAnsi="Arial" w:cs="Arial"/>
          <w:sz w:val="28"/>
        </w:rPr>
        <w:t>商服类九级</w:t>
      </w:r>
      <w:proofErr w:type="gramEnd"/>
      <w:r>
        <w:rPr>
          <w:rFonts w:ascii="Arial" w:eastAsia="仿宋" w:hAnsi="Arial" w:cs="Arial"/>
          <w:sz w:val="28"/>
        </w:rPr>
        <w:t>IX-</w:t>
      </w:r>
      <w:r>
        <w:rPr>
          <w:rFonts w:ascii="Arial" w:eastAsia="仿宋" w:hAnsi="Arial" w:cs="Arial"/>
          <w:sz w:val="28"/>
        </w:rPr>
        <w:t>顺</w:t>
      </w:r>
      <w:r>
        <w:rPr>
          <w:rFonts w:ascii="Arial" w:eastAsia="仿宋" w:hAnsi="Arial" w:cs="Arial"/>
          <w:sz w:val="28"/>
        </w:rPr>
        <w:t>5</w:t>
      </w:r>
      <w:r>
        <w:rPr>
          <w:rFonts w:ascii="Arial" w:eastAsia="仿宋" w:hAnsi="Arial" w:cs="Arial"/>
          <w:sz w:val="28"/>
        </w:rPr>
        <w:t>区片、公共服务类九级</w:t>
      </w:r>
      <w:r>
        <w:rPr>
          <w:rFonts w:ascii="Arial" w:eastAsia="仿宋" w:hAnsi="Arial" w:cs="Arial"/>
          <w:sz w:val="28"/>
        </w:rPr>
        <w:t>IX-</w:t>
      </w:r>
      <w:r>
        <w:rPr>
          <w:rFonts w:ascii="Arial" w:eastAsia="仿宋" w:hAnsi="Arial" w:cs="Arial"/>
          <w:sz w:val="28"/>
        </w:rPr>
        <w:t>顺</w:t>
      </w:r>
      <w:r>
        <w:rPr>
          <w:rFonts w:ascii="Arial" w:eastAsia="仿宋" w:hAnsi="Arial" w:cs="Arial"/>
          <w:sz w:val="28"/>
        </w:rPr>
        <w:t>5</w:t>
      </w:r>
      <w:r>
        <w:rPr>
          <w:rFonts w:ascii="Arial" w:eastAsia="仿宋" w:hAnsi="Arial" w:cs="Arial"/>
          <w:sz w:val="28"/>
        </w:rPr>
        <w:t>区片。于估价期日，估价对象所在宗地实际开发程度为</w:t>
      </w:r>
      <w:r>
        <w:rPr>
          <w:rFonts w:ascii="Arial" w:eastAsia="仿宋" w:hAnsi="Arial" w:cs="Arial"/>
          <w:sz w:val="28"/>
        </w:rPr>
        <w:t>“</w:t>
      </w:r>
      <w:r>
        <w:rPr>
          <w:rFonts w:ascii="Arial" w:eastAsia="仿宋" w:hAnsi="Arial" w:cs="Arial"/>
          <w:sz w:val="28"/>
        </w:rPr>
        <w:t>六通</w:t>
      </w:r>
      <w:r>
        <w:rPr>
          <w:rFonts w:ascii="Arial" w:eastAsia="仿宋" w:hAnsi="Arial" w:cs="Arial"/>
          <w:sz w:val="28"/>
        </w:rPr>
        <w:t>”</w:t>
      </w:r>
      <w:r>
        <w:rPr>
          <w:rFonts w:ascii="Arial" w:eastAsia="仿宋" w:hAnsi="Arial" w:cs="Arial"/>
          <w:sz w:val="28"/>
        </w:rPr>
        <w:t>（通路、通上水（自来水、中水）、通下水（雨水、污水）、通电（管沟、电缆）、通燃气、通热力）；评估设定土地开发程度为</w:t>
      </w:r>
      <w:r>
        <w:rPr>
          <w:rFonts w:ascii="Arial" w:eastAsia="仿宋" w:hAnsi="Arial" w:cs="Arial"/>
          <w:sz w:val="28"/>
        </w:rPr>
        <w:t>“</w:t>
      </w:r>
      <w:r>
        <w:rPr>
          <w:rFonts w:ascii="Arial" w:eastAsia="仿宋" w:hAnsi="Arial" w:cs="Arial"/>
          <w:sz w:val="28"/>
        </w:rPr>
        <w:t>六通</w:t>
      </w:r>
      <w:r>
        <w:rPr>
          <w:rFonts w:ascii="Arial" w:eastAsia="仿宋" w:hAnsi="Arial" w:cs="Arial"/>
          <w:sz w:val="28"/>
        </w:rPr>
        <w:t>”</w:t>
      </w:r>
      <w:r w:rsidR="00835791">
        <w:rPr>
          <w:rFonts w:ascii="Arial" w:eastAsia="仿宋" w:hAnsi="Arial" w:cs="Arial"/>
          <w:sz w:val="28"/>
        </w:rPr>
        <w:t>（通路、通上水（自来水、中水）、通下水（雨水、污水）、通电、通燃气、通热力）</w:t>
      </w:r>
      <w:r>
        <w:rPr>
          <w:rFonts w:ascii="Arial" w:eastAsia="仿宋" w:hAnsi="Arial" w:cs="Arial"/>
          <w:sz w:val="28"/>
          <w:szCs w:val="28"/>
        </w:rPr>
        <w:t>。</w:t>
      </w:r>
    </w:p>
    <w:p w14:paraId="4555CCCF" w14:textId="77777777" w:rsidR="0062768B" w:rsidRDefault="0062768B">
      <w:pPr>
        <w:spacing w:line="300" w:lineRule="auto"/>
        <w:ind w:firstLineChars="200" w:firstLine="562"/>
        <w:jc w:val="both"/>
        <w:rPr>
          <w:rFonts w:ascii="Arial" w:eastAsia="仿宋_GB2312" w:hAnsi="Arial" w:cs="Arial"/>
          <w:b/>
          <w:bCs/>
          <w:sz w:val="28"/>
          <w:szCs w:val="28"/>
        </w:rPr>
      </w:pPr>
    </w:p>
    <w:p w14:paraId="079EF31A" w14:textId="77777777" w:rsidR="0062768B" w:rsidRDefault="00136729">
      <w:pPr>
        <w:adjustRightInd/>
        <w:spacing w:line="300" w:lineRule="auto"/>
        <w:outlineLvl w:val="1"/>
        <w:rPr>
          <w:rFonts w:ascii="Arial" w:eastAsia="仿宋_GB2312" w:hAnsi="Arial" w:cs="Arial"/>
          <w:b/>
          <w:sz w:val="28"/>
        </w:rPr>
      </w:pPr>
      <w:bookmarkStart w:id="118" w:name="_Toc416783531"/>
      <w:bookmarkStart w:id="119" w:name="_Toc418750894"/>
      <w:bookmarkStart w:id="120" w:name="_Toc425250316"/>
      <w:bookmarkStart w:id="121" w:name="_Toc469066314"/>
      <w:bookmarkStart w:id="122" w:name="_Toc515261596"/>
      <w:bookmarkStart w:id="123" w:name="_Toc515458369"/>
      <w:bookmarkStart w:id="124" w:name="_Toc520261137"/>
      <w:bookmarkStart w:id="125" w:name="_Toc531701563"/>
      <w:bookmarkStart w:id="126" w:name="_Toc132016733"/>
      <w:bookmarkStart w:id="127" w:name="_Toc138063003"/>
      <w:bookmarkStart w:id="128" w:name="_Toc515261597"/>
      <w:bookmarkStart w:id="129" w:name="_Toc515458370"/>
      <w:bookmarkStart w:id="130" w:name="_Toc520261138"/>
      <w:bookmarkEnd w:id="104"/>
      <w:bookmarkEnd w:id="105"/>
      <w:bookmarkEnd w:id="106"/>
      <w:bookmarkEnd w:id="107"/>
      <w:r>
        <w:rPr>
          <w:rFonts w:ascii="Arial" w:eastAsia="仿宋_GB2312" w:hAnsi="Arial" w:cs="Arial"/>
          <w:b/>
          <w:bCs/>
          <w:sz w:val="28"/>
        </w:rPr>
        <w:t>三</w:t>
      </w:r>
      <w:r>
        <w:rPr>
          <w:rFonts w:ascii="Arial" w:eastAsia="仿宋_GB2312" w:hAnsi="Arial" w:cs="Arial"/>
          <w:b/>
          <w:sz w:val="28"/>
        </w:rPr>
        <w:t>、估价对象概况</w:t>
      </w:r>
      <w:bookmarkEnd w:id="118"/>
      <w:bookmarkEnd w:id="119"/>
      <w:bookmarkEnd w:id="120"/>
      <w:bookmarkEnd w:id="121"/>
      <w:bookmarkEnd w:id="122"/>
      <w:bookmarkEnd w:id="123"/>
      <w:bookmarkEnd w:id="124"/>
      <w:bookmarkEnd w:id="125"/>
      <w:bookmarkEnd w:id="126"/>
      <w:bookmarkEnd w:id="127"/>
    </w:p>
    <w:p w14:paraId="77E0CE03"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（一）土地登记状况</w:t>
      </w:r>
    </w:p>
    <w:p w14:paraId="064C3152"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bCs/>
          <w:sz w:val="28"/>
        </w:rPr>
        <w:t>土地来源：</w:t>
      </w:r>
      <w:r>
        <w:rPr>
          <w:rFonts w:ascii="Arial" w:eastAsia="仿宋" w:hAnsi="Arial" w:cs="Arial"/>
          <w:sz w:val="28"/>
        </w:rPr>
        <w:t>估价对象为北京市顺义区高丽营镇夏县营村</w:t>
      </w:r>
      <w:r>
        <w:rPr>
          <w:rFonts w:ascii="Arial" w:eastAsia="仿宋" w:hAnsi="Arial" w:cs="Arial"/>
          <w:sz w:val="28"/>
        </w:rPr>
        <w:t>01-008</w:t>
      </w:r>
      <w:r>
        <w:rPr>
          <w:rFonts w:ascii="Arial" w:eastAsia="仿宋" w:hAnsi="Arial" w:cs="Arial"/>
          <w:sz w:val="28"/>
        </w:rPr>
        <w:t>等</w:t>
      </w:r>
      <w:r>
        <w:rPr>
          <w:rFonts w:ascii="Arial" w:eastAsia="仿宋" w:hAnsi="Arial" w:cs="Arial"/>
          <w:sz w:val="28"/>
          <w:szCs w:val="28"/>
        </w:rPr>
        <w:t>地块</w:t>
      </w:r>
      <w:r>
        <w:rPr>
          <w:rFonts w:ascii="Arial" w:eastAsia="仿宋" w:hAnsi="Arial" w:cs="Arial"/>
          <w:bCs/>
          <w:sz w:val="28"/>
        </w:rPr>
        <w:t>，估价对象于</w:t>
      </w:r>
      <w:r>
        <w:rPr>
          <w:rFonts w:ascii="Arial" w:eastAsia="仿宋" w:hAnsi="Arial" w:cs="Arial"/>
          <w:sz w:val="28"/>
          <w:szCs w:val="28"/>
        </w:rPr>
        <w:t>2020</w:t>
      </w:r>
      <w:r>
        <w:rPr>
          <w:rFonts w:ascii="Arial" w:eastAsia="仿宋" w:hAnsi="Arial" w:cs="Arial"/>
          <w:spacing w:val="-6"/>
          <w:sz w:val="28"/>
        </w:rPr>
        <w:t>年</w:t>
      </w:r>
      <w:r>
        <w:rPr>
          <w:rFonts w:ascii="Arial" w:eastAsia="仿宋" w:hAnsi="Arial" w:cs="Arial"/>
          <w:sz w:val="28"/>
          <w:szCs w:val="28"/>
        </w:rPr>
        <w:t>12</w:t>
      </w:r>
      <w:r>
        <w:rPr>
          <w:rFonts w:ascii="Arial" w:eastAsia="仿宋" w:hAnsi="Arial" w:cs="Arial"/>
          <w:spacing w:val="-6"/>
          <w:sz w:val="28"/>
        </w:rPr>
        <w:t>月</w:t>
      </w:r>
      <w:r>
        <w:rPr>
          <w:rFonts w:ascii="Arial" w:eastAsia="仿宋" w:hAnsi="Arial" w:cs="Arial"/>
          <w:sz w:val="28"/>
          <w:szCs w:val="28"/>
        </w:rPr>
        <w:t>29</w:t>
      </w:r>
      <w:r>
        <w:rPr>
          <w:rFonts w:ascii="Arial" w:eastAsia="仿宋" w:hAnsi="Arial" w:cs="Arial"/>
          <w:spacing w:val="-6"/>
          <w:sz w:val="28"/>
        </w:rPr>
        <w:t>日取得《北京市人民政府关于顺义区二〇</w:t>
      </w:r>
      <w:r>
        <w:rPr>
          <w:rFonts w:ascii="Arial" w:eastAsia="仿宋" w:hAnsi="Arial" w:cs="Arial"/>
          <w:spacing w:val="-6"/>
          <w:sz w:val="28"/>
        </w:rPr>
        <w:lastRenderedPageBreak/>
        <w:t>二〇年度批次建设用地的批复》（</w:t>
      </w:r>
      <w:proofErr w:type="gramStart"/>
      <w:r>
        <w:rPr>
          <w:rFonts w:ascii="Arial" w:eastAsia="仿宋" w:hAnsi="Arial" w:cs="Arial"/>
          <w:spacing w:val="-6"/>
          <w:sz w:val="28"/>
        </w:rPr>
        <w:t>京政地字</w:t>
      </w:r>
      <w:proofErr w:type="gramEnd"/>
      <w:r>
        <w:rPr>
          <w:rFonts w:ascii="Arial" w:eastAsia="仿宋" w:hAnsi="Arial" w:cs="Arial"/>
          <w:spacing w:val="-6"/>
          <w:sz w:val="28"/>
        </w:rPr>
        <w:t>【</w:t>
      </w:r>
      <w:r>
        <w:rPr>
          <w:rFonts w:ascii="Arial" w:eastAsia="仿宋" w:hAnsi="Arial" w:cs="Arial"/>
          <w:spacing w:val="-6"/>
          <w:sz w:val="28"/>
        </w:rPr>
        <w:t>2020</w:t>
      </w:r>
      <w:r>
        <w:rPr>
          <w:rFonts w:ascii="Arial" w:eastAsia="仿宋" w:hAnsi="Arial" w:cs="Arial"/>
          <w:spacing w:val="-6"/>
          <w:sz w:val="28"/>
        </w:rPr>
        <w:t>】</w:t>
      </w:r>
      <w:r>
        <w:rPr>
          <w:rFonts w:ascii="Arial" w:eastAsia="仿宋" w:hAnsi="Arial" w:cs="Arial"/>
          <w:spacing w:val="-6"/>
          <w:sz w:val="28"/>
        </w:rPr>
        <w:t>121</w:t>
      </w:r>
      <w:r>
        <w:rPr>
          <w:rFonts w:ascii="Arial" w:eastAsia="仿宋" w:hAnsi="Arial" w:cs="Arial"/>
          <w:spacing w:val="-6"/>
          <w:sz w:val="28"/>
        </w:rPr>
        <w:t>号），由农用地转为建设用地；</w:t>
      </w:r>
      <w:r>
        <w:rPr>
          <w:rFonts w:ascii="Arial" w:eastAsia="仿宋" w:hAnsi="Arial" w:cs="Arial"/>
          <w:sz w:val="28"/>
        </w:rPr>
        <w:t>于</w:t>
      </w:r>
      <w:r>
        <w:rPr>
          <w:rFonts w:ascii="Arial" w:eastAsia="仿宋" w:hAnsi="Arial" w:cs="Arial"/>
          <w:spacing w:val="-6"/>
          <w:sz w:val="28"/>
        </w:rPr>
        <w:t>2021</w:t>
      </w:r>
      <w:r>
        <w:rPr>
          <w:rFonts w:ascii="Arial" w:eastAsia="仿宋" w:hAnsi="Arial" w:cs="Arial"/>
          <w:sz w:val="28"/>
        </w:rPr>
        <w:t>年</w:t>
      </w:r>
      <w:r>
        <w:rPr>
          <w:rFonts w:ascii="Arial" w:eastAsia="仿宋" w:hAnsi="Arial" w:cs="Arial"/>
          <w:spacing w:val="-6"/>
          <w:sz w:val="28"/>
        </w:rPr>
        <w:t>9</w:t>
      </w:r>
      <w:r>
        <w:rPr>
          <w:rFonts w:ascii="Arial" w:eastAsia="仿宋" w:hAnsi="Arial" w:cs="Arial"/>
          <w:sz w:val="28"/>
        </w:rPr>
        <w:t>月</w:t>
      </w:r>
      <w:r>
        <w:rPr>
          <w:rFonts w:ascii="Arial" w:eastAsia="仿宋" w:hAnsi="Arial" w:cs="Arial"/>
          <w:spacing w:val="-6"/>
          <w:sz w:val="28"/>
        </w:rPr>
        <w:t>26</w:t>
      </w:r>
      <w:r>
        <w:rPr>
          <w:rFonts w:ascii="Arial" w:eastAsia="仿宋" w:hAnsi="Arial" w:cs="Arial"/>
          <w:sz w:val="28"/>
        </w:rPr>
        <w:t>日取得《北京市规划和自然资源委员会顺义分局关于顺义区高丽营镇夏县营村</w:t>
      </w:r>
      <w:commentRangeStart w:id="131"/>
      <w:r>
        <w:rPr>
          <w:rFonts w:ascii="Arial" w:eastAsia="仿宋" w:hAnsi="Arial" w:cs="Arial"/>
          <w:sz w:val="28"/>
        </w:rPr>
        <w:t>棚户区</w:t>
      </w:r>
      <w:commentRangeEnd w:id="131"/>
      <w:r w:rsidR="008A477C">
        <w:rPr>
          <w:rStyle w:val="af6"/>
          <w:lang w:val="zh-CN"/>
        </w:rPr>
        <w:commentReference w:id="131"/>
      </w:r>
      <w:r>
        <w:rPr>
          <w:rFonts w:ascii="Arial" w:eastAsia="仿宋" w:hAnsi="Arial" w:cs="Arial"/>
          <w:sz w:val="28"/>
        </w:rPr>
        <w:t>改造土地开发项目</w:t>
      </w:r>
      <w:r>
        <w:rPr>
          <w:rFonts w:ascii="Arial" w:eastAsia="仿宋" w:hAnsi="Arial" w:cs="Arial"/>
          <w:sz w:val="28"/>
        </w:rPr>
        <w:t>01-008</w:t>
      </w:r>
      <w:r>
        <w:rPr>
          <w:rFonts w:ascii="Arial" w:eastAsia="仿宋" w:hAnsi="Arial" w:cs="Arial"/>
          <w:sz w:val="28"/>
        </w:rPr>
        <w:t>、</w:t>
      </w:r>
      <w:r>
        <w:rPr>
          <w:rFonts w:ascii="Arial" w:eastAsia="仿宋" w:hAnsi="Arial" w:cs="Arial"/>
          <w:sz w:val="28"/>
        </w:rPr>
        <w:t>01-015-1</w:t>
      </w:r>
      <w:r>
        <w:rPr>
          <w:rFonts w:ascii="Arial" w:eastAsia="仿宋" w:hAnsi="Arial" w:cs="Arial"/>
          <w:sz w:val="28"/>
        </w:rPr>
        <w:t>、</w:t>
      </w:r>
      <w:r>
        <w:rPr>
          <w:rFonts w:ascii="Arial" w:eastAsia="仿宋" w:hAnsi="Arial" w:cs="Arial"/>
          <w:sz w:val="28"/>
        </w:rPr>
        <w:t>01-015-2</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01-020</w:t>
      </w:r>
      <w:r>
        <w:rPr>
          <w:rFonts w:ascii="Arial" w:eastAsia="仿宋" w:hAnsi="Arial" w:cs="Arial"/>
          <w:sz w:val="28"/>
        </w:rPr>
        <w:t>、</w:t>
      </w:r>
      <w:r>
        <w:rPr>
          <w:rFonts w:ascii="Arial" w:eastAsia="仿宋" w:hAnsi="Arial" w:cs="Arial"/>
          <w:sz w:val="28"/>
        </w:rPr>
        <w:t>01-025</w:t>
      </w:r>
      <w:r>
        <w:rPr>
          <w:rFonts w:ascii="Arial" w:eastAsia="仿宋" w:hAnsi="Arial" w:cs="Arial"/>
          <w:sz w:val="28"/>
        </w:rPr>
        <w:t>、</w:t>
      </w:r>
      <w:r>
        <w:rPr>
          <w:rFonts w:ascii="Arial" w:eastAsia="仿宋" w:hAnsi="Arial" w:cs="Arial"/>
          <w:sz w:val="28"/>
        </w:rPr>
        <w:t>01-026-1</w:t>
      </w:r>
      <w:r>
        <w:rPr>
          <w:rFonts w:ascii="Arial" w:eastAsia="仿宋" w:hAnsi="Arial" w:cs="Arial"/>
          <w:sz w:val="28"/>
        </w:rPr>
        <w:t>等二类居住用地、托幼用地、商业用地地块</w:t>
      </w:r>
      <w:r>
        <w:rPr>
          <w:rFonts w:ascii="Arial" w:eastAsia="仿宋" w:hAnsi="Arial" w:cs="Arial"/>
          <w:sz w:val="28"/>
        </w:rPr>
        <w:t>“</w:t>
      </w:r>
      <w:r>
        <w:rPr>
          <w:rFonts w:ascii="Arial" w:eastAsia="仿宋" w:hAnsi="Arial" w:cs="Arial"/>
          <w:sz w:val="28"/>
        </w:rPr>
        <w:t>多规合一</w:t>
      </w:r>
      <w:r>
        <w:rPr>
          <w:rFonts w:ascii="Arial" w:eastAsia="仿宋" w:hAnsi="Arial" w:cs="Arial"/>
          <w:sz w:val="28"/>
        </w:rPr>
        <w:t>”</w:t>
      </w:r>
      <w:r>
        <w:rPr>
          <w:rFonts w:ascii="Arial" w:eastAsia="仿宋" w:hAnsi="Arial" w:cs="Arial"/>
          <w:sz w:val="28"/>
        </w:rPr>
        <w:t>协同平台供地审核意见的函》（京</w:t>
      </w:r>
      <w:proofErr w:type="gramStart"/>
      <w:r>
        <w:rPr>
          <w:rFonts w:ascii="Arial" w:eastAsia="仿宋" w:hAnsi="Arial" w:cs="Arial"/>
          <w:sz w:val="28"/>
        </w:rPr>
        <w:t>规</w:t>
      </w:r>
      <w:proofErr w:type="gramEnd"/>
      <w:r>
        <w:rPr>
          <w:rFonts w:ascii="Arial" w:eastAsia="仿宋" w:hAnsi="Arial" w:cs="Arial"/>
          <w:sz w:val="28"/>
        </w:rPr>
        <w:t>自（顺）</w:t>
      </w:r>
      <w:proofErr w:type="gramStart"/>
      <w:r>
        <w:rPr>
          <w:rFonts w:ascii="Arial" w:eastAsia="仿宋" w:hAnsi="Arial" w:cs="Arial"/>
          <w:sz w:val="28"/>
        </w:rPr>
        <w:t>供审函</w:t>
      </w:r>
      <w:proofErr w:type="gramEnd"/>
      <w:r>
        <w:rPr>
          <w:rFonts w:ascii="Arial" w:eastAsia="仿宋" w:hAnsi="Arial" w:cs="Arial"/>
          <w:sz w:val="28"/>
        </w:rPr>
        <w:t>【</w:t>
      </w:r>
      <w:r>
        <w:rPr>
          <w:rFonts w:ascii="Arial" w:eastAsia="仿宋" w:hAnsi="Arial" w:cs="Arial"/>
          <w:sz w:val="28"/>
        </w:rPr>
        <w:t>2023</w:t>
      </w:r>
      <w:r>
        <w:rPr>
          <w:rFonts w:ascii="Arial" w:eastAsia="仿宋" w:hAnsi="Arial" w:cs="Arial"/>
          <w:sz w:val="28"/>
        </w:rPr>
        <w:t>】</w:t>
      </w:r>
      <w:r>
        <w:rPr>
          <w:rFonts w:ascii="Arial" w:eastAsia="仿宋" w:hAnsi="Arial" w:cs="Arial"/>
          <w:sz w:val="28"/>
        </w:rPr>
        <w:t>0004</w:t>
      </w:r>
      <w:r>
        <w:rPr>
          <w:rFonts w:ascii="Arial" w:eastAsia="仿宋" w:hAnsi="Arial" w:cs="Arial"/>
          <w:sz w:val="28"/>
        </w:rPr>
        <w:t>号），明确了用地性质、建设用地规模及相关建筑技术指标。估价对象为拟出让用地，截至估价期日，估价对象尚未办理登记手续。</w:t>
      </w:r>
    </w:p>
    <w:p w14:paraId="340CBD61"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坐落：北京市顺义区高丽营镇夏县营村</w:t>
      </w:r>
    </w:p>
    <w:p w14:paraId="67C9FA9E"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土地面积：</w:t>
      </w:r>
      <w:r>
        <w:rPr>
          <w:rFonts w:ascii="Arial" w:eastAsia="仿宋" w:hAnsi="Arial" w:cs="Arial"/>
          <w:spacing w:val="-6"/>
          <w:sz w:val="28"/>
        </w:rPr>
        <w:t>60990.43</w:t>
      </w:r>
      <w:r>
        <w:rPr>
          <w:rFonts w:ascii="Arial" w:eastAsia="仿宋" w:hAnsi="Arial" w:cs="Arial"/>
          <w:sz w:val="28"/>
        </w:rPr>
        <w:t>平方米</w:t>
      </w:r>
    </w:p>
    <w:p w14:paraId="4AA06B12"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估价对象现状四至：东至</w:t>
      </w:r>
      <w:proofErr w:type="gramStart"/>
      <w:r>
        <w:rPr>
          <w:rFonts w:ascii="Arial" w:eastAsia="仿宋" w:hAnsi="Arial" w:cs="Arial"/>
          <w:sz w:val="28"/>
        </w:rPr>
        <w:t>火寺路</w:t>
      </w:r>
      <w:proofErr w:type="gramEnd"/>
      <w:r>
        <w:rPr>
          <w:rFonts w:ascii="Arial" w:eastAsia="仿宋" w:hAnsi="Arial" w:cs="Arial"/>
          <w:sz w:val="28"/>
        </w:rPr>
        <w:t>，</w:t>
      </w:r>
      <w:proofErr w:type="gramStart"/>
      <w:r>
        <w:rPr>
          <w:rFonts w:ascii="Arial" w:eastAsia="仿宋" w:hAnsi="Arial" w:cs="Arial"/>
          <w:sz w:val="28"/>
        </w:rPr>
        <w:t>西至喜行路</w:t>
      </w:r>
      <w:proofErr w:type="gramEnd"/>
      <w:r>
        <w:rPr>
          <w:rFonts w:ascii="Arial" w:eastAsia="仿宋" w:hAnsi="Arial" w:cs="Arial"/>
          <w:sz w:val="28"/>
        </w:rPr>
        <w:t>，南</w:t>
      </w:r>
      <w:proofErr w:type="gramStart"/>
      <w:r>
        <w:rPr>
          <w:rFonts w:ascii="Arial" w:eastAsia="仿宋" w:hAnsi="Arial" w:cs="Arial"/>
          <w:sz w:val="28"/>
        </w:rPr>
        <w:t>至丽喜花园</w:t>
      </w:r>
      <w:proofErr w:type="gramEnd"/>
      <w:r>
        <w:rPr>
          <w:rFonts w:ascii="Arial" w:eastAsia="仿宋" w:hAnsi="Arial" w:cs="Arial"/>
          <w:sz w:val="28"/>
        </w:rPr>
        <w:t>，北至</w:t>
      </w:r>
      <w:proofErr w:type="gramStart"/>
      <w:r>
        <w:rPr>
          <w:rFonts w:ascii="Arial" w:eastAsia="仿宋" w:hAnsi="Arial" w:cs="Arial"/>
          <w:sz w:val="28"/>
        </w:rPr>
        <w:t>鑫</w:t>
      </w:r>
      <w:proofErr w:type="gramEnd"/>
      <w:r>
        <w:rPr>
          <w:rFonts w:ascii="Arial" w:eastAsia="仿宋" w:hAnsi="Arial" w:cs="Arial"/>
          <w:sz w:val="28"/>
        </w:rPr>
        <w:t>鼎街</w:t>
      </w:r>
    </w:p>
    <w:p w14:paraId="07386C0E"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土地级别：根据《北京市人民政府关于更新出让国有建设用地使用权基准地价的通知》（京政发（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号）的规定，估价对象属北京市基准地价住宅类九级</w:t>
      </w:r>
      <w:r>
        <w:rPr>
          <w:rFonts w:ascii="Arial" w:eastAsia="仿宋" w:hAnsi="Arial" w:cs="Arial"/>
          <w:sz w:val="28"/>
        </w:rPr>
        <w:t>IX-</w:t>
      </w:r>
      <w:r>
        <w:rPr>
          <w:rFonts w:ascii="Arial" w:eastAsia="仿宋" w:hAnsi="Arial" w:cs="Arial"/>
          <w:sz w:val="28"/>
        </w:rPr>
        <w:t>顺</w:t>
      </w:r>
      <w:r>
        <w:rPr>
          <w:rFonts w:ascii="Arial" w:eastAsia="仿宋" w:hAnsi="Arial" w:cs="Arial"/>
          <w:sz w:val="28"/>
        </w:rPr>
        <w:t>5</w:t>
      </w:r>
      <w:r>
        <w:rPr>
          <w:rFonts w:ascii="Arial" w:eastAsia="仿宋" w:hAnsi="Arial" w:cs="Arial"/>
          <w:sz w:val="28"/>
        </w:rPr>
        <w:t>区片、</w:t>
      </w:r>
      <w:proofErr w:type="gramStart"/>
      <w:r>
        <w:rPr>
          <w:rFonts w:ascii="Arial" w:eastAsia="仿宋" w:hAnsi="Arial" w:cs="Arial"/>
          <w:sz w:val="28"/>
        </w:rPr>
        <w:t>商服类九级</w:t>
      </w:r>
      <w:proofErr w:type="gramEnd"/>
      <w:r>
        <w:rPr>
          <w:rFonts w:ascii="Arial" w:eastAsia="仿宋" w:hAnsi="Arial" w:cs="Arial"/>
          <w:sz w:val="28"/>
        </w:rPr>
        <w:t>IX-</w:t>
      </w:r>
      <w:r>
        <w:rPr>
          <w:rFonts w:ascii="Arial" w:eastAsia="仿宋" w:hAnsi="Arial" w:cs="Arial"/>
          <w:sz w:val="28"/>
        </w:rPr>
        <w:t>顺</w:t>
      </w:r>
      <w:r>
        <w:rPr>
          <w:rFonts w:ascii="Arial" w:eastAsia="仿宋" w:hAnsi="Arial" w:cs="Arial"/>
          <w:sz w:val="28"/>
        </w:rPr>
        <w:t>5</w:t>
      </w:r>
      <w:r>
        <w:rPr>
          <w:rFonts w:ascii="Arial" w:eastAsia="仿宋" w:hAnsi="Arial" w:cs="Arial"/>
          <w:sz w:val="28"/>
        </w:rPr>
        <w:t>区片、公共服务类九级</w:t>
      </w:r>
      <w:r>
        <w:rPr>
          <w:rFonts w:ascii="Arial" w:eastAsia="仿宋" w:hAnsi="Arial" w:cs="Arial"/>
          <w:sz w:val="28"/>
        </w:rPr>
        <w:t>IX-</w:t>
      </w:r>
      <w:r>
        <w:rPr>
          <w:rFonts w:ascii="Arial" w:eastAsia="仿宋" w:hAnsi="Arial" w:cs="Arial"/>
          <w:sz w:val="28"/>
        </w:rPr>
        <w:t>顺</w:t>
      </w:r>
      <w:r>
        <w:rPr>
          <w:rFonts w:ascii="Arial" w:eastAsia="仿宋" w:hAnsi="Arial" w:cs="Arial"/>
          <w:sz w:val="28"/>
        </w:rPr>
        <w:t>5</w:t>
      </w:r>
      <w:r>
        <w:rPr>
          <w:rFonts w:ascii="Arial" w:eastAsia="仿宋" w:hAnsi="Arial" w:cs="Arial"/>
          <w:sz w:val="28"/>
        </w:rPr>
        <w:t>区片。</w:t>
      </w:r>
    </w:p>
    <w:p w14:paraId="1A9618C0"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（二）土地权利状况</w:t>
      </w:r>
    </w:p>
    <w:p w14:paraId="0B40320E"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估价对象为国有土地，土地所有权为国家所有，根据《北京市人民政府关于顺义区二〇二〇年度批次建设用地的批复》（</w:t>
      </w:r>
      <w:proofErr w:type="gramStart"/>
      <w:r>
        <w:rPr>
          <w:rFonts w:ascii="Arial" w:eastAsia="仿宋" w:hAnsi="Arial" w:cs="Arial"/>
          <w:sz w:val="28"/>
        </w:rPr>
        <w:t>京政地字</w:t>
      </w:r>
      <w:proofErr w:type="gramEnd"/>
      <w:r>
        <w:rPr>
          <w:rFonts w:ascii="Arial" w:eastAsia="仿宋" w:hAnsi="Arial" w:cs="Arial"/>
          <w:sz w:val="28"/>
        </w:rPr>
        <w:t>【</w:t>
      </w:r>
      <w:r>
        <w:rPr>
          <w:rFonts w:ascii="Arial" w:eastAsia="仿宋" w:hAnsi="Arial" w:cs="Arial"/>
          <w:sz w:val="28"/>
        </w:rPr>
        <w:t>2020</w:t>
      </w:r>
      <w:r>
        <w:rPr>
          <w:rFonts w:ascii="Arial" w:eastAsia="仿宋" w:hAnsi="Arial" w:cs="Arial"/>
          <w:sz w:val="28"/>
        </w:rPr>
        <w:t>】</w:t>
      </w:r>
      <w:r>
        <w:rPr>
          <w:rFonts w:ascii="Arial" w:eastAsia="仿宋" w:hAnsi="Arial" w:cs="Arial"/>
          <w:sz w:val="28"/>
        </w:rPr>
        <w:t>121</w:t>
      </w:r>
      <w:r>
        <w:rPr>
          <w:rFonts w:ascii="Arial" w:eastAsia="仿宋" w:hAnsi="Arial" w:cs="Arial"/>
          <w:sz w:val="28"/>
        </w:rPr>
        <w:t>号），</w:t>
      </w:r>
      <w:r>
        <w:rPr>
          <w:rFonts w:ascii="Arial" w:eastAsia="仿宋" w:hAnsi="Arial" w:cs="Arial"/>
          <w:sz w:val="28"/>
          <w:szCs w:val="28"/>
        </w:rPr>
        <w:t>同意</w:t>
      </w:r>
      <w:r>
        <w:rPr>
          <w:rFonts w:ascii="Arial" w:eastAsia="仿宋" w:hAnsi="Arial" w:cs="Arial"/>
          <w:sz w:val="28"/>
        </w:rPr>
        <w:t>北京中交城市开发有限公司</w:t>
      </w:r>
      <w:r>
        <w:rPr>
          <w:rFonts w:ascii="Arial" w:eastAsia="仿宋" w:hAnsi="Arial" w:cs="Arial"/>
          <w:sz w:val="28"/>
          <w:szCs w:val="28"/>
        </w:rPr>
        <w:t>实施</w:t>
      </w:r>
      <w:r>
        <w:rPr>
          <w:rFonts w:ascii="Arial" w:eastAsia="仿宋" w:hAnsi="Arial" w:cs="Arial"/>
          <w:sz w:val="28"/>
        </w:rPr>
        <w:t>顺义</w:t>
      </w:r>
      <w:r>
        <w:rPr>
          <w:rFonts w:ascii="Arial" w:eastAsia="仿宋" w:hAnsi="Arial" w:cs="Arial"/>
          <w:sz w:val="28"/>
          <w:szCs w:val="28"/>
        </w:rPr>
        <w:t>区高丽营镇夏县营村棚户区</w:t>
      </w:r>
      <w:r>
        <w:rPr>
          <w:rFonts w:ascii="Arial" w:eastAsia="仿宋" w:hAnsi="Arial" w:cs="Arial"/>
          <w:sz w:val="28"/>
        </w:rPr>
        <w:t>改造土地开发项目。</w:t>
      </w:r>
    </w:p>
    <w:p w14:paraId="38CCEE52"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土地估价专业评估师根据委托估价方所提供的资料复印件，未发现有抵押、租赁的登记信息，本次评估设定估价对象不存在抵押、租赁等他项权利。</w:t>
      </w:r>
    </w:p>
    <w:p w14:paraId="28DF9236"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（三）土地利用状况</w:t>
      </w:r>
    </w:p>
    <w:p w14:paraId="23F8F3F7" w14:textId="77777777" w:rsidR="0062768B" w:rsidRDefault="00136729">
      <w:pPr>
        <w:spacing w:line="300" w:lineRule="auto"/>
        <w:jc w:val="both"/>
        <w:rPr>
          <w:rFonts w:ascii="Arial" w:eastAsia="仿宋_GB2312" w:hAnsi="Arial" w:cs="Arial"/>
          <w:sz w:val="28"/>
        </w:rPr>
      </w:pPr>
      <w:r>
        <w:rPr>
          <w:noProof/>
        </w:rPr>
        <mc:AlternateContent>
          <mc:Choice Requires="wps">
            <w:drawing>
              <wp:anchor distT="0" distB="0" distL="114300" distR="114300" simplePos="0" relativeHeight="251662336" behindDoc="0" locked="0" layoutInCell="1" allowOverlap="1" wp14:anchorId="316EF8AC" wp14:editId="0946B914">
                <wp:simplePos x="0" y="0"/>
                <wp:positionH relativeFrom="column">
                  <wp:posOffset>2961640</wp:posOffset>
                </wp:positionH>
                <wp:positionV relativeFrom="paragraph">
                  <wp:posOffset>12700</wp:posOffset>
                </wp:positionV>
                <wp:extent cx="2436495" cy="1728470"/>
                <wp:effectExtent l="5080" t="4445" r="15875" b="19685"/>
                <wp:wrapNone/>
                <wp:docPr id="3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6495" cy="1728470"/>
                        </a:xfrm>
                        <a:prstGeom prst="rect">
                          <a:avLst/>
                        </a:prstGeom>
                        <a:solidFill>
                          <a:srgbClr val="FFFFFF"/>
                        </a:solidFill>
                        <a:ln w="9525">
                          <a:solidFill>
                            <a:srgbClr val="000000"/>
                          </a:solidFill>
                          <a:miter lim="800000"/>
                        </a:ln>
                      </wps:spPr>
                      <wps:txbx>
                        <w:txbxContent>
                          <w:p w14:paraId="468C299C" w14:textId="77777777" w:rsidR="00BA64ED" w:rsidRDefault="00BA64ED">
                            <w:r>
                              <w:rPr>
                                <w:noProof/>
                              </w:rPr>
                              <w:drawing>
                                <wp:inline distT="0" distB="0" distL="0" distR="0" wp14:anchorId="38A1B010" wp14:editId="2DEC2E9B">
                                  <wp:extent cx="2159000" cy="1627505"/>
                                  <wp:effectExtent l="0" t="0" r="12700" b="10795"/>
                                  <wp:docPr id="63" name="图片 63" descr="微信图片_202305061559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微信图片_20230506155925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159000" cy="162750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233.2pt;margin-top:1pt;width:191.85pt;height:136.1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">
                <v:textbox>
                  <w:txbxContent>
                    <w:p w14:paraId="468C299C" w14:textId="77777777" w:rsidR="00BA64ED" w:rsidRDefault="00BA64ED">
                      <w:r>
                        <w:rPr>
                          <w:noProof/>
                        </w:rPr>
                        <w:drawing>
                          <wp:inline distT="0" distB="0" distL="0" distR="0" wp14:anchorId="38A1B010" wp14:editId="2DEC2E9B">
                            <wp:extent cx="2159000" cy="1627505"/>
                            <wp:effectExtent l="0" t="0" r="12700" b="10795"/>
                            <wp:docPr id="63" name="图片 63" descr="微信图片_202305061559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微信图片_20230506155925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159000" cy="162750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936D887" wp14:editId="481DAFF3">
                <wp:simplePos x="0" y="0"/>
                <wp:positionH relativeFrom="column">
                  <wp:posOffset>299085</wp:posOffset>
                </wp:positionH>
                <wp:positionV relativeFrom="paragraph">
                  <wp:posOffset>11430</wp:posOffset>
                </wp:positionV>
                <wp:extent cx="2352040" cy="1727835"/>
                <wp:effectExtent l="0" t="0" r="8890" b="17145"/>
                <wp:wrapNone/>
                <wp:docPr id="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1727835"/>
                        </a:xfrm>
                        <a:prstGeom prst="rect">
                          <a:avLst/>
                        </a:prstGeom>
                        <a:solidFill>
                          <a:srgbClr val="FFFFFF"/>
                        </a:solidFill>
                        <a:ln w="9525">
                          <a:solidFill>
                            <a:srgbClr val="000000"/>
                          </a:solidFill>
                          <a:miter lim="800000"/>
                        </a:ln>
                      </wps:spPr>
                      <wps:txbx>
                        <w:txbxContent>
                          <w:p w14:paraId="5002760F" w14:textId="77777777" w:rsidR="00BA64ED" w:rsidRDefault="00BA64ED">
                            <w:r>
                              <w:rPr>
                                <w:noProof/>
                              </w:rPr>
                              <w:drawing>
                                <wp:inline distT="0" distB="0" distL="0" distR="0" wp14:anchorId="58C4AD26" wp14:editId="0C337787">
                                  <wp:extent cx="2158365" cy="1626870"/>
                                  <wp:effectExtent l="0" t="0" r="635" b="0"/>
                                  <wp:docPr id="64" name="图片 64" descr="微信图片_20230506155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微信图片_2023050615592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58365" cy="16268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anchor>
            </w:drawing>
          </mc:Choice>
          <mc:Fallback>
            <w:pict>
              <v:shape id="_x0000_s1027" type="#_x0000_t202" style="position:absolute;left:0;text-align:left;margin-left:23.55pt;margin-top:.9pt;width:185.2pt;height:136.0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">
                <v:textbox style="mso-fit-shape-to-text:t">
                  <w:txbxContent>
                    <w:p w14:paraId="5002760F" w14:textId="77777777" w:rsidR="00BA64ED" w:rsidRDefault="00BA64ED">
                      <w:r>
                        <w:rPr>
                          <w:noProof/>
                        </w:rPr>
                        <w:drawing>
                          <wp:inline distT="0" distB="0" distL="0" distR="0" wp14:anchorId="58C4AD26" wp14:editId="0C337787">
                            <wp:extent cx="2158365" cy="1626870"/>
                            <wp:effectExtent l="0" t="0" r="635" b="0"/>
                            <wp:docPr id="64" name="图片 64" descr="微信图片_20230506155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微信图片_2023050615592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58365" cy="1626870"/>
                                    </a:xfrm>
                                    <a:prstGeom prst="rect">
                                      <a:avLst/>
                                    </a:prstGeom>
                                    <a:noFill/>
                                    <a:ln>
                                      <a:noFill/>
                                    </a:ln>
                                  </pic:spPr>
                                </pic:pic>
                              </a:graphicData>
                            </a:graphic>
                          </wp:inline>
                        </w:drawing>
                      </w:r>
                    </w:p>
                  </w:txbxContent>
                </v:textbox>
              </v:shape>
            </w:pict>
          </mc:Fallback>
        </mc:AlternateContent>
      </w:r>
      <w:r>
        <w:rPr>
          <w:rFonts w:ascii="Arial" w:eastAsia="仿宋_GB2312" w:hAnsi="Arial" w:cs="Arial" w:hint="eastAsia"/>
          <w:sz w:val="28"/>
        </w:rPr>
        <w:t xml:space="preserve">     </w:t>
      </w:r>
    </w:p>
    <w:p w14:paraId="20B4161C" w14:textId="77777777" w:rsidR="0062768B" w:rsidRDefault="0062768B">
      <w:pPr>
        <w:rPr>
          <w:szCs w:val="21"/>
        </w:rPr>
      </w:pPr>
    </w:p>
    <w:p w14:paraId="37C0FFAC" w14:textId="77777777" w:rsidR="0062768B" w:rsidRDefault="0062768B">
      <w:pPr>
        <w:spacing w:line="300" w:lineRule="auto"/>
        <w:jc w:val="both"/>
        <w:rPr>
          <w:rFonts w:ascii="Arial" w:eastAsia="仿宋_GB2312" w:hAnsi="Arial" w:cs="Arial"/>
          <w:sz w:val="28"/>
        </w:rPr>
      </w:pPr>
    </w:p>
    <w:p w14:paraId="021D389D" w14:textId="77777777" w:rsidR="0062768B" w:rsidRDefault="0062768B">
      <w:pPr>
        <w:spacing w:line="300" w:lineRule="auto"/>
        <w:jc w:val="both"/>
        <w:rPr>
          <w:rFonts w:ascii="Arial" w:eastAsia="仿宋_GB2312" w:hAnsi="Arial" w:cs="Arial"/>
          <w:sz w:val="28"/>
        </w:rPr>
      </w:pPr>
    </w:p>
    <w:p w14:paraId="36118B52" w14:textId="77777777" w:rsidR="0062768B" w:rsidRDefault="0062768B">
      <w:pPr>
        <w:spacing w:line="300" w:lineRule="auto"/>
        <w:jc w:val="both"/>
        <w:rPr>
          <w:rFonts w:ascii="Arial" w:eastAsia="仿宋_GB2312" w:hAnsi="Arial" w:cs="Arial"/>
          <w:sz w:val="28"/>
        </w:rPr>
      </w:pPr>
    </w:p>
    <w:p w14:paraId="5A1A89AE" w14:textId="77777777" w:rsidR="0062768B" w:rsidRDefault="0062768B">
      <w:pPr>
        <w:spacing w:line="300" w:lineRule="auto"/>
        <w:jc w:val="both"/>
        <w:rPr>
          <w:rFonts w:ascii="Arial" w:eastAsia="仿宋_GB2312" w:hAnsi="Arial" w:cs="Arial"/>
          <w:sz w:val="28"/>
        </w:rPr>
      </w:pPr>
    </w:p>
    <w:p w14:paraId="4720AE3A" w14:textId="77777777" w:rsidR="0062768B" w:rsidRDefault="0062768B">
      <w:pPr>
        <w:spacing w:line="300" w:lineRule="auto"/>
        <w:jc w:val="both"/>
        <w:rPr>
          <w:rFonts w:ascii="Arial" w:eastAsia="仿宋_GB2312" w:hAnsi="Arial" w:cs="Arial"/>
          <w:sz w:val="28"/>
        </w:rPr>
      </w:pPr>
    </w:p>
    <w:p w14:paraId="4BC8D4FD" w14:textId="77777777" w:rsidR="0062768B" w:rsidRDefault="00136729">
      <w:pPr>
        <w:adjustRightInd/>
        <w:spacing w:line="300" w:lineRule="auto"/>
        <w:ind w:firstLine="556"/>
        <w:jc w:val="both"/>
        <w:rPr>
          <w:rFonts w:ascii="Arial" w:eastAsia="仿宋" w:hAnsi="Arial" w:cs="Arial"/>
          <w:sz w:val="28"/>
        </w:rPr>
      </w:pPr>
      <w:r>
        <w:rPr>
          <w:rFonts w:ascii="Arial" w:eastAsia="仿宋" w:hAnsi="Arial" w:cs="Arial"/>
          <w:sz w:val="28"/>
          <w:szCs w:val="28"/>
        </w:rPr>
        <w:lastRenderedPageBreak/>
        <w:t>估价</w:t>
      </w:r>
      <w:proofErr w:type="gramStart"/>
      <w:r>
        <w:rPr>
          <w:rFonts w:ascii="Arial" w:eastAsia="仿宋" w:hAnsi="Arial" w:cs="Arial"/>
          <w:sz w:val="28"/>
          <w:szCs w:val="28"/>
        </w:rPr>
        <w:t>对象位</w:t>
      </w:r>
      <w:proofErr w:type="gramEnd"/>
      <w:r>
        <w:rPr>
          <w:rFonts w:ascii="Arial" w:eastAsia="仿宋" w:hAnsi="Arial" w:cs="Arial"/>
          <w:sz w:val="28"/>
        </w:rPr>
        <w:t>北京市顺义区高丽营镇夏县营村。</w:t>
      </w:r>
      <w:r>
        <w:rPr>
          <w:rFonts w:ascii="Arial" w:eastAsia="仿宋" w:hAnsi="Arial" w:cs="Arial"/>
          <w:sz w:val="28"/>
          <w:szCs w:val="28"/>
        </w:rPr>
        <w:t>根据《北京市规划和自然资源委员会顺义分局关于顺义区高丽营镇夏县营村棚户区改造土地开发项目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01-015-1</w:t>
      </w:r>
      <w:r>
        <w:rPr>
          <w:rFonts w:ascii="Arial" w:eastAsia="仿宋" w:hAnsi="Arial" w:cs="Arial"/>
          <w:sz w:val="28"/>
          <w:szCs w:val="28"/>
        </w:rPr>
        <w:t>、</w:t>
      </w:r>
      <w:r>
        <w:rPr>
          <w:rFonts w:ascii="Arial" w:eastAsia="仿宋" w:hAnsi="Arial" w:cs="Arial"/>
          <w:sz w:val="28"/>
          <w:szCs w:val="28"/>
        </w:rPr>
        <w:t>01-015-2</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w:t>
      </w:r>
      <w:r>
        <w:rPr>
          <w:rFonts w:ascii="Arial" w:eastAsia="仿宋" w:hAnsi="Arial" w:cs="Arial"/>
          <w:sz w:val="28"/>
          <w:szCs w:val="28"/>
        </w:rPr>
        <w:t>01-025</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等二类居住用地、托幼用地、商业用地地块</w:t>
      </w:r>
      <w:r>
        <w:rPr>
          <w:rFonts w:ascii="Arial" w:eastAsia="仿宋" w:hAnsi="Arial" w:cs="Arial"/>
          <w:sz w:val="28"/>
          <w:szCs w:val="28"/>
        </w:rPr>
        <w:t>“</w:t>
      </w:r>
      <w:r>
        <w:rPr>
          <w:rFonts w:ascii="Arial" w:eastAsia="仿宋" w:hAnsi="Arial" w:cs="Arial"/>
          <w:sz w:val="28"/>
          <w:szCs w:val="28"/>
        </w:rPr>
        <w:t>多规合一</w:t>
      </w:r>
      <w:r>
        <w:rPr>
          <w:rFonts w:ascii="Arial" w:eastAsia="仿宋" w:hAnsi="Arial" w:cs="Arial"/>
          <w:sz w:val="28"/>
          <w:szCs w:val="28"/>
        </w:rPr>
        <w:t>”</w:t>
      </w:r>
      <w:r>
        <w:rPr>
          <w:rFonts w:ascii="Arial" w:eastAsia="仿宋" w:hAnsi="Arial" w:cs="Arial"/>
          <w:sz w:val="28"/>
          <w:szCs w:val="28"/>
        </w:rPr>
        <w:t>协同平台供地审核意见的函》（京</w:t>
      </w:r>
      <w:proofErr w:type="gramStart"/>
      <w:r>
        <w:rPr>
          <w:rFonts w:ascii="Arial" w:eastAsia="仿宋" w:hAnsi="Arial" w:cs="Arial"/>
          <w:sz w:val="28"/>
          <w:szCs w:val="28"/>
        </w:rPr>
        <w:t>规</w:t>
      </w:r>
      <w:proofErr w:type="gramEnd"/>
      <w:r>
        <w:rPr>
          <w:rFonts w:ascii="Arial" w:eastAsia="仿宋" w:hAnsi="Arial" w:cs="Arial"/>
          <w:sz w:val="28"/>
          <w:szCs w:val="28"/>
        </w:rPr>
        <w:t>自（顺）</w:t>
      </w:r>
      <w:proofErr w:type="gramStart"/>
      <w:r>
        <w:rPr>
          <w:rFonts w:ascii="Arial" w:eastAsia="仿宋" w:hAnsi="Arial" w:cs="Arial"/>
          <w:sz w:val="28"/>
          <w:szCs w:val="28"/>
        </w:rPr>
        <w:t>供审函</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0004</w:t>
      </w:r>
      <w:r>
        <w:rPr>
          <w:rFonts w:ascii="Arial" w:eastAsia="仿宋" w:hAnsi="Arial" w:cs="Arial"/>
          <w:sz w:val="28"/>
          <w:szCs w:val="28"/>
        </w:rPr>
        <w:t>号）</w:t>
      </w:r>
      <w:r>
        <w:rPr>
          <w:rFonts w:ascii="Arial" w:eastAsia="仿宋" w:hAnsi="Arial" w:cs="Arial"/>
          <w:sz w:val="28"/>
        </w:rPr>
        <w:t>，本次估价对象</w:t>
      </w:r>
      <w:r>
        <w:rPr>
          <w:rFonts w:ascii="Arial" w:eastAsia="仿宋" w:hAnsi="Arial" w:cs="Arial"/>
          <w:sz w:val="28"/>
        </w:rPr>
        <w:t>01-008</w:t>
      </w:r>
      <w:r>
        <w:rPr>
          <w:rFonts w:ascii="Arial" w:eastAsia="仿宋" w:hAnsi="Arial" w:cs="Arial"/>
          <w:sz w:val="28"/>
        </w:rPr>
        <w:t>等地块共</w:t>
      </w:r>
      <w:r>
        <w:rPr>
          <w:rFonts w:ascii="Arial" w:eastAsia="仿宋" w:hAnsi="Arial" w:cs="Arial"/>
          <w:sz w:val="28"/>
        </w:rPr>
        <w:t>4</w:t>
      </w:r>
      <w:r>
        <w:rPr>
          <w:rFonts w:ascii="Arial" w:eastAsia="仿宋" w:hAnsi="Arial" w:cs="Arial"/>
          <w:sz w:val="28"/>
        </w:rPr>
        <w:t>宗地，用地规模合计为</w:t>
      </w:r>
      <w:r>
        <w:rPr>
          <w:rFonts w:ascii="Arial" w:eastAsia="仿宋" w:hAnsi="Arial" w:cs="Arial"/>
          <w:sz w:val="28"/>
        </w:rPr>
        <w:t>60990.43</w:t>
      </w:r>
      <w:r>
        <w:rPr>
          <w:rFonts w:ascii="Arial" w:eastAsia="仿宋" w:hAnsi="Arial" w:cs="Arial"/>
          <w:sz w:val="28"/>
        </w:rPr>
        <w:t>平方米，全部为建设用地，建筑规模合计为</w:t>
      </w:r>
      <w:r>
        <w:rPr>
          <w:rFonts w:ascii="Arial" w:eastAsia="仿宋" w:hAnsi="Arial" w:cs="Arial"/>
          <w:sz w:val="28"/>
        </w:rPr>
        <w:t>71508.52</w:t>
      </w:r>
      <w:r>
        <w:rPr>
          <w:rFonts w:ascii="Arial" w:eastAsia="仿宋" w:hAnsi="Arial" w:cs="Arial"/>
          <w:sz w:val="28"/>
        </w:rPr>
        <w:t>平方米。</w:t>
      </w:r>
      <w:r>
        <w:rPr>
          <w:rFonts w:ascii="Arial" w:eastAsia="仿宋" w:hAnsi="Arial" w:cs="Arial"/>
          <w:sz w:val="28"/>
          <w:szCs w:val="28"/>
        </w:rPr>
        <w:t>其中，估价对象</w:t>
      </w:r>
      <w:r>
        <w:rPr>
          <w:rFonts w:ascii="Arial" w:eastAsia="仿宋" w:hAnsi="Arial" w:cs="Arial"/>
          <w:sz w:val="28"/>
        </w:rPr>
        <w:t>01-008</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24804.85</w:t>
      </w:r>
      <w:r>
        <w:rPr>
          <w:rFonts w:ascii="Arial" w:eastAsia="仿宋" w:hAnsi="Arial" w:cs="Arial"/>
          <w:sz w:val="28"/>
        </w:rPr>
        <w:t>平方米，地上建筑规模为</w:t>
      </w:r>
      <w:r>
        <w:rPr>
          <w:rFonts w:ascii="Arial" w:eastAsia="仿宋" w:hAnsi="Arial" w:cs="Arial"/>
          <w:sz w:val="28"/>
        </w:rPr>
        <w:t>29765.82</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w:t>
      </w:r>
      <w:r>
        <w:rPr>
          <w:rFonts w:ascii="Arial" w:eastAsia="仿宋" w:hAnsi="Arial" w:cs="Arial"/>
          <w:sz w:val="28"/>
          <w:szCs w:val="28"/>
        </w:rPr>
        <w:t>估价对象</w:t>
      </w:r>
      <w:r>
        <w:rPr>
          <w:rFonts w:ascii="Arial" w:eastAsia="仿宋" w:hAnsi="Arial" w:cs="Arial"/>
          <w:sz w:val="28"/>
        </w:rPr>
        <w:t>01-016</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23103.85</w:t>
      </w:r>
      <w:r>
        <w:rPr>
          <w:rFonts w:ascii="Arial" w:eastAsia="仿宋" w:hAnsi="Arial" w:cs="Arial"/>
          <w:sz w:val="28"/>
        </w:rPr>
        <w:t>平方米，地上建筑规模为</w:t>
      </w:r>
      <w:r>
        <w:rPr>
          <w:rFonts w:ascii="Arial" w:eastAsia="仿宋" w:hAnsi="Arial" w:cs="Arial"/>
          <w:sz w:val="28"/>
        </w:rPr>
        <w:t>27724.62</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w:t>
      </w:r>
      <w:r>
        <w:rPr>
          <w:rFonts w:ascii="Arial" w:eastAsia="仿宋" w:hAnsi="Arial" w:cs="Arial"/>
          <w:sz w:val="28"/>
          <w:szCs w:val="28"/>
        </w:rPr>
        <w:t xml:space="preserve"> </w:t>
      </w:r>
      <w:r>
        <w:rPr>
          <w:rFonts w:ascii="Arial" w:eastAsia="仿宋" w:hAnsi="Arial" w:cs="Arial"/>
          <w:sz w:val="28"/>
          <w:szCs w:val="28"/>
        </w:rPr>
        <w:t>估价对象</w:t>
      </w:r>
      <w:r>
        <w:rPr>
          <w:rFonts w:ascii="Arial" w:eastAsia="仿宋" w:hAnsi="Arial" w:cs="Arial"/>
          <w:sz w:val="28"/>
          <w:szCs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8881.75</w:t>
      </w:r>
      <w:r>
        <w:rPr>
          <w:rFonts w:ascii="Arial" w:eastAsia="仿宋" w:hAnsi="Arial" w:cs="Arial"/>
          <w:sz w:val="28"/>
        </w:rPr>
        <w:t>平方米，地上建筑规模为</w:t>
      </w:r>
      <w:r>
        <w:rPr>
          <w:rFonts w:ascii="Arial" w:eastAsia="仿宋" w:hAnsi="Arial" w:cs="Arial"/>
          <w:sz w:val="28"/>
        </w:rPr>
        <w:t>10658.10</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；另有</w:t>
      </w:r>
      <w:r>
        <w:rPr>
          <w:rFonts w:ascii="Arial" w:eastAsia="仿宋" w:hAnsi="Arial" w:cs="Arial"/>
          <w:sz w:val="28"/>
          <w:szCs w:val="28"/>
        </w:rPr>
        <w:t>估价对象</w:t>
      </w:r>
      <w:r>
        <w:rPr>
          <w:rFonts w:ascii="Arial" w:eastAsia="仿宋" w:hAnsi="Arial" w:cs="Arial"/>
          <w:sz w:val="28"/>
        </w:rPr>
        <w:t>01-020</w:t>
      </w:r>
      <w:r>
        <w:rPr>
          <w:rFonts w:ascii="Arial" w:eastAsia="仿宋" w:hAnsi="Arial" w:cs="Arial"/>
          <w:sz w:val="28"/>
        </w:rPr>
        <w:t>地块（</w:t>
      </w:r>
      <w:r>
        <w:rPr>
          <w:rFonts w:ascii="Arial" w:eastAsia="仿宋" w:hAnsi="Arial" w:cs="Arial"/>
          <w:sz w:val="28"/>
        </w:rPr>
        <w:t>A334</w:t>
      </w:r>
      <w:r>
        <w:rPr>
          <w:rFonts w:ascii="Arial" w:eastAsia="仿宋" w:hAnsi="Arial" w:cs="Arial"/>
          <w:sz w:val="28"/>
        </w:rPr>
        <w:t>托幼用地，不出让）建设用地规模为</w:t>
      </w:r>
      <w:r>
        <w:rPr>
          <w:rFonts w:ascii="Arial" w:eastAsia="仿宋" w:hAnsi="Arial" w:cs="Arial"/>
          <w:sz w:val="28"/>
        </w:rPr>
        <w:t>4199.98</w:t>
      </w:r>
      <w:r>
        <w:rPr>
          <w:rFonts w:ascii="Arial" w:eastAsia="仿宋" w:hAnsi="Arial" w:cs="Arial"/>
          <w:sz w:val="28"/>
        </w:rPr>
        <w:t>平方米，地上建筑规模为</w:t>
      </w:r>
      <w:r>
        <w:rPr>
          <w:rFonts w:ascii="Arial" w:eastAsia="仿宋" w:hAnsi="Arial" w:cs="Arial"/>
          <w:sz w:val="28"/>
        </w:rPr>
        <w:t>3359.98</w:t>
      </w:r>
      <w:r>
        <w:rPr>
          <w:rFonts w:ascii="Arial" w:eastAsia="仿宋" w:hAnsi="Arial" w:cs="Arial"/>
          <w:sz w:val="28"/>
        </w:rPr>
        <w:t>平方米，容积率为</w:t>
      </w:r>
      <w:r>
        <w:rPr>
          <w:rFonts w:ascii="Arial" w:eastAsia="仿宋" w:hAnsi="Arial" w:cs="Arial"/>
          <w:sz w:val="28"/>
        </w:rPr>
        <w:t>0.8</w:t>
      </w:r>
      <w:r>
        <w:rPr>
          <w:rFonts w:ascii="Arial" w:eastAsia="仿宋" w:hAnsi="Arial" w:cs="Arial"/>
          <w:sz w:val="28"/>
        </w:rPr>
        <w:t>。根据《北京市人民政府关于更新出让国有建设用地使用权基准地价的通知》（京政发（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号）中的相关规定，本次评估</w:t>
      </w:r>
      <w:r>
        <w:rPr>
          <w:rFonts w:ascii="Arial" w:eastAsia="仿宋" w:hAnsi="Arial" w:cs="Arial"/>
          <w:sz w:val="28"/>
        </w:rPr>
        <w:t>01-008</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类居住用地）容积率为</w:t>
      </w:r>
      <w:r>
        <w:rPr>
          <w:rFonts w:ascii="Arial" w:eastAsia="仿宋" w:hAnsi="Arial" w:cs="Arial"/>
          <w:sz w:val="28"/>
        </w:rPr>
        <w:t>1.2</w:t>
      </w:r>
      <w:r>
        <w:rPr>
          <w:rFonts w:ascii="Arial" w:eastAsia="仿宋" w:hAnsi="Arial" w:cs="Arial"/>
          <w:sz w:val="28"/>
        </w:rPr>
        <w:t>。</w:t>
      </w:r>
    </w:p>
    <w:p w14:paraId="729FD9A7"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本次拟出让建设用地规模为</w:t>
      </w:r>
      <w:r>
        <w:rPr>
          <w:rFonts w:ascii="Arial" w:eastAsia="仿宋" w:hAnsi="Arial" w:cs="Arial"/>
          <w:sz w:val="28"/>
        </w:rPr>
        <w:t>56790.45</w:t>
      </w:r>
      <w:r>
        <w:rPr>
          <w:rFonts w:ascii="Arial" w:eastAsia="仿宋" w:hAnsi="Arial" w:cs="Arial"/>
          <w:sz w:val="28"/>
        </w:rPr>
        <w:t>平方米，具体规划主要技术经济指标详见下表：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443"/>
        <w:gridCol w:w="1119"/>
        <w:gridCol w:w="1248"/>
        <w:gridCol w:w="1586"/>
        <w:gridCol w:w="862"/>
        <w:gridCol w:w="1671"/>
        <w:gridCol w:w="1294"/>
        <w:gridCol w:w="849"/>
      </w:tblGrid>
      <w:tr w:rsidR="0062768B" w14:paraId="0AE39230" w14:textId="77777777">
        <w:trPr>
          <w:cantSplit/>
          <w:jc w:val="center"/>
        </w:trPr>
        <w:tc>
          <w:tcPr>
            <w:tcW w:w="244" w:type="pct"/>
            <w:vAlign w:val="center"/>
          </w:tcPr>
          <w:p w14:paraId="796DE383"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序号</w:t>
            </w:r>
          </w:p>
        </w:tc>
        <w:tc>
          <w:tcPr>
            <w:tcW w:w="617" w:type="pct"/>
            <w:vAlign w:val="center"/>
          </w:tcPr>
          <w:p w14:paraId="07BDFE92"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规划地块编号</w:t>
            </w:r>
          </w:p>
        </w:tc>
        <w:tc>
          <w:tcPr>
            <w:tcW w:w="688" w:type="pct"/>
            <w:vAlign w:val="center"/>
          </w:tcPr>
          <w:p w14:paraId="1EDBE2C2"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用地性质</w:t>
            </w:r>
          </w:p>
        </w:tc>
        <w:tc>
          <w:tcPr>
            <w:tcW w:w="874" w:type="pct"/>
            <w:vAlign w:val="center"/>
          </w:tcPr>
          <w:p w14:paraId="7496FD65"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建设用地规模</w:t>
            </w:r>
          </w:p>
          <w:p w14:paraId="5F84127C"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（平方米）</w:t>
            </w:r>
          </w:p>
        </w:tc>
        <w:tc>
          <w:tcPr>
            <w:tcW w:w="475" w:type="pct"/>
            <w:vAlign w:val="center"/>
          </w:tcPr>
          <w:p w14:paraId="68C6168E"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容积率</w:t>
            </w:r>
          </w:p>
        </w:tc>
        <w:tc>
          <w:tcPr>
            <w:tcW w:w="921" w:type="pct"/>
            <w:vAlign w:val="center"/>
          </w:tcPr>
          <w:p w14:paraId="125C3AED"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地上建筑规模</w:t>
            </w:r>
          </w:p>
          <w:p w14:paraId="774D5ACE"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（平方米）</w:t>
            </w:r>
          </w:p>
        </w:tc>
        <w:tc>
          <w:tcPr>
            <w:tcW w:w="713" w:type="pct"/>
            <w:vAlign w:val="center"/>
          </w:tcPr>
          <w:p w14:paraId="6DA18054" w14:textId="77777777" w:rsidR="0062768B" w:rsidRDefault="00136729">
            <w:pPr>
              <w:widowControl/>
              <w:adjustRightInd/>
              <w:spacing w:line="240" w:lineRule="exact"/>
              <w:jc w:val="center"/>
              <w:textAlignment w:val="auto"/>
              <w:rPr>
                <w:rFonts w:ascii="Arial" w:eastAsia="仿宋" w:hAnsi="Arial" w:cs="Arial"/>
                <w:sz w:val="18"/>
                <w:szCs w:val="18"/>
              </w:rPr>
            </w:pPr>
            <w:r>
              <w:rPr>
                <w:rFonts w:ascii="Arial" w:eastAsia="仿宋" w:hAnsi="Arial" w:cs="Arial"/>
                <w:sz w:val="18"/>
                <w:szCs w:val="18"/>
              </w:rPr>
              <w:t>控制高度（</w:t>
            </w:r>
            <w:r>
              <w:rPr>
                <w:rFonts w:ascii="Arial" w:eastAsia="仿宋" w:hAnsi="Arial" w:cs="Arial"/>
                <w:sz w:val="18"/>
                <w:szCs w:val="18"/>
              </w:rPr>
              <w:t>m</w:t>
            </w:r>
            <w:r>
              <w:rPr>
                <w:rFonts w:ascii="Arial" w:eastAsia="仿宋" w:hAnsi="Arial" w:cs="Arial"/>
                <w:sz w:val="18"/>
                <w:szCs w:val="18"/>
              </w:rPr>
              <w:t>）</w:t>
            </w:r>
          </w:p>
        </w:tc>
        <w:tc>
          <w:tcPr>
            <w:tcW w:w="468" w:type="pct"/>
            <w:vAlign w:val="center"/>
          </w:tcPr>
          <w:p w14:paraId="67C4FB24"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是否出让</w:t>
            </w:r>
          </w:p>
        </w:tc>
      </w:tr>
      <w:tr w:rsidR="0062768B" w14:paraId="50561E98" w14:textId="77777777">
        <w:trPr>
          <w:cantSplit/>
          <w:jc w:val="center"/>
        </w:trPr>
        <w:tc>
          <w:tcPr>
            <w:tcW w:w="244" w:type="pct"/>
            <w:vAlign w:val="center"/>
          </w:tcPr>
          <w:p w14:paraId="576BE373"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w:t>
            </w:r>
          </w:p>
        </w:tc>
        <w:tc>
          <w:tcPr>
            <w:tcW w:w="617" w:type="pct"/>
            <w:vAlign w:val="center"/>
          </w:tcPr>
          <w:p w14:paraId="61018C77"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01-008</w:t>
            </w:r>
          </w:p>
        </w:tc>
        <w:tc>
          <w:tcPr>
            <w:tcW w:w="688" w:type="pct"/>
            <w:vMerge w:val="restart"/>
            <w:vAlign w:val="center"/>
          </w:tcPr>
          <w:p w14:paraId="13769B55"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p>
        </w:tc>
        <w:tc>
          <w:tcPr>
            <w:tcW w:w="874" w:type="pct"/>
            <w:vAlign w:val="center"/>
          </w:tcPr>
          <w:p w14:paraId="4831C72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24804.85</w:t>
            </w:r>
          </w:p>
        </w:tc>
        <w:tc>
          <w:tcPr>
            <w:tcW w:w="475" w:type="pct"/>
            <w:vMerge w:val="restart"/>
            <w:vAlign w:val="center"/>
          </w:tcPr>
          <w:p w14:paraId="38B1CA48"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1.2</w:t>
            </w:r>
          </w:p>
        </w:tc>
        <w:tc>
          <w:tcPr>
            <w:tcW w:w="921" w:type="pct"/>
            <w:vAlign w:val="center"/>
          </w:tcPr>
          <w:p w14:paraId="17A9FEF4"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29765.82</w:t>
            </w:r>
          </w:p>
        </w:tc>
        <w:tc>
          <w:tcPr>
            <w:tcW w:w="713" w:type="pct"/>
            <w:vMerge w:val="restart"/>
            <w:vAlign w:val="center"/>
          </w:tcPr>
          <w:p w14:paraId="6FA6A57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30</w:t>
            </w:r>
          </w:p>
        </w:tc>
        <w:tc>
          <w:tcPr>
            <w:tcW w:w="468" w:type="pct"/>
            <w:vMerge w:val="restart"/>
            <w:vAlign w:val="center"/>
          </w:tcPr>
          <w:p w14:paraId="6726A35D"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出让</w:t>
            </w:r>
          </w:p>
        </w:tc>
      </w:tr>
      <w:tr w:rsidR="0062768B" w14:paraId="1ECB20F8" w14:textId="77777777">
        <w:trPr>
          <w:cantSplit/>
          <w:jc w:val="center"/>
        </w:trPr>
        <w:tc>
          <w:tcPr>
            <w:tcW w:w="244" w:type="pct"/>
            <w:vAlign w:val="center"/>
          </w:tcPr>
          <w:p w14:paraId="12E09812"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w:t>
            </w:r>
          </w:p>
        </w:tc>
        <w:tc>
          <w:tcPr>
            <w:tcW w:w="617" w:type="pct"/>
            <w:vAlign w:val="center"/>
          </w:tcPr>
          <w:p w14:paraId="4D369EC3"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01-016</w:t>
            </w:r>
          </w:p>
        </w:tc>
        <w:tc>
          <w:tcPr>
            <w:tcW w:w="688" w:type="pct"/>
            <w:vMerge/>
            <w:vAlign w:val="center"/>
          </w:tcPr>
          <w:p w14:paraId="43758FD5" w14:textId="77777777" w:rsidR="0062768B" w:rsidRDefault="0062768B">
            <w:pPr>
              <w:adjustRightInd/>
              <w:spacing w:line="240" w:lineRule="exact"/>
              <w:jc w:val="center"/>
              <w:rPr>
                <w:rFonts w:ascii="Arial" w:eastAsia="仿宋" w:hAnsi="Arial" w:cs="Arial"/>
                <w:sz w:val="18"/>
                <w:szCs w:val="18"/>
              </w:rPr>
            </w:pPr>
          </w:p>
        </w:tc>
        <w:tc>
          <w:tcPr>
            <w:tcW w:w="874" w:type="pct"/>
            <w:vAlign w:val="center"/>
          </w:tcPr>
          <w:p w14:paraId="101BB4ED"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23103.85</w:t>
            </w:r>
          </w:p>
        </w:tc>
        <w:tc>
          <w:tcPr>
            <w:tcW w:w="475" w:type="pct"/>
            <w:vMerge/>
            <w:vAlign w:val="center"/>
          </w:tcPr>
          <w:p w14:paraId="11F893B6" w14:textId="77777777" w:rsidR="0062768B" w:rsidRDefault="0062768B">
            <w:pPr>
              <w:adjustRightInd/>
              <w:spacing w:line="240" w:lineRule="exact"/>
              <w:jc w:val="center"/>
              <w:rPr>
                <w:rFonts w:ascii="Arial" w:eastAsia="仿宋" w:hAnsi="Arial" w:cs="Arial"/>
                <w:sz w:val="18"/>
                <w:szCs w:val="18"/>
              </w:rPr>
            </w:pPr>
          </w:p>
        </w:tc>
        <w:tc>
          <w:tcPr>
            <w:tcW w:w="921" w:type="pct"/>
            <w:vAlign w:val="center"/>
          </w:tcPr>
          <w:p w14:paraId="084755A8"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27724.62</w:t>
            </w:r>
          </w:p>
        </w:tc>
        <w:tc>
          <w:tcPr>
            <w:tcW w:w="713" w:type="pct"/>
            <w:vMerge/>
            <w:vAlign w:val="center"/>
          </w:tcPr>
          <w:p w14:paraId="33ADCBC6" w14:textId="77777777" w:rsidR="0062768B" w:rsidRDefault="0062768B">
            <w:pPr>
              <w:adjustRightInd/>
              <w:spacing w:line="240" w:lineRule="exact"/>
              <w:jc w:val="center"/>
              <w:rPr>
                <w:rFonts w:ascii="Arial" w:eastAsia="仿宋" w:hAnsi="Arial" w:cs="Arial"/>
                <w:sz w:val="18"/>
                <w:szCs w:val="18"/>
              </w:rPr>
            </w:pPr>
          </w:p>
        </w:tc>
        <w:tc>
          <w:tcPr>
            <w:tcW w:w="468" w:type="pct"/>
            <w:vMerge/>
            <w:vAlign w:val="center"/>
          </w:tcPr>
          <w:p w14:paraId="2D6F382F" w14:textId="77777777" w:rsidR="0062768B" w:rsidRDefault="0062768B">
            <w:pPr>
              <w:adjustRightInd/>
              <w:spacing w:line="240" w:lineRule="exact"/>
              <w:jc w:val="center"/>
              <w:rPr>
                <w:rFonts w:ascii="Arial" w:eastAsia="仿宋" w:hAnsi="Arial" w:cs="Arial"/>
                <w:sz w:val="18"/>
                <w:szCs w:val="18"/>
              </w:rPr>
            </w:pPr>
          </w:p>
        </w:tc>
      </w:tr>
      <w:tr w:rsidR="0062768B" w14:paraId="0BD3159C" w14:textId="77777777">
        <w:trPr>
          <w:cantSplit/>
          <w:jc w:val="center"/>
        </w:trPr>
        <w:tc>
          <w:tcPr>
            <w:tcW w:w="244" w:type="pct"/>
            <w:vAlign w:val="center"/>
          </w:tcPr>
          <w:p w14:paraId="71BC7EEA"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3</w:t>
            </w:r>
          </w:p>
        </w:tc>
        <w:tc>
          <w:tcPr>
            <w:tcW w:w="617" w:type="pct"/>
            <w:vAlign w:val="center"/>
          </w:tcPr>
          <w:p w14:paraId="675DD962"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01-026-1</w:t>
            </w:r>
          </w:p>
        </w:tc>
        <w:tc>
          <w:tcPr>
            <w:tcW w:w="688" w:type="pct"/>
            <w:vMerge/>
            <w:vAlign w:val="center"/>
          </w:tcPr>
          <w:p w14:paraId="1669608B" w14:textId="77777777" w:rsidR="0062768B" w:rsidRDefault="0062768B">
            <w:pPr>
              <w:adjustRightInd/>
              <w:spacing w:line="240" w:lineRule="exact"/>
              <w:jc w:val="center"/>
              <w:rPr>
                <w:rFonts w:ascii="Arial" w:eastAsia="仿宋" w:hAnsi="Arial" w:cs="Arial"/>
                <w:sz w:val="18"/>
                <w:szCs w:val="18"/>
              </w:rPr>
            </w:pPr>
          </w:p>
        </w:tc>
        <w:tc>
          <w:tcPr>
            <w:tcW w:w="874" w:type="pct"/>
            <w:vAlign w:val="center"/>
          </w:tcPr>
          <w:p w14:paraId="63A9631A"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8881.75</w:t>
            </w:r>
          </w:p>
        </w:tc>
        <w:tc>
          <w:tcPr>
            <w:tcW w:w="475" w:type="pct"/>
            <w:vMerge/>
            <w:vAlign w:val="center"/>
          </w:tcPr>
          <w:p w14:paraId="744BB588" w14:textId="77777777" w:rsidR="0062768B" w:rsidRDefault="0062768B">
            <w:pPr>
              <w:adjustRightInd/>
              <w:spacing w:line="240" w:lineRule="exact"/>
              <w:jc w:val="center"/>
              <w:rPr>
                <w:rFonts w:ascii="Arial" w:eastAsia="仿宋" w:hAnsi="Arial" w:cs="Arial"/>
                <w:sz w:val="18"/>
                <w:szCs w:val="18"/>
              </w:rPr>
            </w:pPr>
          </w:p>
        </w:tc>
        <w:tc>
          <w:tcPr>
            <w:tcW w:w="921" w:type="pct"/>
            <w:vAlign w:val="center"/>
          </w:tcPr>
          <w:p w14:paraId="1780217D"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10658.10</w:t>
            </w:r>
          </w:p>
        </w:tc>
        <w:tc>
          <w:tcPr>
            <w:tcW w:w="713" w:type="pct"/>
            <w:vMerge/>
            <w:vAlign w:val="center"/>
          </w:tcPr>
          <w:p w14:paraId="29916E49" w14:textId="77777777" w:rsidR="0062768B" w:rsidRDefault="0062768B">
            <w:pPr>
              <w:adjustRightInd/>
              <w:spacing w:line="240" w:lineRule="exact"/>
              <w:jc w:val="center"/>
              <w:rPr>
                <w:rFonts w:ascii="Arial" w:eastAsia="仿宋" w:hAnsi="Arial" w:cs="Arial"/>
                <w:sz w:val="18"/>
                <w:szCs w:val="18"/>
              </w:rPr>
            </w:pPr>
          </w:p>
        </w:tc>
        <w:tc>
          <w:tcPr>
            <w:tcW w:w="468" w:type="pct"/>
            <w:vMerge/>
            <w:vAlign w:val="center"/>
          </w:tcPr>
          <w:p w14:paraId="4B40B0FF" w14:textId="77777777" w:rsidR="0062768B" w:rsidRDefault="0062768B">
            <w:pPr>
              <w:adjustRightInd/>
              <w:spacing w:line="240" w:lineRule="exact"/>
              <w:jc w:val="center"/>
              <w:rPr>
                <w:rFonts w:ascii="Arial" w:eastAsia="仿宋" w:hAnsi="Arial" w:cs="Arial"/>
                <w:sz w:val="18"/>
                <w:szCs w:val="18"/>
              </w:rPr>
            </w:pPr>
          </w:p>
        </w:tc>
      </w:tr>
      <w:tr w:rsidR="0062768B" w14:paraId="500EDFB7" w14:textId="77777777">
        <w:trPr>
          <w:cantSplit/>
          <w:jc w:val="center"/>
        </w:trPr>
        <w:tc>
          <w:tcPr>
            <w:tcW w:w="1549" w:type="pct"/>
            <w:gridSpan w:val="3"/>
            <w:vAlign w:val="center"/>
          </w:tcPr>
          <w:p w14:paraId="3BF0B58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合计</w:t>
            </w:r>
          </w:p>
        </w:tc>
        <w:tc>
          <w:tcPr>
            <w:tcW w:w="874" w:type="pct"/>
            <w:vAlign w:val="center"/>
          </w:tcPr>
          <w:p w14:paraId="1C70A3D5"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56790.45</w:t>
            </w:r>
          </w:p>
        </w:tc>
        <w:tc>
          <w:tcPr>
            <w:tcW w:w="475" w:type="pct"/>
            <w:vAlign w:val="center"/>
          </w:tcPr>
          <w:p w14:paraId="2849E72A"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1.2</w:t>
            </w:r>
          </w:p>
        </w:tc>
        <w:tc>
          <w:tcPr>
            <w:tcW w:w="921" w:type="pct"/>
            <w:vAlign w:val="center"/>
          </w:tcPr>
          <w:p w14:paraId="3636065B"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68148.54</w:t>
            </w:r>
          </w:p>
        </w:tc>
        <w:tc>
          <w:tcPr>
            <w:tcW w:w="1181" w:type="pct"/>
            <w:gridSpan w:val="2"/>
            <w:vAlign w:val="center"/>
          </w:tcPr>
          <w:p w14:paraId="519EB191"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w:t>
            </w:r>
          </w:p>
        </w:tc>
      </w:tr>
    </w:tbl>
    <w:p w14:paraId="65A959BA" w14:textId="77777777" w:rsidR="0062768B" w:rsidRDefault="0062768B">
      <w:pPr>
        <w:adjustRightInd/>
        <w:spacing w:line="240" w:lineRule="exact"/>
        <w:ind w:firstLineChars="200" w:firstLine="360"/>
        <w:jc w:val="both"/>
        <w:rPr>
          <w:rFonts w:ascii="Arial" w:eastAsia="仿宋_GB2312" w:hAnsi="Arial" w:cs="Arial"/>
          <w:sz w:val="18"/>
          <w:szCs w:val="18"/>
        </w:rPr>
      </w:pPr>
    </w:p>
    <w:p w14:paraId="2CE42424"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rPr>
        <w:t>估价对象所在宗地实际开发程度为</w:t>
      </w:r>
      <w:proofErr w:type="gramStart"/>
      <w:r>
        <w:rPr>
          <w:rFonts w:ascii="仿宋_GB2312" w:eastAsia="仿宋_GB2312" w:hAnsi="Arial" w:hint="eastAsia"/>
          <w:sz w:val="28"/>
        </w:rPr>
        <w:t>“</w:t>
      </w:r>
      <w:proofErr w:type="gramEnd"/>
      <w:r>
        <w:rPr>
          <w:rFonts w:ascii="Arial" w:eastAsia="仿宋_GB2312" w:hAnsi="Arial" w:cs="Arial"/>
          <w:sz w:val="28"/>
        </w:rPr>
        <w:t>“</w:t>
      </w:r>
      <w:r>
        <w:rPr>
          <w:rFonts w:ascii="仿宋_GB2312" w:eastAsia="仿宋_GB2312" w:hAnsi="Arial" w:hint="eastAsia"/>
          <w:sz w:val="28"/>
        </w:rPr>
        <w:t>六通”（通路、通上水（自来水、中水）、通下水（雨水、污水）、通电（管沟、电缆）、通燃气、通热力）</w:t>
      </w:r>
      <w:r>
        <w:rPr>
          <w:rFonts w:ascii="Arial" w:eastAsia="仿宋_GB2312" w:hAnsi="Arial" w:cs="Arial"/>
          <w:sz w:val="28"/>
          <w:szCs w:val="28"/>
        </w:rPr>
        <w:t>。</w:t>
      </w:r>
    </w:p>
    <w:p w14:paraId="474B3E50"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根据土地估价专业评估师现场勘查，估价对象周边</w:t>
      </w:r>
      <w:r>
        <w:rPr>
          <w:rFonts w:ascii="Arial" w:eastAsia="仿宋_GB2312" w:hAnsi="Arial" w:cs="Arial"/>
          <w:sz w:val="28"/>
          <w:szCs w:val="28"/>
        </w:rPr>
        <w:t>4</w:t>
      </w:r>
      <w:r>
        <w:rPr>
          <w:rFonts w:ascii="Arial" w:eastAsia="仿宋_GB2312" w:hAnsi="Arial" w:cs="Arial" w:hint="eastAsia"/>
          <w:sz w:val="28"/>
          <w:szCs w:val="28"/>
        </w:rPr>
        <w:t>公里范围内有观承望溪、富力首开·金禧璞瑅等类似物业，交房装修标准以精装修为主。因此，本次估价设定估价对象交房装修标准为精装修。</w:t>
      </w:r>
    </w:p>
    <w:p w14:paraId="2CA2569C"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（四）土地开发成本</w:t>
      </w:r>
    </w:p>
    <w:p w14:paraId="6AE16673" w14:textId="36B25EDA"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rPr>
        <w:lastRenderedPageBreak/>
        <w:t>根据</w:t>
      </w:r>
      <w:r w:rsidR="00791FE1">
        <w:rPr>
          <w:rFonts w:ascii="Arial" w:eastAsia="仿宋_GB2312" w:hAnsi="Arial" w:cs="Arial" w:hint="eastAsia"/>
          <w:sz w:val="28"/>
        </w:rPr>
        <w:t>《北京市顺义区人民政府关于顺义区高丽营镇夏县营村棚户区改造土地开发项目</w:t>
      </w:r>
      <w:r w:rsidR="00791FE1">
        <w:rPr>
          <w:rFonts w:ascii="Arial" w:eastAsia="仿宋_GB2312" w:hAnsi="Arial" w:cs="Arial" w:hint="eastAsia"/>
          <w:sz w:val="28"/>
        </w:rPr>
        <w:t>01-008</w:t>
      </w:r>
      <w:r w:rsidR="00791FE1">
        <w:rPr>
          <w:rFonts w:ascii="Arial" w:eastAsia="仿宋_GB2312" w:hAnsi="Arial" w:cs="Arial" w:hint="eastAsia"/>
          <w:sz w:val="28"/>
        </w:rPr>
        <w:t>、</w:t>
      </w:r>
      <w:r w:rsidR="00791FE1">
        <w:rPr>
          <w:rFonts w:ascii="Arial" w:eastAsia="仿宋_GB2312" w:hAnsi="Arial" w:cs="Arial" w:hint="eastAsia"/>
          <w:sz w:val="28"/>
        </w:rPr>
        <w:t>01-016</w:t>
      </w:r>
      <w:r w:rsidR="00791FE1">
        <w:rPr>
          <w:rFonts w:ascii="Arial" w:eastAsia="仿宋_GB2312" w:hAnsi="Arial" w:cs="Arial" w:hint="eastAsia"/>
          <w:sz w:val="28"/>
        </w:rPr>
        <w:t>、</w:t>
      </w:r>
      <w:r w:rsidR="00791FE1">
        <w:rPr>
          <w:rFonts w:ascii="Arial" w:eastAsia="仿宋_GB2312" w:hAnsi="Arial" w:cs="Arial" w:hint="eastAsia"/>
          <w:sz w:val="28"/>
        </w:rPr>
        <w:t>01-026-1</w:t>
      </w:r>
      <w:r w:rsidR="00791FE1">
        <w:rPr>
          <w:rFonts w:ascii="Arial" w:eastAsia="仿宋_GB2312" w:hAnsi="Arial" w:cs="Arial" w:hint="eastAsia"/>
          <w:sz w:val="28"/>
        </w:rPr>
        <w:t>、</w:t>
      </w:r>
      <w:r w:rsidR="00791FE1">
        <w:rPr>
          <w:rFonts w:ascii="Arial" w:eastAsia="仿宋_GB2312" w:hAnsi="Arial" w:cs="Arial" w:hint="eastAsia"/>
          <w:sz w:val="28"/>
        </w:rPr>
        <w:t>01-020</w:t>
      </w:r>
      <w:r w:rsidR="00791FE1">
        <w:rPr>
          <w:rFonts w:ascii="Arial" w:eastAsia="仿宋_GB2312" w:hAnsi="Arial" w:cs="Arial" w:hint="eastAsia"/>
          <w:sz w:val="28"/>
        </w:rPr>
        <w:t>地块提请地价审核有关事宜的函》（</w:t>
      </w:r>
      <w:proofErr w:type="gramStart"/>
      <w:r w:rsidR="00791FE1">
        <w:rPr>
          <w:rFonts w:ascii="Arial" w:eastAsia="仿宋_GB2312" w:hAnsi="Arial" w:cs="Arial" w:hint="eastAsia"/>
          <w:sz w:val="28"/>
        </w:rPr>
        <w:t>顺政函</w:t>
      </w:r>
      <w:proofErr w:type="gramEnd"/>
      <w:r w:rsidR="00791FE1">
        <w:rPr>
          <w:rFonts w:ascii="Arial" w:eastAsia="仿宋_GB2312" w:hAnsi="Arial" w:cs="Arial" w:hint="eastAsia"/>
          <w:sz w:val="28"/>
        </w:rPr>
        <w:t>【</w:t>
      </w:r>
      <w:r w:rsidR="00791FE1">
        <w:rPr>
          <w:rFonts w:ascii="Arial" w:eastAsia="仿宋_GB2312" w:hAnsi="Arial" w:cs="Arial" w:hint="eastAsia"/>
          <w:sz w:val="28"/>
        </w:rPr>
        <w:t>2023</w:t>
      </w:r>
      <w:r w:rsidR="00791FE1">
        <w:rPr>
          <w:rFonts w:ascii="Arial" w:eastAsia="仿宋_GB2312" w:hAnsi="Arial" w:cs="Arial" w:hint="eastAsia"/>
          <w:sz w:val="28"/>
        </w:rPr>
        <w:t>】</w:t>
      </w:r>
      <w:r w:rsidR="00791FE1">
        <w:rPr>
          <w:rFonts w:ascii="Arial" w:eastAsia="仿宋_GB2312" w:hAnsi="Arial" w:cs="Arial" w:hint="eastAsia"/>
          <w:sz w:val="28"/>
        </w:rPr>
        <w:t>151</w:t>
      </w:r>
      <w:r w:rsidR="00791FE1">
        <w:rPr>
          <w:rFonts w:ascii="Arial" w:eastAsia="仿宋_GB2312" w:hAnsi="Arial" w:cs="Arial" w:hint="eastAsia"/>
          <w:sz w:val="28"/>
        </w:rPr>
        <w:t>号）</w:t>
      </w:r>
      <w:r>
        <w:rPr>
          <w:rFonts w:ascii="Arial" w:eastAsia="仿宋_GB2312" w:hAnsi="Arial" w:cs="Arial" w:hint="eastAsia"/>
          <w:sz w:val="28"/>
        </w:rPr>
        <w:t>复印件，估价对象供地条件为宗地外</w:t>
      </w:r>
      <w:r>
        <w:rPr>
          <w:rFonts w:ascii="Arial" w:eastAsia="仿宋_GB2312" w:hAnsi="Arial" w:cs="Arial"/>
          <w:sz w:val="28"/>
        </w:rPr>
        <w:t>“</w:t>
      </w:r>
      <w:r>
        <w:rPr>
          <w:rFonts w:ascii="Arial" w:eastAsia="仿宋_GB2312" w:hAnsi="Arial" w:cs="Arial"/>
          <w:sz w:val="28"/>
        </w:rPr>
        <w:t>六通</w:t>
      </w:r>
      <w:r>
        <w:rPr>
          <w:rFonts w:ascii="Arial" w:eastAsia="仿宋_GB2312" w:hAnsi="Arial" w:cs="Arial"/>
          <w:sz w:val="28"/>
        </w:rPr>
        <w:t>”</w:t>
      </w:r>
      <w:r w:rsidR="00835791">
        <w:rPr>
          <w:rFonts w:ascii="Arial" w:eastAsia="仿宋_GB2312" w:hAnsi="Arial" w:cs="Arial"/>
          <w:sz w:val="28"/>
        </w:rPr>
        <w:t>（通路、通上水（自来水、中水）、通下水（雨水、污水）、通电、通燃气、通热力）</w:t>
      </w:r>
      <w:r>
        <w:rPr>
          <w:rFonts w:ascii="仿宋_GB2312" w:eastAsia="仿宋_GB2312" w:hAnsi="Arial" w:hint="eastAsia"/>
          <w:sz w:val="28"/>
        </w:rPr>
        <w:t>、宗地红线内场地平整</w:t>
      </w:r>
      <w:r>
        <w:rPr>
          <w:rFonts w:ascii="Arial" w:eastAsia="仿宋_GB2312" w:hAnsi="Arial" w:cs="Arial" w:hint="eastAsia"/>
          <w:sz w:val="28"/>
        </w:rPr>
        <w:t>，土地开发成本为</w:t>
      </w:r>
      <w:r w:rsidR="00550FB0">
        <w:rPr>
          <w:rFonts w:ascii="Arial" w:eastAsia="仿宋_GB2312" w:hAnsi="Arial" w:cs="Arial" w:hint="eastAsia"/>
          <w:sz w:val="28"/>
        </w:rPr>
        <w:t>78853.6400</w:t>
      </w:r>
      <w:r>
        <w:rPr>
          <w:rFonts w:ascii="Arial" w:eastAsia="仿宋_GB2312" w:hAnsi="Arial" w:cs="Arial" w:hint="eastAsia"/>
          <w:sz w:val="28"/>
        </w:rPr>
        <w:t>万元。</w:t>
      </w:r>
    </w:p>
    <w:p w14:paraId="64244A6D" w14:textId="77777777" w:rsidR="0062768B" w:rsidRDefault="0062768B">
      <w:pPr>
        <w:spacing w:line="300" w:lineRule="auto"/>
        <w:rPr>
          <w:rFonts w:ascii="Arial" w:eastAsia="仿宋_GB2312" w:hAnsi="Arial" w:cs="Arial"/>
          <w:b/>
          <w:sz w:val="28"/>
        </w:rPr>
      </w:pPr>
      <w:bookmarkStart w:id="132" w:name="_Toc531701564"/>
    </w:p>
    <w:p w14:paraId="5F483327" w14:textId="77777777" w:rsidR="0062768B" w:rsidRDefault="00136729">
      <w:pPr>
        <w:adjustRightInd/>
        <w:spacing w:line="300" w:lineRule="auto"/>
        <w:jc w:val="both"/>
        <w:outlineLvl w:val="1"/>
        <w:rPr>
          <w:rFonts w:ascii="Arial" w:eastAsia="仿宋_GB2312" w:hAnsi="Arial" w:cs="Arial"/>
          <w:b/>
          <w:sz w:val="28"/>
        </w:rPr>
      </w:pPr>
      <w:bookmarkStart w:id="133" w:name="_Toc132016734"/>
      <w:bookmarkStart w:id="134" w:name="_Toc138063004"/>
      <w:r>
        <w:rPr>
          <w:rFonts w:ascii="Arial" w:eastAsia="仿宋_GB2312" w:hAnsi="Arial" w:cs="Arial"/>
          <w:b/>
          <w:sz w:val="28"/>
        </w:rPr>
        <w:t>四、影响地价的因素说明</w:t>
      </w:r>
      <w:bookmarkEnd w:id="128"/>
      <w:bookmarkEnd w:id="129"/>
      <w:bookmarkEnd w:id="130"/>
      <w:bookmarkEnd w:id="132"/>
      <w:bookmarkEnd w:id="133"/>
      <w:bookmarkEnd w:id="134"/>
    </w:p>
    <w:p w14:paraId="6FDF4D29" w14:textId="77777777" w:rsidR="0062768B" w:rsidRDefault="00136729">
      <w:pPr>
        <w:adjustRightInd/>
        <w:spacing w:line="300" w:lineRule="auto"/>
        <w:jc w:val="both"/>
        <w:rPr>
          <w:rFonts w:ascii="仿宋_GB2312" w:eastAsia="仿宋_GB2312" w:hAnsi="Arial"/>
          <w:sz w:val="28"/>
        </w:rPr>
      </w:pPr>
      <w:bookmarkStart w:id="135" w:name="_Toc416783534"/>
      <w:bookmarkStart w:id="136" w:name="_Toc418750897"/>
      <w:bookmarkStart w:id="137" w:name="_Toc425250319"/>
      <w:bookmarkStart w:id="138" w:name="_Toc469066317"/>
      <w:bookmarkStart w:id="139" w:name="_Toc515458374"/>
      <w:bookmarkStart w:id="140" w:name="_Toc520261147"/>
      <w:r>
        <w:rPr>
          <w:rFonts w:ascii="仿宋_GB2312" w:eastAsia="仿宋_GB2312" w:hAnsi="Arial" w:hint="eastAsia"/>
          <w:sz w:val="28"/>
        </w:rPr>
        <w:t>（一）一般因素</w:t>
      </w:r>
    </w:p>
    <w:p w14:paraId="64A0109C" w14:textId="77777777" w:rsidR="0062768B" w:rsidRDefault="00136729">
      <w:pPr>
        <w:adjustRightInd/>
        <w:spacing w:line="300" w:lineRule="auto"/>
        <w:ind w:firstLineChars="200" w:firstLine="560"/>
        <w:jc w:val="both"/>
        <w:rPr>
          <w:rFonts w:ascii="仿宋_GB2312" w:eastAsia="仿宋_GB2312"/>
          <w:bCs/>
          <w:sz w:val="28"/>
          <w:szCs w:val="28"/>
        </w:rPr>
      </w:pPr>
      <w:r>
        <w:rPr>
          <w:rFonts w:ascii="Arial" w:eastAsia="仿宋_GB2312" w:hAnsi="Arial" w:hint="eastAsia"/>
          <w:bCs/>
          <w:sz w:val="28"/>
          <w:szCs w:val="28"/>
        </w:rPr>
        <w:t>1</w:t>
      </w:r>
      <w:r>
        <w:rPr>
          <w:rFonts w:ascii="仿宋_GB2312" w:eastAsia="仿宋_GB2312" w:hint="eastAsia"/>
          <w:bCs/>
          <w:sz w:val="28"/>
          <w:szCs w:val="28"/>
        </w:rPr>
        <w:t>.城市资源状况</w:t>
      </w:r>
    </w:p>
    <w:p w14:paraId="6BAA0E1B" w14:textId="77777777" w:rsidR="0062768B" w:rsidRDefault="00136729">
      <w:pPr>
        <w:adjustRightInd/>
        <w:spacing w:line="300" w:lineRule="auto"/>
        <w:ind w:firstLineChars="200" w:firstLine="560"/>
        <w:jc w:val="both"/>
        <w:outlineLvl w:val="0"/>
        <w:rPr>
          <w:rFonts w:ascii="Arial" w:eastAsia="仿宋_GB2312" w:hAnsi="Arial"/>
          <w:bCs/>
          <w:sz w:val="28"/>
          <w:szCs w:val="28"/>
        </w:rPr>
      </w:pPr>
      <w:bookmarkStart w:id="141" w:name="_Toc138063005"/>
      <w:r>
        <w:rPr>
          <w:rFonts w:ascii="Arial" w:eastAsia="仿宋_GB2312" w:hAnsi="Arial" w:hint="eastAsia"/>
          <w:bCs/>
          <w:sz w:val="28"/>
          <w:szCs w:val="28"/>
        </w:rPr>
        <w:t>北京市位于北纬</w:t>
      </w:r>
      <w:r>
        <w:rPr>
          <w:rFonts w:ascii="Arial" w:eastAsia="仿宋_GB2312" w:hAnsi="Arial" w:hint="eastAsia"/>
          <w:bCs/>
          <w:sz w:val="28"/>
          <w:szCs w:val="28"/>
        </w:rPr>
        <w:t>39</w:t>
      </w:r>
      <w:r>
        <w:rPr>
          <w:rFonts w:ascii="Arial" w:eastAsia="仿宋_GB2312" w:hAnsi="Arial" w:hint="eastAsia"/>
          <w:bCs/>
          <w:sz w:val="28"/>
          <w:szCs w:val="28"/>
        </w:rPr>
        <w:t>度</w:t>
      </w:r>
      <w:r>
        <w:rPr>
          <w:rFonts w:ascii="Arial" w:eastAsia="仿宋_GB2312" w:hAnsi="Arial" w:hint="eastAsia"/>
          <w:bCs/>
          <w:sz w:val="28"/>
          <w:szCs w:val="28"/>
        </w:rPr>
        <w:t>56</w:t>
      </w:r>
      <w:r>
        <w:rPr>
          <w:rFonts w:ascii="Arial" w:eastAsia="仿宋_GB2312" w:hAnsi="Arial" w:hint="eastAsia"/>
          <w:bCs/>
          <w:sz w:val="28"/>
          <w:szCs w:val="28"/>
        </w:rPr>
        <w:t>分，东经</w:t>
      </w:r>
      <w:r>
        <w:rPr>
          <w:rFonts w:ascii="Arial" w:eastAsia="仿宋_GB2312" w:hAnsi="Arial" w:hint="eastAsia"/>
          <w:bCs/>
          <w:sz w:val="28"/>
          <w:szCs w:val="28"/>
        </w:rPr>
        <w:t>116</w:t>
      </w:r>
      <w:r>
        <w:rPr>
          <w:rFonts w:ascii="Arial" w:eastAsia="仿宋_GB2312" w:hAnsi="Arial" w:hint="eastAsia"/>
          <w:bCs/>
          <w:sz w:val="28"/>
          <w:szCs w:val="28"/>
        </w:rPr>
        <w:t>度</w:t>
      </w:r>
      <w:r>
        <w:rPr>
          <w:rFonts w:ascii="Arial" w:eastAsia="仿宋_GB2312" w:hAnsi="Arial" w:hint="eastAsia"/>
          <w:bCs/>
          <w:sz w:val="28"/>
          <w:szCs w:val="28"/>
        </w:rPr>
        <w:t>20</w:t>
      </w:r>
      <w:r>
        <w:rPr>
          <w:rFonts w:ascii="Arial" w:eastAsia="仿宋_GB2312" w:hAnsi="Arial" w:hint="eastAsia"/>
          <w:bCs/>
          <w:sz w:val="28"/>
          <w:szCs w:val="28"/>
        </w:rPr>
        <w:t>分，地处华北大平原的北部，北京市土地面积</w:t>
      </w:r>
      <w:r>
        <w:rPr>
          <w:rFonts w:ascii="Arial" w:eastAsia="仿宋_GB2312" w:hAnsi="Arial" w:hint="eastAsia"/>
          <w:bCs/>
          <w:sz w:val="28"/>
          <w:szCs w:val="28"/>
        </w:rPr>
        <w:t>16410.54</w:t>
      </w:r>
      <w:r>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Pr>
          <w:rFonts w:ascii="Arial" w:eastAsia="仿宋_GB2312" w:hAnsi="Arial" w:hint="eastAsia"/>
          <w:bCs/>
          <w:sz w:val="28"/>
          <w:szCs w:val="28"/>
        </w:rPr>
        <w:t>16</w:t>
      </w:r>
      <w:r>
        <w:rPr>
          <w:rFonts w:ascii="Arial" w:eastAsia="仿宋_GB2312" w:hAnsi="Arial" w:hint="eastAsia"/>
          <w:bCs/>
          <w:sz w:val="28"/>
          <w:szCs w:val="28"/>
        </w:rPr>
        <w:t>区格局，即东城、西城、海淀、朝阳、丰台、顺义、昌平、通州、门头沟、石景山、房山、大兴、怀柔、平谷、密云、延庆。</w:t>
      </w:r>
      <w:bookmarkEnd w:id="141"/>
    </w:p>
    <w:p w14:paraId="75EC0F0D" w14:textId="77777777" w:rsidR="0062768B" w:rsidRDefault="00136729">
      <w:pPr>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截至</w:t>
      </w:r>
      <w:r>
        <w:rPr>
          <w:rFonts w:ascii="Arial" w:eastAsia="仿宋_GB2312" w:hAnsi="Arial" w:cs="Arial"/>
          <w:bCs/>
          <w:sz w:val="28"/>
          <w:szCs w:val="28"/>
        </w:rPr>
        <w:t>2022</w:t>
      </w:r>
      <w:r>
        <w:rPr>
          <w:rFonts w:ascii="Arial" w:eastAsia="仿宋_GB2312" w:hAnsi="Arial" w:cs="Arial" w:hint="eastAsia"/>
          <w:bCs/>
          <w:sz w:val="28"/>
          <w:szCs w:val="28"/>
        </w:rPr>
        <w:t>年年末，北京市常住人口为</w:t>
      </w:r>
      <w:r>
        <w:rPr>
          <w:rFonts w:ascii="Arial" w:eastAsia="仿宋_GB2312" w:hAnsi="Arial" w:cs="Arial"/>
          <w:bCs/>
          <w:sz w:val="28"/>
          <w:szCs w:val="28"/>
        </w:rPr>
        <w:t>2184.3</w:t>
      </w:r>
      <w:r>
        <w:rPr>
          <w:rFonts w:ascii="Arial" w:eastAsia="仿宋_GB2312" w:hAnsi="Arial" w:cs="Arial" w:hint="eastAsia"/>
          <w:bCs/>
          <w:sz w:val="28"/>
          <w:szCs w:val="28"/>
        </w:rPr>
        <w:t>万人，从年龄构成看，</w:t>
      </w:r>
      <w:r>
        <w:rPr>
          <w:rFonts w:ascii="Arial" w:eastAsia="仿宋_GB2312" w:hAnsi="Arial" w:cs="Arial"/>
          <w:bCs/>
          <w:sz w:val="28"/>
          <w:szCs w:val="28"/>
        </w:rPr>
        <w:t>0-14</w:t>
      </w:r>
      <w:r>
        <w:rPr>
          <w:rFonts w:ascii="Arial" w:eastAsia="仿宋_GB2312" w:hAnsi="Arial" w:cs="Arial" w:hint="eastAsia"/>
          <w:bCs/>
          <w:sz w:val="28"/>
          <w:szCs w:val="28"/>
        </w:rPr>
        <w:t>岁常住人口</w:t>
      </w:r>
      <w:r>
        <w:rPr>
          <w:rFonts w:ascii="Arial" w:eastAsia="仿宋_GB2312" w:hAnsi="Arial" w:cs="Arial"/>
          <w:bCs/>
          <w:sz w:val="28"/>
          <w:szCs w:val="28"/>
        </w:rPr>
        <w:t>264</w:t>
      </w:r>
      <w:r>
        <w:rPr>
          <w:rFonts w:ascii="Arial" w:eastAsia="仿宋_GB2312" w:hAnsi="Arial" w:cs="Arial" w:hint="eastAsia"/>
          <w:bCs/>
          <w:sz w:val="28"/>
          <w:szCs w:val="28"/>
        </w:rPr>
        <w:t>万人，占全市常住人口的比重为</w:t>
      </w:r>
      <w:r>
        <w:rPr>
          <w:rFonts w:ascii="Arial" w:eastAsia="仿宋_GB2312" w:hAnsi="Arial" w:cs="Arial"/>
          <w:bCs/>
          <w:sz w:val="28"/>
          <w:szCs w:val="28"/>
        </w:rPr>
        <w:t>12.1%</w:t>
      </w:r>
      <w:r>
        <w:rPr>
          <w:rFonts w:ascii="Arial" w:eastAsia="仿宋_GB2312" w:hAnsi="Arial" w:cs="Arial" w:hint="eastAsia"/>
          <w:bCs/>
          <w:sz w:val="28"/>
          <w:szCs w:val="28"/>
        </w:rPr>
        <w:t>；</w:t>
      </w:r>
      <w:r>
        <w:rPr>
          <w:rFonts w:ascii="Arial" w:eastAsia="仿宋_GB2312" w:hAnsi="Arial" w:cs="Arial"/>
          <w:bCs/>
          <w:sz w:val="28"/>
          <w:szCs w:val="28"/>
        </w:rPr>
        <w:t>15-59</w:t>
      </w:r>
      <w:r>
        <w:rPr>
          <w:rFonts w:ascii="Arial" w:eastAsia="仿宋_GB2312" w:hAnsi="Arial" w:cs="Arial" w:hint="eastAsia"/>
          <w:bCs/>
          <w:sz w:val="28"/>
          <w:szCs w:val="28"/>
        </w:rPr>
        <w:t>岁常住人口</w:t>
      </w:r>
      <w:r>
        <w:rPr>
          <w:rFonts w:ascii="Arial" w:eastAsia="仿宋_GB2312" w:hAnsi="Arial" w:cs="Arial"/>
          <w:bCs/>
          <w:sz w:val="28"/>
          <w:szCs w:val="28"/>
        </w:rPr>
        <w:t>1455.2</w:t>
      </w:r>
      <w:r>
        <w:rPr>
          <w:rFonts w:ascii="Arial" w:eastAsia="仿宋_GB2312" w:hAnsi="Arial" w:cs="Arial" w:hint="eastAsia"/>
          <w:bCs/>
          <w:sz w:val="28"/>
          <w:szCs w:val="28"/>
        </w:rPr>
        <w:t>万人，占</w:t>
      </w:r>
      <w:r>
        <w:rPr>
          <w:rFonts w:ascii="Arial" w:eastAsia="仿宋_GB2312" w:hAnsi="Arial" w:cs="Arial"/>
          <w:bCs/>
          <w:sz w:val="28"/>
          <w:szCs w:val="28"/>
        </w:rPr>
        <w:t>66.6%</w:t>
      </w:r>
      <w:r>
        <w:rPr>
          <w:rFonts w:ascii="Arial" w:eastAsia="仿宋_GB2312" w:hAnsi="Arial" w:cs="Arial" w:hint="eastAsia"/>
          <w:bCs/>
          <w:sz w:val="28"/>
          <w:szCs w:val="28"/>
        </w:rPr>
        <w:t>；</w:t>
      </w:r>
      <w:r>
        <w:rPr>
          <w:rFonts w:ascii="Arial" w:eastAsia="仿宋_GB2312" w:hAnsi="Arial" w:cs="Arial"/>
          <w:bCs/>
          <w:sz w:val="28"/>
          <w:szCs w:val="28"/>
        </w:rPr>
        <w:t>60</w:t>
      </w:r>
      <w:r>
        <w:rPr>
          <w:rFonts w:ascii="Arial" w:eastAsia="仿宋_GB2312" w:hAnsi="Arial" w:cs="Arial" w:hint="eastAsia"/>
          <w:bCs/>
          <w:sz w:val="28"/>
          <w:szCs w:val="28"/>
        </w:rPr>
        <w:t>岁及以上常住人口</w:t>
      </w:r>
      <w:r>
        <w:rPr>
          <w:rFonts w:ascii="Arial" w:eastAsia="仿宋_GB2312" w:hAnsi="Arial" w:cs="Arial"/>
          <w:bCs/>
          <w:sz w:val="28"/>
          <w:szCs w:val="28"/>
        </w:rPr>
        <w:t>465.1</w:t>
      </w:r>
      <w:r>
        <w:rPr>
          <w:rFonts w:ascii="Arial" w:eastAsia="仿宋_GB2312" w:hAnsi="Arial" w:cs="Arial" w:hint="eastAsia"/>
          <w:bCs/>
          <w:sz w:val="28"/>
          <w:szCs w:val="28"/>
        </w:rPr>
        <w:t>万人，占</w:t>
      </w:r>
      <w:r>
        <w:rPr>
          <w:rFonts w:ascii="Arial" w:eastAsia="仿宋_GB2312" w:hAnsi="Arial" w:cs="Arial"/>
          <w:bCs/>
          <w:sz w:val="28"/>
          <w:szCs w:val="28"/>
        </w:rPr>
        <w:t>21.3%</w:t>
      </w:r>
      <w:r>
        <w:rPr>
          <w:rFonts w:ascii="Arial" w:eastAsia="仿宋_GB2312" w:hAnsi="Arial" w:cs="Arial" w:hint="eastAsia"/>
          <w:bCs/>
          <w:sz w:val="28"/>
          <w:szCs w:val="28"/>
        </w:rPr>
        <w:t>。</w:t>
      </w:r>
    </w:p>
    <w:p w14:paraId="7C0A5FA1" w14:textId="77777777" w:rsidR="0062768B" w:rsidRDefault="00136729">
      <w:pPr>
        <w:overflowPunct w:val="0"/>
        <w:spacing w:line="360" w:lineRule="auto"/>
        <w:jc w:val="center"/>
        <w:rPr>
          <w:rFonts w:ascii="Arial" w:eastAsia="仿宋_GB2312" w:hAnsi="Arial"/>
          <w:b/>
          <w:bCs/>
          <w:szCs w:val="24"/>
        </w:rPr>
      </w:pPr>
      <w:r>
        <w:rPr>
          <w:rFonts w:ascii="Arial" w:eastAsia="仿宋_GB2312" w:hAnsi="Arial"/>
          <w:b/>
          <w:bCs/>
          <w:szCs w:val="24"/>
        </w:rPr>
        <w:t>2018-2022</w:t>
      </w:r>
      <w:r>
        <w:rPr>
          <w:rFonts w:ascii="Arial" w:eastAsia="仿宋_GB2312" w:hAnsi="Arial" w:hint="eastAsia"/>
          <w:b/>
          <w:bCs/>
          <w:szCs w:val="24"/>
        </w:rPr>
        <w:t>年常住人口增量及增长速度</w:t>
      </w:r>
    </w:p>
    <w:p w14:paraId="350391B5" w14:textId="77777777" w:rsidR="0062768B" w:rsidRDefault="00136729">
      <w:pPr>
        <w:widowControl/>
        <w:adjustRightInd/>
        <w:spacing w:line="375" w:lineRule="atLeast"/>
        <w:jc w:val="center"/>
        <w:textAlignment w:val="auto"/>
        <w:rPr>
          <w:rFonts w:ascii="宋体" w:hAnsi="宋体" w:cs="宋体"/>
          <w:sz w:val="21"/>
          <w:szCs w:val="21"/>
        </w:rPr>
      </w:pPr>
      <w:r>
        <w:rPr>
          <w:noProof/>
        </w:rPr>
        <w:drawing>
          <wp:inline distT="0" distB="0" distL="0" distR="0" wp14:anchorId="35F3CF53" wp14:editId="65657905">
            <wp:extent cx="5911850" cy="2541270"/>
            <wp:effectExtent l="0" t="0" r="6350" b="0"/>
            <wp:docPr id="1" name="图表 1"/>
            <wp:cNvGraphicFramePr/>
            <a:graphic xmlns:a="http://schemas.openxmlformats.org/drawingml/2006/main">
              <a:graphicData uri="http://schemas.openxmlformats.org/drawingml/2006/picture">
                <pic:pic xmlns:pic="http://schemas.openxmlformats.org/drawingml/2006/picture">
                  <pic:nvPicPr>
                    <pic:cNvPr id="1" name="图表 1"/>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11850" cy="2541270"/>
                    </a:xfrm>
                    <a:prstGeom prst="rect">
                      <a:avLst/>
                    </a:prstGeom>
                    <a:noFill/>
                    <a:ln>
                      <a:noFill/>
                    </a:ln>
                  </pic:spPr>
                </pic:pic>
              </a:graphicData>
            </a:graphic>
          </wp:inline>
        </w:drawing>
      </w:r>
    </w:p>
    <w:p w14:paraId="64F9AE15" w14:textId="77777777" w:rsidR="0062768B" w:rsidRDefault="0062768B">
      <w:pPr>
        <w:adjustRightInd/>
        <w:spacing w:line="300" w:lineRule="auto"/>
        <w:ind w:firstLineChars="200" w:firstLine="560"/>
        <w:jc w:val="both"/>
        <w:rPr>
          <w:rFonts w:ascii="Arial" w:eastAsia="仿宋_GB2312" w:hAnsi="Arial" w:cs="Arial"/>
          <w:bCs/>
          <w:sz w:val="28"/>
          <w:szCs w:val="28"/>
        </w:rPr>
      </w:pPr>
    </w:p>
    <w:p w14:paraId="599859F5" w14:textId="77777777" w:rsidR="0062768B" w:rsidRDefault="00136729">
      <w:pPr>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lastRenderedPageBreak/>
        <w:t>2.</w:t>
      </w:r>
      <w:r>
        <w:rPr>
          <w:rFonts w:ascii="Arial" w:eastAsia="仿宋_GB2312" w:hAnsi="Arial" w:cs="Arial"/>
          <w:bCs/>
          <w:sz w:val="28"/>
          <w:szCs w:val="28"/>
        </w:rPr>
        <w:t>房地产市场状况</w:t>
      </w:r>
      <w:r>
        <w:rPr>
          <w:rFonts w:ascii="Arial" w:eastAsia="仿宋_GB2312" w:hAnsi="Arial" w:cs="Arial" w:hint="eastAsia"/>
          <w:bCs/>
          <w:sz w:val="28"/>
          <w:szCs w:val="28"/>
        </w:rPr>
        <w:t>（住宅）</w:t>
      </w:r>
    </w:p>
    <w:p w14:paraId="44BFEF49"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bCs/>
          <w:sz w:val="28"/>
          <w:szCs w:val="28"/>
        </w:rPr>
        <w:t>（</w:t>
      </w:r>
      <w:r>
        <w:rPr>
          <w:rFonts w:ascii="Arial" w:eastAsia="仿宋_GB2312" w:hAnsi="Arial" w:cs="Arial"/>
          <w:bCs/>
          <w:sz w:val="28"/>
          <w:szCs w:val="28"/>
        </w:rPr>
        <w:t>1</w:t>
      </w:r>
      <w:r>
        <w:rPr>
          <w:rFonts w:ascii="Arial" w:eastAsia="仿宋_GB2312" w:hAnsi="Arial" w:cs="Arial"/>
          <w:bCs/>
          <w:sz w:val="28"/>
          <w:szCs w:val="28"/>
        </w:rPr>
        <w:t>）土地市场</w:t>
      </w:r>
    </w:p>
    <w:p w14:paraId="124B90D9" w14:textId="77777777" w:rsidR="0062768B" w:rsidRDefault="00136729">
      <w:pPr>
        <w:widowControl/>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）土地供求情况</w:t>
      </w:r>
    </w:p>
    <w:p w14:paraId="780099B0" w14:textId="77777777" w:rsidR="0062768B" w:rsidRDefault="00136729">
      <w:pPr>
        <w:widowControl/>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年北京集中供地制度继续优化完善，定期发布</w:t>
      </w:r>
      <w:proofErr w:type="gramStart"/>
      <w:r>
        <w:rPr>
          <w:rFonts w:ascii="Arial" w:eastAsia="仿宋_GB2312" w:hAnsi="Arial" w:hint="eastAsia"/>
          <w:bCs/>
          <w:sz w:val="28"/>
          <w:szCs w:val="28"/>
        </w:rPr>
        <w:t>拟供应</w:t>
      </w:r>
      <w:proofErr w:type="gramEnd"/>
      <w:r>
        <w:rPr>
          <w:rFonts w:ascii="Arial" w:eastAsia="仿宋_GB2312" w:hAnsi="Arial" w:hint="eastAsia"/>
          <w:bCs/>
          <w:sz w:val="28"/>
          <w:szCs w:val="28"/>
        </w:rPr>
        <w:t>商品住宅用地清单，采取“多频少量”的方式推进清单地块出让，以常态化的方式保持供地节奏。一季度，北京宅地整体供求节奏较慢，且受去年集中供地节奏影响，用球规模同比均大幅回落。从供应端来看，</w:t>
      </w:r>
      <w:r>
        <w:rPr>
          <w:rFonts w:ascii="Arial" w:eastAsia="仿宋_GB2312" w:hAnsi="Arial" w:hint="eastAsia"/>
          <w:bCs/>
          <w:sz w:val="28"/>
          <w:szCs w:val="28"/>
        </w:rPr>
        <w:t>2023</w:t>
      </w:r>
      <w:r>
        <w:rPr>
          <w:rFonts w:ascii="Arial" w:eastAsia="仿宋_GB2312" w:hAnsi="Arial" w:hint="eastAsia"/>
          <w:bCs/>
          <w:sz w:val="28"/>
          <w:szCs w:val="28"/>
        </w:rPr>
        <w:t>年一季度北京商品住宅用地共推出</w:t>
      </w:r>
      <w:r>
        <w:rPr>
          <w:rFonts w:ascii="Arial" w:eastAsia="仿宋_GB2312" w:hAnsi="Arial" w:hint="eastAsia"/>
          <w:bCs/>
          <w:sz w:val="28"/>
          <w:szCs w:val="28"/>
        </w:rPr>
        <w:t>6</w:t>
      </w:r>
      <w:r>
        <w:rPr>
          <w:rFonts w:ascii="Arial" w:eastAsia="仿宋_GB2312" w:hAnsi="Arial" w:hint="eastAsia"/>
          <w:bCs/>
          <w:sz w:val="28"/>
          <w:szCs w:val="28"/>
        </w:rPr>
        <w:t>宗，累计供应</w:t>
      </w:r>
      <w:proofErr w:type="gramStart"/>
      <w:r>
        <w:rPr>
          <w:rFonts w:ascii="Arial" w:eastAsia="仿宋_GB2312" w:hAnsi="Arial" w:hint="eastAsia"/>
          <w:bCs/>
          <w:sz w:val="28"/>
          <w:szCs w:val="28"/>
        </w:rPr>
        <w:t>规划建面</w:t>
      </w:r>
      <w:proofErr w:type="gramEnd"/>
      <w:r>
        <w:rPr>
          <w:rFonts w:ascii="Arial" w:eastAsia="仿宋_GB2312" w:hAnsi="Arial" w:hint="eastAsia"/>
          <w:bCs/>
          <w:sz w:val="28"/>
          <w:szCs w:val="28"/>
        </w:rPr>
        <w:t>44.78</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，同比下降</w:t>
      </w:r>
      <w:r>
        <w:rPr>
          <w:rFonts w:ascii="Arial" w:eastAsia="仿宋_GB2312" w:hAnsi="Arial" w:hint="eastAsia"/>
          <w:bCs/>
          <w:sz w:val="28"/>
          <w:szCs w:val="28"/>
        </w:rPr>
        <w:t>74%</w:t>
      </w:r>
      <w:r>
        <w:rPr>
          <w:rFonts w:ascii="Arial" w:eastAsia="仿宋_GB2312" w:hAnsi="Arial" w:hint="eastAsia"/>
          <w:bCs/>
          <w:sz w:val="28"/>
          <w:szCs w:val="28"/>
        </w:rPr>
        <w:t>；从需求端来看，一季度北京累计成交</w:t>
      </w:r>
      <w:r>
        <w:rPr>
          <w:rFonts w:ascii="Arial" w:eastAsia="仿宋_GB2312" w:hAnsi="Arial" w:hint="eastAsia"/>
          <w:bCs/>
          <w:sz w:val="28"/>
          <w:szCs w:val="28"/>
        </w:rPr>
        <w:t>8</w:t>
      </w:r>
      <w:r>
        <w:rPr>
          <w:rFonts w:ascii="Arial" w:eastAsia="仿宋_GB2312" w:hAnsi="Arial" w:hint="eastAsia"/>
          <w:bCs/>
          <w:sz w:val="28"/>
          <w:szCs w:val="28"/>
        </w:rPr>
        <w:t>宗商品住宅用地，成交</w:t>
      </w:r>
      <w:proofErr w:type="gramStart"/>
      <w:r>
        <w:rPr>
          <w:rFonts w:ascii="Arial" w:eastAsia="仿宋_GB2312" w:hAnsi="Arial" w:hint="eastAsia"/>
          <w:bCs/>
          <w:sz w:val="28"/>
          <w:szCs w:val="28"/>
        </w:rPr>
        <w:t>规划建面</w:t>
      </w:r>
      <w:proofErr w:type="gramEnd"/>
      <w:r>
        <w:rPr>
          <w:rFonts w:ascii="Arial" w:eastAsia="仿宋_GB2312" w:hAnsi="Arial" w:hint="eastAsia"/>
          <w:bCs/>
          <w:sz w:val="28"/>
          <w:szCs w:val="28"/>
        </w:rPr>
        <w:t>67.66</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，同比下降</w:t>
      </w:r>
      <w:r>
        <w:rPr>
          <w:rFonts w:ascii="Arial" w:eastAsia="仿宋_GB2312" w:hAnsi="Arial" w:hint="eastAsia"/>
          <w:bCs/>
          <w:sz w:val="28"/>
          <w:szCs w:val="28"/>
        </w:rPr>
        <w:t>58%</w:t>
      </w:r>
      <w:r>
        <w:rPr>
          <w:rFonts w:ascii="Arial" w:eastAsia="仿宋_GB2312" w:hAnsi="Arial" w:hint="eastAsia"/>
          <w:bCs/>
          <w:sz w:val="28"/>
          <w:szCs w:val="28"/>
        </w:rPr>
        <w:t>。</w:t>
      </w:r>
      <w:r>
        <w:rPr>
          <w:rFonts w:ascii="Arial" w:eastAsia="仿宋_GB2312" w:hAnsi="Arial" w:hint="eastAsia"/>
          <w:bCs/>
          <w:sz w:val="28"/>
          <w:szCs w:val="28"/>
        </w:rPr>
        <w:t xml:space="preserve"> </w:t>
      </w:r>
    </w:p>
    <w:p w14:paraId="4A14F25E" w14:textId="77777777" w:rsidR="0062768B" w:rsidRDefault="00136729">
      <w:pPr>
        <w:widowControl/>
        <w:overflowPunct w:val="0"/>
        <w:adjustRightInd/>
        <w:spacing w:line="480" w:lineRule="auto"/>
        <w:jc w:val="center"/>
        <w:textAlignment w:val="auto"/>
        <w:rPr>
          <w:rFonts w:ascii="Arial" w:hAnsi="Arial"/>
          <w:sz w:val="21"/>
          <w:szCs w:val="21"/>
        </w:rPr>
      </w:pPr>
      <w:r>
        <w:rPr>
          <w:noProof/>
        </w:rPr>
        <w:drawing>
          <wp:inline distT="0" distB="0" distL="0" distR="0" wp14:anchorId="00E094CE" wp14:editId="42B94A19">
            <wp:extent cx="5901055" cy="1924685"/>
            <wp:effectExtent l="0" t="0" r="0"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01055" cy="1924685"/>
                    </a:xfrm>
                    <a:prstGeom prst="rect">
                      <a:avLst/>
                    </a:prstGeom>
                    <a:noFill/>
                    <a:ln>
                      <a:noFill/>
                    </a:ln>
                  </pic:spPr>
                </pic:pic>
              </a:graphicData>
            </a:graphic>
          </wp:inline>
        </w:drawing>
      </w:r>
    </w:p>
    <w:p w14:paraId="20A2DCB0" w14:textId="77777777" w:rsidR="0062768B" w:rsidRDefault="00136729">
      <w:pPr>
        <w:widowControl/>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w:t>
      </w:r>
      <w:r>
        <w:rPr>
          <w:rFonts w:ascii="Arial" w:eastAsia="仿宋_GB2312" w:hAnsi="Arial" w:hint="eastAsia"/>
          <w:bCs/>
          <w:sz w:val="28"/>
          <w:szCs w:val="28"/>
        </w:rPr>
        <w:t>）土地成交价格</w:t>
      </w:r>
    </w:p>
    <w:p w14:paraId="22F90BEE"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年一季度，北京宅地整体成交楼面均价</w:t>
      </w:r>
      <w:r>
        <w:rPr>
          <w:rFonts w:ascii="Arial" w:eastAsia="仿宋_GB2312" w:hAnsi="Arial" w:hint="eastAsia"/>
          <w:bCs/>
          <w:sz w:val="28"/>
          <w:szCs w:val="28"/>
        </w:rPr>
        <w:t>25433</w:t>
      </w:r>
      <w:r>
        <w:rPr>
          <w:rFonts w:ascii="Arial" w:eastAsia="仿宋_GB2312" w:hAnsi="Arial" w:hint="eastAsia"/>
          <w:bCs/>
          <w:sz w:val="28"/>
          <w:szCs w:val="28"/>
        </w:rPr>
        <w:t>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，受去年同期丰台、朝阳等地块高楼面价基数影响，同比结构下降</w:t>
      </w:r>
      <w:r>
        <w:rPr>
          <w:rFonts w:ascii="Arial" w:eastAsia="仿宋_GB2312" w:hAnsi="Arial" w:hint="eastAsia"/>
          <w:bCs/>
          <w:sz w:val="28"/>
          <w:szCs w:val="28"/>
        </w:rPr>
        <w:t>15%</w:t>
      </w:r>
      <w:r>
        <w:rPr>
          <w:rFonts w:ascii="Arial" w:eastAsia="仿宋_GB2312" w:hAnsi="Arial" w:hint="eastAsia"/>
          <w:bCs/>
          <w:sz w:val="28"/>
          <w:szCs w:val="28"/>
        </w:rPr>
        <w:t>。溢价率方面，受昌平朱辛庄地块、</w:t>
      </w:r>
      <w:proofErr w:type="gramStart"/>
      <w:r>
        <w:rPr>
          <w:rFonts w:ascii="Arial" w:eastAsia="仿宋_GB2312" w:hAnsi="Arial" w:hint="eastAsia"/>
          <w:bCs/>
          <w:sz w:val="28"/>
          <w:szCs w:val="28"/>
        </w:rPr>
        <w:t>昌平回</w:t>
      </w:r>
      <w:proofErr w:type="gramEnd"/>
      <w:r>
        <w:rPr>
          <w:rFonts w:ascii="Arial" w:eastAsia="仿宋_GB2312" w:hAnsi="Arial" w:hint="eastAsia"/>
          <w:bCs/>
          <w:sz w:val="28"/>
          <w:szCs w:val="28"/>
        </w:rPr>
        <w:t>龙观国际信息产业基地二期地块、石景山苹果园地块以及朝阳小红门</w:t>
      </w:r>
      <w:proofErr w:type="gramStart"/>
      <w:r>
        <w:rPr>
          <w:rFonts w:ascii="Arial" w:eastAsia="仿宋_GB2312" w:hAnsi="Arial" w:hint="eastAsia"/>
          <w:bCs/>
          <w:sz w:val="28"/>
          <w:szCs w:val="28"/>
        </w:rPr>
        <w:t>地块高溢价带</w:t>
      </w:r>
      <w:proofErr w:type="gramEnd"/>
      <w:r>
        <w:rPr>
          <w:rFonts w:ascii="Arial" w:eastAsia="仿宋_GB2312" w:hAnsi="Arial" w:hint="eastAsia"/>
          <w:bCs/>
          <w:sz w:val="28"/>
          <w:szCs w:val="28"/>
        </w:rPr>
        <w:t>动，北京一季度宅地成交溢价率</w:t>
      </w:r>
      <w:r>
        <w:rPr>
          <w:rFonts w:ascii="Arial" w:eastAsia="仿宋_GB2312" w:hAnsi="Arial" w:hint="eastAsia"/>
          <w:bCs/>
          <w:sz w:val="28"/>
          <w:szCs w:val="28"/>
        </w:rPr>
        <w:t>4.5%</w:t>
      </w:r>
      <w:r>
        <w:rPr>
          <w:rFonts w:ascii="Arial" w:eastAsia="仿宋_GB2312" w:hAnsi="Arial" w:hint="eastAsia"/>
          <w:bCs/>
          <w:sz w:val="28"/>
          <w:szCs w:val="28"/>
        </w:rPr>
        <w:t>，同比提高</w:t>
      </w:r>
      <w:r>
        <w:rPr>
          <w:rFonts w:ascii="Arial" w:eastAsia="仿宋_GB2312" w:hAnsi="Arial" w:hint="eastAsia"/>
          <w:bCs/>
          <w:sz w:val="28"/>
          <w:szCs w:val="28"/>
        </w:rPr>
        <w:t>1.9</w:t>
      </w:r>
      <w:r>
        <w:rPr>
          <w:rFonts w:ascii="Arial" w:eastAsia="仿宋_GB2312" w:hAnsi="Arial" w:hint="eastAsia"/>
          <w:bCs/>
          <w:sz w:val="28"/>
          <w:szCs w:val="28"/>
        </w:rPr>
        <w:t>个百分点。但整体来看市场热度依然分化明显，成交的</w:t>
      </w:r>
      <w:r>
        <w:rPr>
          <w:rFonts w:ascii="Arial" w:eastAsia="仿宋_GB2312" w:hAnsi="Arial" w:hint="eastAsia"/>
          <w:bCs/>
          <w:sz w:val="28"/>
          <w:szCs w:val="28"/>
        </w:rPr>
        <w:t>8</w:t>
      </w:r>
      <w:r>
        <w:rPr>
          <w:rFonts w:ascii="Arial" w:eastAsia="仿宋_GB2312" w:hAnsi="Arial" w:hint="eastAsia"/>
          <w:bCs/>
          <w:sz w:val="28"/>
          <w:szCs w:val="28"/>
        </w:rPr>
        <w:t>宗地块中，</w:t>
      </w:r>
      <w:r>
        <w:rPr>
          <w:rFonts w:ascii="Arial" w:eastAsia="仿宋_GB2312" w:hAnsi="Arial" w:hint="eastAsia"/>
          <w:bCs/>
          <w:sz w:val="28"/>
          <w:szCs w:val="28"/>
        </w:rPr>
        <w:t>4</w:t>
      </w:r>
      <w:r>
        <w:rPr>
          <w:rFonts w:ascii="Arial" w:eastAsia="仿宋_GB2312" w:hAnsi="Arial" w:hint="eastAsia"/>
          <w:bCs/>
          <w:sz w:val="28"/>
          <w:szCs w:val="28"/>
        </w:rPr>
        <w:t>宗地块触及地价上限，溢价率</w:t>
      </w:r>
      <w:r>
        <w:rPr>
          <w:rFonts w:ascii="Arial" w:eastAsia="仿宋_GB2312" w:hAnsi="Arial" w:hint="eastAsia"/>
          <w:bCs/>
          <w:sz w:val="28"/>
          <w:szCs w:val="28"/>
        </w:rPr>
        <w:t>15%</w:t>
      </w:r>
      <w:r>
        <w:rPr>
          <w:rFonts w:ascii="Arial" w:eastAsia="仿宋_GB2312" w:hAnsi="Arial" w:hint="eastAsia"/>
          <w:bCs/>
          <w:sz w:val="28"/>
          <w:szCs w:val="28"/>
        </w:rPr>
        <w:t>，其中昌平朱辛庄地块吸引</w:t>
      </w:r>
      <w:r>
        <w:rPr>
          <w:rFonts w:ascii="Arial" w:eastAsia="仿宋_GB2312" w:hAnsi="Arial" w:hint="eastAsia"/>
          <w:bCs/>
          <w:sz w:val="28"/>
          <w:szCs w:val="28"/>
        </w:rPr>
        <w:t>42</w:t>
      </w:r>
      <w:r>
        <w:rPr>
          <w:rFonts w:ascii="Arial" w:eastAsia="仿宋_GB2312" w:hAnsi="Arial" w:hint="eastAsia"/>
          <w:bCs/>
          <w:sz w:val="28"/>
          <w:szCs w:val="28"/>
        </w:rPr>
        <w:t>家企业参与报名，摇号中签率仅</w:t>
      </w:r>
      <w:r>
        <w:rPr>
          <w:rFonts w:ascii="Arial" w:eastAsia="仿宋_GB2312" w:hAnsi="Arial" w:hint="eastAsia"/>
          <w:bCs/>
          <w:sz w:val="28"/>
          <w:szCs w:val="28"/>
        </w:rPr>
        <w:t>2.38%</w:t>
      </w:r>
      <w:r>
        <w:rPr>
          <w:rFonts w:ascii="Arial" w:eastAsia="仿宋_GB2312" w:hAnsi="Arial" w:hint="eastAsia"/>
          <w:bCs/>
          <w:sz w:val="28"/>
          <w:szCs w:val="28"/>
        </w:rPr>
        <w:t>，刷新了北京</w:t>
      </w:r>
      <w:proofErr w:type="gramStart"/>
      <w:r>
        <w:rPr>
          <w:rFonts w:ascii="Arial" w:eastAsia="仿宋_GB2312" w:hAnsi="Arial" w:hint="eastAsia"/>
          <w:bCs/>
          <w:sz w:val="28"/>
          <w:szCs w:val="28"/>
        </w:rPr>
        <w:t>土拍史</w:t>
      </w:r>
      <w:proofErr w:type="gramEnd"/>
      <w:r>
        <w:rPr>
          <w:rFonts w:ascii="Arial" w:eastAsia="仿宋_GB2312" w:hAnsi="Arial" w:hint="eastAsia"/>
          <w:bCs/>
          <w:sz w:val="28"/>
          <w:szCs w:val="28"/>
        </w:rPr>
        <w:t>上中签率新低纪录；而其他</w:t>
      </w:r>
      <w:r>
        <w:rPr>
          <w:rFonts w:ascii="Arial" w:eastAsia="仿宋_GB2312" w:hAnsi="Arial" w:hint="eastAsia"/>
          <w:bCs/>
          <w:sz w:val="28"/>
          <w:szCs w:val="28"/>
        </w:rPr>
        <w:t>4</w:t>
      </w:r>
      <w:r>
        <w:rPr>
          <w:rFonts w:ascii="Arial" w:eastAsia="仿宋_GB2312" w:hAnsi="Arial" w:hint="eastAsia"/>
          <w:bCs/>
          <w:sz w:val="28"/>
          <w:szCs w:val="28"/>
        </w:rPr>
        <w:t>宗地块均以底价成交。</w:t>
      </w:r>
    </w:p>
    <w:p w14:paraId="474B6195"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3</w:t>
      </w:r>
      <w:r>
        <w:rPr>
          <w:rFonts w:ascii="Arial" w:eastAsia="仿宋_GB2312" w:hAnsi="Arial" w:hint="eastAsia"/>
          <w:bCs/>
          <w:sz w:val="28"/>
          <w:szCs w:val="28"/>
        </w:rPr>
        <w:t>）区域成交情况</w:t>
      </w:r>
    </w:p>
    <w:p w14:paraId="31EB6CD8"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年一季度，中心城区仅朝阳和石景山</w:t>
      </w:r>
      <w:proofErr w:type="gramStart"/>
      <w:r>
        <w:rPr>
          <w:rFonts w:ascii="Arial" w:eastAsia="仿宋_GB2312" w:hAnsi="Arial" w:hint="eastAsia"/>
          <w:bCs/>
          <w:sz w:val="28"/>
          <w:szCs w:val="28"/>
        </w:rPr>
        <w:t>各成交</w:t>
      </w:r>
      <w:proofErr w:type="gramEnd"/>
      <w:r>
        <w:rPr>
          <w:rFonts w:ascii="Arial" w:eastAsia="仿宋_GB2312" w:hAnsi="Arial" w:hint="eastAsia"/>
          <w:bCs/>
          <w:sz w:val="28"/>
          <w:szCs w:val="28"/>
        </w:rPr>
        <w:t>1</w:t>
      </w:r>
      <w:r>
        <w:rPr>
          <w:rFonts w:ascii="Arial" w:eastAsia="仿宋_GB2312" w:hAnsi="Arial" w:hint="eastAsia"/>
          <w:bCs/>
          <w:sz w:val="28"/>
          <w:szCs w:val="28"/>
        </w:rPr>
        <w:t>宗宅地，累计成交</w:t>
      </w:r>
      <w:proofErr w:type="gramStart"/>
      <w:r>
        <w:rPr>
          <w:rFonts w:ascii="Arial" w:eastAsia="仿宋_GB2312" w:hAnsi="Arial" w:hint="eastAsia"/>
          <w:bCs/>
          <w:sz w:val="28"/>
          <w:szCs w:val="28"/>
        </w:rPr>
        <w:t>规划建面</w:t>
      </w:r>
      <w:proofErr w:type="gramEnd"/>
      <w:r>
        <w:rPr>
          <w:rFonts w:ascii="Arial" w:eastAsia="仿宋_GB2312" w:hAnsi="Arial" w:hint="eastAsia"/>
          <w:bCs/>
          <w:sz w:val="28"/>
          <w:szCs w:val="28"/>
        </w:rPr>
        <w:t>9.05</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，占比</w:t>
      </w:r>
      <w:r>
        <w:rPr>
          <w:rFonts w:ascii="Arial" w:eastAsia="仿宋_GB2312" w:hAnsi="Arial" w:hint="eastAsia"/>
          <w:bCs/>
          <w:sz w:val="28"/>
          <w:szCs w:val="28"/>
        </w:rPr>
        <w:t>13%</w:t>
      </w:r>
      <w:r>
        <w:rPr>
          <w:rFonts w:ascii="Arial" w:eastAsia="仿宋_GB2312" w:hAnsi="Arial" w:hint="eastAsia"/>
          <w:bCs/>
          <w:sz w:val="28"/>
          <w:szCs w:val="28"/>
        </w:rPr>
        <w:t>，较上年同期下降</w:t>
      </w:r>
      <w:r>
        <w:rPr>
          <w:rFonts w:ascii="Arial" w:eastAsia="仿宋_GB2312" w:hAnsi="Arial" w:hint="eastAsia"/>
          <w:bCs/>
          <w:sz w:val="28"/>
          <w:szCs w:val="28"/>
        </w:rPr>
        <w:t>20</w:t>
      </w:r>
      <w:r>
        <w:rPr>
          <w:rFonts w:ascii="Arial" w:eastAsia="仿宋_GB2312" w:hAnsi="Arial" w:hint="eastAsia"/>
          <w:bCs/>
          <w:sz w:val="28"/>
          <w:szCs w:val="28"/>
        </w:rPr>
        <w:t>个百分点。近郊依然为宅地供求的主要区域，累计成交</w:t>
      </w:r>
      <w:r>
        <w:rPr>
          <w:rFonts w:ascii="Arial" w:eastAsia="仿宋_GB2312" w:hAnsi="Arial" w:hint="eastAsia"/>
          <w:bCs/>
          <w:sz w:val="28"/>
          <w:szCs w:val="28"/>
        </w:rPr>
        <w:t>58.61</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，占比为</w:t>
      </w:r>
      <w:r>
        <w:rPr>
          <w:rFonts w:ascii="Arial" w:eastAsia="仿宋_GB2312" w:hAnsi="Arial" w:hint="eastAsia"/>
          <w:bCs/>
          <w:sz w:val="28"/>
          <w:szCs w:val="28"/>
        </w:rPr>
        <w:t>87%</w:t>
      </w:r>
      <w:r>
        <w:rPr>
          <w:rFonts w:ascii="Arial" w:eastAsia="仿宋_GB2312" w:hAnsi="Arial" w:hint="eastAsia"/>
          <w:bCs/>
          <w:sz w:val="28"/>
          <w:szCs w:val="28"/>
        </w:rPr>
        <w:t>，较去年同期提升</w:t>
      </w:r>
      <w:r>
        <w:rPr>
          <w:rFonts w:ascii="Arial" w:eastAsia="仿宋_GB2312" w:hAnsi="Arial" w:hint="eastAsia"/>
          <w:bCs/>
          <w:sz w:val="28"/>
          <w:szCs w:val="28"/>
        </w:rPr>
        <w:t>27</w:t>
      </w:r>
      <w:r>
        <w:rPr>
          <w:rFonts w:ascii="Arial" w:eastAsia="仿宋_GB2312" w:hAnsi="Arial" w:hint="eastAsia"/>
          <w:bCs/>
          <w:sz w:val="28"/>
          <w:szCs w:val="28"/>
        </w:rPr>
        <w:t>个百分点；其中昌平、大兴为主力成交区域，成交规模分别为</w:t>
      </w:r>
      <w:r>
        <w:rPr>
          <w:rFonts w:ascii="Arial" w:eastAsia="仿宋_GB2312" w:hAnsi="Arial" w:hint="eastAsia"/>
          <w:bCs/>
          <w:sz w:val="28"/>
          <w:szCs w:val="28"/>
        </w:rPr>
        <w:lastRenderedPageBreak/>
        <w:t>24.69</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和</w:t>
      </w:r>
      <w:r>
        <w:rPr>
          <w:rFonts w:ascii="Arial" w:eastAsia="仿宋_GB2312" w:hAnsi="Arial" w:hint="eastAsia"/>
          <w:bCs/>
          <w:sz w:val="28"/>
          <w:szCs w:val="28"/>
        </w:rPr>
        <w:t>19.46</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，成交规模占比分别为</w:t>
      </w:r>
      <w:r>
        <w:rPr>
          <w:rFonts w:ascii="Arial" w:eastAsia="仿宋_GB2312" w:hAnsi="Arial" w:hint="eastAsia"/>
          <w:bCs/>
          <w:sz w:val="28"/>
          <w:szCs w:val="28"/>
        </w:rPr>
        <w:t>36%</w:t>
      </w:r>
      <w:r>
        <w:rPr>
          <w:rFonts w:ascii="Arial" w:eastAsia="仿宋_GB2312" w:hAnsi="Arial" w:hint="eastAsia"/>
          <w:bCs/>
          <w:sz w:val="28"/>
          <w:szCs w:val="28"/>
        </w:rPr>
        <w:t>和</w:t>
      </w:r>
      <w:r>
        <w:rPr>
          <w:rFonts w:ascii="Arial" w:eastAsia="仿宋_GB2312" w:hAnsi="Arial" w:hint="eastAsia"/>
          <w:bCs/>
          <w:sz w:val="28"/>
          <w:szCs w:val="28"/>
        </w:rPr>
        <w:t>29%</w:t>
      </w:r>
      <w:r>
        <w:rPr>
          <w:rFonts w:ascii="Arial" w:eastAsia="仿宋_GB2312" w:hAnsi="Arial" w:hint="eastAsia"/>
          <w:bCs/>
          <w:sz w:val="28"/>
          <w:szCs w:val="28"/>
        </w:rPr>
        <w:t>。</w:t>
      </w:r>
    </w:p>
    <w:p w14:paraId="2FBB5A89" w14:textId="77777777" w:rsidR="0062768B" w:rsidRDefault="00136729">
      <w:pPr>
        <w:spacing w:line="360" w:lineRule="auto"/>
        <w:jc w:val="center"/>
        <w:rPr>
          <w:rFonts w:ascii="Arial" w:eastAsia="仿宋_GB2312" w:hAnsi="Arial"/>
          <w:bCs/>
          <w:sz w:val="28"/>
          <w:szCs w:val="28"/>
        </w:rPr>
      </w:pPr>
      <w:r>
        <w:rPr>
          <w:noProof/>
        </w:rPr>
        <w:drawing>
          <wp:inline distT="0" distB="0" distL="0" distR="0" wp14:anchorId="595C81D0" wp14:editId="4CED00F9">
            <wp:extent cx="5911850" cy="2030730"/>
            <wp:effectExtent l="0" t="0" r="635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11850" cy="2030730"/>
                    </a:xfrm>
                    <a:prstGeom prst="rect">
                      <a:avLst/>
                    </a:prstGeom>
                    <a:noFill/>
                    <a:ln>
                      <a:noFill/>
                    </a:ln>
                  </pic:spPr>
                </pic:pic>
              </a:graphicData>
            </a:graphic>
          </wp:inline>
        </w:drawing>
      </w:r>
    </w:p>
    <w:p w14:paraId="418CF8DC" w14:textId="77777777" w:rsidR="0062768B" w:rsidRDefault="00136729">
      <w:pPr>
        <w:adjustRightInd/>
        <w:spacing w:line="300" w:lineRule="auto"/>
        <w:ind w:firstLineChars="200" w:firstLine="560"/>
        <w:jc w:val="both"/>
        <w:rPr>
          <w:rFonts w:ascii="Arial" w:eastAsia="仿宋_GB2312" w:hAnsi="Arial"/>
          <w:bCs/>
          <w:sz w:val="28"/>
          <w:szCs w:val="28"/>
        </w:rPr>
      </w:pPr>
      <w:bookmarkStart w:id="142" w:name="OLE_LINK16"/>
      <w:bookmarkStart w:id="143" w:name="OLE_LINK17"/>
      <w:r>
        <w:rPr>
          <w:rFonts w:ascii="Arial" w:eastAsia="仿宋_GB2312" w:hAnsi="Arial" w:hint="eastAsia"/>
          <w:bCs/>
          <w:sz w:val="28"/>
          <w:szCs w:val="28"/>
        </w:rPr>
        <w:t>成交楼面均价方面，中心城区楼面均价相对较高，朝阳、石景山成交楼面</w:t>
      </w:r>
      <w:proofErr w:type="gramStart"/>
      <w:r>
        <w:rPr>
          <w:rFonts w:ascii="Arial" w:eastAsia="仿宋_GB2312" w:hAnsi="Arial" w:hint="eastAsia"/>
          <w:bCs/>
          <w:sz w:val="28"/>
          <w:szCs w:val="28"/>
        </w:rPr>
        <w:t>均价均</w:t>
      </w:r>
      <w:proofErr w:type="gramEnd"/>
      <w:r>
        <w:rPr>
          <w:rFonts w:ascii="Arial" w:eastAsia="仿宋_GB2312" w:hAnsi="Arial" w:hint="eastAsia"/>
          <w:bCs/>
          <w:sz w:val="28"/>
          <w:szCs w:val="28"/>
        </w:rPr>
        <w:t>在</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以上；近郊区域成交楼面价多介于</w:t>
      </w:r>
      <w:r>
        <w:rPr>
          <w:rFonts w:ascii="Arial" w:eastAsia="仿宋_GB2312" w:hAnsi="Arial" w:hint="eastAsia"/>
          <w:bCs/>
          <w:sz w:val="28"/>
          <w:szCs w:val="28"/>
        </w:rPr>
        <w:t>1.5-3</w:t>
      </w:r>
      <w:r>
        <w:rPr>
          <w:rFonts w:ascii="Arial" w:eastAsia="仿宋_GB2312" w:hAnsi="Arial" w:hint="eastAsia"/>
          <w:bCs/>
          <w:sz w:val="28"/>
          <w:szCs w:val="28"/>
        </w:rPr>
        <w:t>万元之间，其中昌平地价相对较高，约为</w:t>
      </w:r>
      <w:r>
        <w:rPr>
          <w:rFonts w:ascii="Arial" w:eastAsia="仿宋_GB2312" w:hAnsi="Arial" w:hint="eastAsia"/>
          <w:bCs/>
          <w:sz w:val="28"/>
          <w:szCs w:val="28"/>
        </w:rPr>
        <w:t>3.0</w:t>
      </w:r>
      <w:r>
        <w:rPr>
          <w:rFonts w:ascii="Arial" w:eastAsia="仿宋_GB2312" w:hAnsi="Arial" w:hint="eastAsia"/>
          <w:bCs/>
          <w:sz w:val="28"/>
          <w:szCs w:val="28"/>
        </w:rPr>
        <w:t>万元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，房山成交楼面价约为</w:t>
      </w:r>
      <w:r>
        <w:rPr>
          <w:rFonts w:ascii="Arial" w:eastAsia="仿宋_GB2312" w:hAnsi="Arial" w:hint="eastAsia"/>
          <w:bCs/>
          <w:sz w:val="28"/>
          <w:szCs w:val="28"/>
        </w:rPr>
        <w:t>2.2</w:t>
      </w:r>
      <w:r>
        <w:rPr>
          <w:rFonts w:ascii="Arial" w:eastAsia="仿宋_GB2312" w:hAnsi="Arial" w:hint="eastAsia"/>
          <w:bCs/>
          <w:sz w:val="28"/>
          <w:szCs w:val="28"/>
        </w:rPr>
        <w:t>万元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；大兴、通州区域成交楼面价</w:t>
      </w:r>
      <w:r>
        <w:rPr>
          <w:rFonts w:ascii="Arial" w:eastAsia="仿宋_GB2312" w:hAnsi="Arial" w:hint="eastAsia"/>
          <w:bCs/>
          <w:sz w:val="28"/>
          <w:szCs w:val="28"/>
        </w:rPr>
        <w:t>1.6</w:t>
      </w:r>
      <w:r>
        <w:rPr>
          <w:rFonts w:ascii="Arial" w:eastAsia="仿宋_GB2312" w:hAnsi="Arial" w:hint="eastAsia"/>
          <w:bCs/>
          <w:sz w:val="28"/>
          <w:szCs w:val="28"/>
        </w:rPr>
        <w:t>万元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。从同比变化来看，房山成交楼面价上涨</w:t>
      </w:r>
      <w:r>
        <w:rPr>
          <w:rFonts w:ascii="Arial" w:eastAsia="仿宋_GB2312" w:hAnsi="Arial" w:hint="eastAsia"/>
          <w:bCs/>
          <w:sz w:val="28"/>
          <w:szCs w:val="28"/>
        </w:rPr>
        <w:t>39%</w:t>
      </w:r>
      <w:r>
        <w:rPr>
          <w:rFonts w:ascii="Arial" w:eastAsia="仿宋_GB2312" w:hAnsi="Arial" w:hint="eastAsia"/>
          <w:bCs/>
          <w:sz w:val="28"/>
          <w:szCs w:val="28"/>
        </w:rPr>
        <w:t>；朝阳成交</w:t>
      </w:r>
      <w:proofErr w:type="gramStart"/>
      <w:r>
        <w:rPr>
          <w:rFonts w:ascii="Arial" w:eastAsia="仿宋_GB2312" w:hAnsi="Arial" w:hint="eastAsia"/>
          <w:bCs/>
          <w:sz w:val="28"/>
          <w:szCs w:val="28"/>
        </w:rPr>
        <w:t>楼面价微涨</w:t>
      </w:r>
      <w:proofErr w:type="gramEnd"/>
      <w:r>
        <w:rPr>
          <w:rFonts w:ascii="Arial" w:eastAsia="仿宋_GB2312" w:hAnsi="Arial" w:hint="eastAsia"/>
          <w:bCs/>
          <w:sz w:val="28"/>
          <w:szCs w:val="28"/>
        </w:rPr>
        <w:t>2%</w:t>
      </w:r>
      <w:r>
        <w:rPr>
          <w:rFonts w:ascii="Arial" w:eastAsia="仿宋_GB2312" w:hAnsi="Arial" w:hint="eastAsia"/>
          <w:bCs/>
          <w:sz w:val="28"/>
          <w:szCs w:val="28"/>
        </w:rPr>
        <w:t>；昌平成交楼面价较去年持平；大兴、通州成交楼面价同比分别下降</w:t>
      </w:r>
      <w:r>
        <w:rPr>
          <w:rFonts w:ascii="Arial" w:eastAsia="仿宋_GB2312" w:hAnsi="Arial" w:hint="eastAsia"/>
          <w:bCs/>
          <w:sz w:val="28"/>
          <w:szCs w:val="28"/>
        </w:rPr>
        <w:t>36%</w:t>
      </w:r>
      <w:r>
        <w:rPr>
          <w:rFonts w:ascii="Arial" w:eastAsia="仿宋_GB2312" w:hAnsi="Arial" w:hint="eastAsia"/>
          <w:bCs/>
          <w:sz w:val="28"/>
          <w:szCs w:val="28"/>
        </w:rPr>
        <w:t>和</w:t>
      </w:r>
      <w:r>
        <w:rPr>
          <w:rFonts w:ascii="Arial" w:eastAsia="仿宋_GB2312" w:hAnsi="Arial" w:hint="eastAsia"/>
          <w:bCs/>
          <w:sz w:val="28"/>
          <w:szCs w:val="28"/>
        </w:rPr>
        <w:t>28%</w:t>
      </w:r>
      <w:r>
        <w:rPr>
          <w:rFonts w:ascii="Arial" w:eastAsia="仿宋_GB2312" w:hAnsi="Arial" w:hint="eastAsia"/>
          <w:bCs/>
          <w:sz w:val="28"/>
          <w:szCs w:val="28"/>
        </w:rPr>
        <w:t>。</w:t>
      </w:r>
      <w:r>
        <w:rPr>
          <w:rFonts w:ascii="Arial" w:eastAsia="仿宋_GB2312" w:hAnsi="Arial" w:hint="eastAsia"/>
          <w:bCs/>
          <w:sz w:val="28"/>
          <w:szCs w:val="28"/>
        </w:rPr>
        <w:t xml:space="preserve"> </w:t>
      </w:r>
    </w:p>
    <w:p w14:paraId="5833E783"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溢价率方面</w:t>
      </w:r>
      <w:bookmarkEnd w:id="142"/>
      <w:bookmarkEnd w:id="143"/>
      <w:r>
        <w:rPr>
          <w:rFonts w:ascii="Arial" w:eastAsia="仿宋_GB2312" w:hAnsi="Arial" w:hint="eastAsia"/>
          <w:bCs/>
          <w:sz w:val="28"/>
          <w:szCs w:val="28"/>
        </w:rPr>
        <w:t>：从各个宅地竞拍情况来看，朝阳、石景山地块竞争较为激烈，</w:t>
      </w:r>
      <w:proofErr w:type="gramStart"/>
      <w:r>
        <w:rPr>
          <w:rFonts w:ascii="Arial" w:eastAsia="仿宋_GB2312" w:hAnsi="Arial" w:hint="eastAsia"/>
          <w:bCs/>
          <w:sz w:val="28"/>
          <w:szCs w:val="28"/>
        </w:rPr>
        <w:t>均触达</w:t>
      </w:r>
      <w:proofErr w:type="gramEnd"/>
      <w:r>
        <w:rPr>
          <w:rFonts w:ascii="Arial" w:eastAsia="仿宋_GB2312" w:hAnsi="Arial" w:hint="eastAsia"/>
          <w:bCs/>
          <w:sz w:val="28"/>
          <w:szCs w:val="28"/>
        </w:rPr>
        <w:t>地价上限；昌平优质地块竞争也较激烈，朱辛庄地块、回龙观国际信息产业基地二期地块均触顶摇号成交；而通州、大兴、房山地块均以底价成交。</w:t>
      </w:r>
    </w:p>
    <w:p w14:paraId="5A457364" w14:textId="77777777" w:rsidR="0062768B" w:rsidRDefault="00136729">
      <w:pPr>
        <w:spacing w:line="360" w:lineRule="auto"/>
        <w:jc w:val="center"/>
        <w:rPr>
          <w:rFonts w:ascii="Arial" w:eastAsia="仿宋_GB2312" w:hAnsi="Arial"/>
          <w:bCs/>
          <w:sz w:val="28"/>
          <w:szCs w:val="28"/>
        </w:rPr>
      </w:pPr>
      <w:r>
        <w:rPr>
          <w:noProof/>
        </w:rPr>
        <w:drawing>
          <wp:inline distT="0" distB="0" distL="0" distR="0" wp14:anchorId="3B4B2653" wp14:editId="4D0A1E23">
            <wp:extent cx="5911850" cy="1945640"/>
            <wp:effectExtent l="0" t="0" r="6350" b="1016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11850" cy="1945640"/>
                    </a:xfrm>
                    <a:prstGeom prst="rect">
                      <a:avLst/>
                    </a:prstGeom>
                    <a:noFill/>
                    <a:ln>
                      <a:noFill/>
                    </a:ln>
                  </pic:spPr>
                </pic:pic>
              </a:graphicData>
            </a:graphic>
          </wp:inline>
        </w:drawing>
      </w:r>
    </w:p>
    <w:p w14:paraId="3568A543"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4</w:t>
      </w:r>
      <w:r>
        <w:rPr>
          <w:rFonts w:ascii="Arial" w:eastAsia="仿宋_GB2312" w:hAnsi="Arial" w:cs="Arial" w:hint="eastAsia"/>
          <w:bCs/>
          <w:sz w:val="28"/>
          <w:szCs w:val="28"/>
        </w:rPr>
        <w:t>）供应计划</w:t>
      </w:r>
    </w:p>
    <w:p w14:paraId="0A98BE54"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2</w:t>
      </w:r>
      <w:r>
        <w:rPr>
          <w:rFonts w:ascii="Arial" w:eastAsia="仿宋_GB2312" w:hAnsi="Arial" w:cs="Arial" w:hint="eastAsia"/>
          <w:bCs/>
          <w:sz w:val="28"/>
          <w:szCs w:val="28"/>
        </w:rPr>
        <w:t>月</w:t>
      </w:r>
      <w:r>
        <w:rPr>
          <w:rFonts w:ascii="Arial" w:eastAsia="仿宋_GB2312" w:hAnsi="Arial" w:cs="Arial" w:hint="eastAsia"/>
          <w:bCs/>
          <w:sz w:val="28"/>
          <w:szCs w:val="28"/>
        </w:rPr>
        <w:t>22</w:t>
      </w:r>
      <w:r>
        <w:rPr>
          <w:rFonts w:ascii="Arial" w:eastAsia="仿宋_GB2312" w:hAnsi="Arial" w:cs="Arial" w:hint="eastAsia"/>
          <w:bCs/>
          <w:sz w:val="28"/>
          <w:szCs w:val="28"/>
        </w:rPr>
        <w:t>日，北京</w:t>
      </w:r>
      <w:proofErr w:type="gramStart"/>
      <w:r>
        <w:rPr>
          <w:rFonts w:ascii="Arial" w:eastAsia="仿宋_GB2312" w:hAnsi="Arial" w:cs="Arial" w:hint="eastAsia"/>
          <w:bCs/>
          <w:sz w:val="28"/>
          <w:szCs w:val="28"/>
        </w:rPr>
        <w:t>规</w:t>
      </w:r>
      <w:proofErr w:type="gramEnd"/>
      <w:r>
        <w:rPr>
          <w:rFonts w:ascii="Arial" w:eastAsia="仿宋_GB2312" w:hAnsi="Arial" w:cs="Arial" w:hint="eastAsia"/>
          <w:bCs/>
          <w:sz w:val="28"/>
          <w:szCs w:val="28"/>
        </w:rPr>
        <w:t>自委、</w:t>
      </w:r>
      <w:proofErr w:type="gramStart"/>
      <w:r>
        <w:rPr>
          <w:rFonts w:ascii="Arial" w:eastAsia="仿宋_GB2312" w:hAnsi="Arial" w:cs="Arial" w:hint="eastAsia"/>
          <w:bCs/>
          <w:sz w:val="28"/>
          <w:szCs w:val="28"/>
        </w:rPr>
        <w:t>北京发改委</w:t>
      </w:r>
      <w:proofErr w:type="gramEnd"/>
      <w:r>
        <w:rPr>
          <w:rFonts w:ascii="Arial" w:eastAsia="仿宋_GB2312" w:hAnsi="Arial" w:cs="Arial" w:hint="eastAsia"/>
          <w:bCs/>
          <w:sz w:val="28"/>
          <w:szCs w:val="28"/>
        </w:rPr>
        <w:t>联合发布《北京市</w:t>
      </w:r>
      <w:r>
        <w:rPr>
          <w:rFonts w:ascii="Arial" w:eastAsia="仿宋_GB2312" w:hAnsi="Arial" w:cs="Arial" w:hint="eastAsia"/>
          <w:bCs/>
          <w:sz w:val="28"/>
          <w:szCs w:val="28"/>
        </w:rPr>
        <w:t>2023</w:t>
      </w:r>
      <w:r>
        <w:rPr>
          <w:rFonts w:ascii="Arial" w:eastAsia="仿宋_GB2312" w:hAnsi="Arial" w:cs="Arial" w:hint="eastAsia"/>
          <w:bCs/>
          <w:sz w:val="28"/>
          <w:szCs w:val="28"/>
        </w:rPr>
        <w:t>年度建设用地供应计划》。计划安排建设用地供应总量</w:t>
      </w:r>
      <w:r>
        <w:rPr>
          <w:rFonts w:ascii="Arial" w:eastAsia="仿宋_GB2312" w:hAnsi="Arial" w:cs="Arial" w:hint="eastAsia"/>
          <w:bCs/>
          <w:sz w:val="28"/>
          <w:szCs w:val="28"/>
        </w:rPr>
        <w:t>3190-3630</w:t>
      </w:r>
      <w:r>
        <w:rPr>
          <w:rFonts w:ascii="Arial" w:eastAsia="仿宋_GB2312" w:hAnsi="Arial" w:cs="Arial" w:hint="eastAsia"/>
          <w:bCs/>
          <w:sz w:val="28"/>
          <w:szCs w:val="28"/>
        </w:rPr>
        <w:t>公顷，与</w:t>
      </w:r>
      <w:r>
        <w:rPr>
          <w:rFonts w:ascii="Arial" w:eastAsia="仿宋_GB2312" w:hAnsi="Arial" w:cs="Arial" w:hint="eastAsia"/>
          <w:bCs/>
          <w:sz w:val="28"/>
          <w:szCs w:val="28"/>
        </w:rPr>
        <w:t>2022</w:t>
      </w:r>
      <w:r>
        <w:rPr>
          <w:rFonts w:ascii="Arial" w:eastAsia="仿宋_GB2312" w:hAnsi="Arial" w:cs="Arial" w:hint="eastAsia"/>
          <w:bCs/>
          <w:sz w:val="28"/>
          <w:szCs w:val="28"/>
        </w:rPr>
        <w:t>年基本持平。其中，住宅用地</w:t>
      </w:r>
      <w:r>
        <w:rPr>
          <w:rFonts w:ascii="Arial" w:eastAsia="仿宋_GB2312" w:hAnsi="Arial" w:cs="Arial" w:hint="eastAsia"/>
          <w:bCs/>
          <w:sz w:val="28"/>
          <w:szCs w:val="28"/>
        </w:rPr>
        <w:t>1060</w:t>
      </w:r>
      <w:r>
        <w:rPr>
          <w:rFonts w:ascii="Arial" w:eastAsia="仿宋_GB2312" w:hAnsi="Arial" w:cs="Arial" w:hint="eastAsia"/>
          <w:bCs/>
          <w:sz w:val="28"/>
          <w:szCs w:val="28"/>
        </w:rPr>
        <w:t>公顷（产权住宅用地</w:t>
      </w:r>
      <w:r>
        <w:rPr>
          <w:rFonts w:ascii="Arial" w:eastAsia="仿宋_GB2312" w:hAnsi="Arial" w:cs="Arial" w:hint="eastAsia"/>
          <w:bCs/>
          <w:sz w:val="28"/>
          <w:szCs w:val="28"/>
        </w:rPr>
        <w:t>800</w:t>
      </w:r>
      <w:r>
        <w:rPr>
          <w:rFonts w:ascii="Arial" w:eastAsia="仿宋_GB2312" w:hAnsi="Arial" w:cs="Arial" w:hint="eastAsia"/>
          <w:bCs/>
          <w:sz w:val="28"/>
          <w:szCs w:val="28"/>
        </w:rPr>
        <w:t>公顷，租赁住宅用地</w:t>
      </w:r>
      <w:r>
        <w:rPr>
          <w:rFonts w:ascii="Arial" w:eastAsia="仿宋_GB2312" w:hAnsi="Arial" w:cs="Arial" w:hint="eastAsia"/>
          <w:bCs/>
          <w:sz w:val="28"/>
          <w:szCs w:val="28"/>
        </w:rPr>
        <w:t>260</w:t>
      </w:r>
      <w:r>
        <w:rPr>
          <w:rFonts w:ascii="Arial" w:eastAsia="仿宋_GB2312" w:hAnsi="Arial" w:cs="Arial" w:hint="eastAsia"/>
          <w:bCs/>
          <w:sz w:val="28"/>
          <w:szCs w:val="28"/>
        </w:rPr>
        <w:t>公顷）。从各区供应计划来看，供地重点向城市副中心和多点地区倾斜，促进土地资源合理配置。中心城区、生态涵养区的供应</w:t>
      </w:r>
      <w:r>
        <w:rPr>
          <w:rFonts w:ascii="Arial" w:eastAsia="仿宋_GB2312" w:hAnsi="Arial" w:cs="Arial" w:hint="eastAsia"/>
          <w:bCs/>
          <w:sz w:val="28"/>
          <w:szCs w:val="28"/>
        </w:rPr>
        <w:lastRenderedPageBreak/>
        <w:t>比例均保持在</w:t>
      </w:r>
      <w:r>
        <w:rPr>
          <w:rFonts w:ascii="Arial" w:eastAsia="仿宋_GB2312" w:hAnsi="Arial" w:cs="Arial" w:hint="eastAsia"/>
          <w:bCs/>
          <w:sz w:val="28"/>
          <w:szCs w:val="28"/>
        </w:rPr>
        <w:t>20%</w:t>
      </w:r>
      <w:r>
        <w:rPr>
          <w:rFonts w:ascii="Arial" w:eastAsia="仿宋_GB2312" w:hAnsi="Arial" w:cs="Arial" w:hint="eastAsia"/>
          <w:bCs/>
          <w:sz w:val="28"/>
          <w:szCs w:val="28"/>
        </w:rPr>
        <w:t>左右，城市副中心和多点地区供应比率稳定在</w:t>
      </w:r>
      <w:r>
        <w:rPr>
          <w:rFonts w:ascii="Arial" w:eastAsia="仿宋_GB2312" w:hAnsi="Arial" w:cs="Arial" w:hint="eastAsia"/>
          <w:bCs/>
          <w:sz w:val="28"/>
          <w:szCs w:val="28"/>
        </w:rPr>
        <w:t>60%</w:t>
      </w:r>
      <w:r>
        <w:rPr>
          <w:rFonts w:ascii="Arial" w:eastAsia="仿宋_GB2312" w:hAnsi="Arial" w:cs="Arial" w:hint="eastAsia"/>
          <w:bCs/>
          <w:sz w:val="28"/>
          <w:szCs w:val="28"/>
        </w:rPr>
        <w:t>左右。</w:t>
      </w:r>
    </w:p>
    <w:p w14:paraId="20CA5ED4"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bCs/>
          <w:sz w:val="28"/>
          <w:szCs w:val="28"/>
        </w:rPr>
        <w:t>（</w:t>
      </w:r>
      <w:r>
        <w:rPr>
          <w:rFonts w:ascii="Arial" w:eastAsia="仿宋_GB2312" w:hAnsi="Arial" w:cs="Arial"/>
          <w:bCs/>
          <w:sz w:val="28"/>
          <w:szCs w:val="28"/>
        </w:rPr>
        <w:t>2</w:t>
      </w:r>
      <w:r>
        <w:rPr>
          <w:rFonts w:ascii="Arial" w:eastAsia="仿宋_GB2312" w:hAnsi="Arial" w:cs="Arial"/>
          <w:bCs/>
          <w:sz w:val="28"/>
          <w:szCs w:val="28"/>
        </w:rPr>
        <w:t>）商品房住宅市场</w:t>
      </w:r>
    </w:p>
    <w:p w14:paraId="0EA4BB58"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）商品住宅供给状况</w:t>
      </w:r>
    </w:p>
    <w:p w14:paraId="60B3C7A7"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年一季度北京商品住宅（不含保障房）累计供应</w:t>
      </w:r>
      <w:r>
        <w:rPr>
          <w:rFonts w:ascii="Arial" w:eastAsia="仿宋_GB2312" w:hAnsi="Arial" w:hint="eastAsia"/>
          <w:bCs/>
          <w:sz w:val="28"/>
          <w:szCs w:val="28"/>
        </w:rPr>
        <w:t>131</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，连续三个季度下跌，同比止跌回升。受春节假期以及年后市场复苏不确定性影响，一季度北京新房供应</w:t>
      </w:r>
      <w:proofErr w:type="gramStart"/>
      <w:r>
        <w:rPr>
          <w:rFonts w:ascii="仿宋_GB2312" w:eastAsia="仿宋_GB2312" w:hAnsi="仿宋_GB2312" w:cs="仿宋_GB2312" w:hint="eastAsia"/>
          <w:bCs/>
          <w:sz w:val="28"/>
          <w:szCs w:val="28"/>
        </w:rPr>
        <w:t>节奏环</w:t>
      </w:r>
      <w:proofErr w:type="gramEnd"/>
      <w:r>
        <w:rPr>
          <w:rFonts w:ascii="仿宋_GB2312" w:eastAsia="仿宋_GB2312" w:hAnsi="仿宋_GB2312" w:cs="仿宋_GB2312" w:hint="eastAsia"/>
          <w:bCs/>
          <w:sz w:val="28"/>
          <w:szCs w:val="28"/>
        </w:rPr>
        <w:t>比继续微降；受去年低基数影响，供应量同比增长近四成。具体来看，</w:t>
      </w:r>
      <w:r>
        <w:rPr>
          <w:rFonts w:ascii="Arial" w:eastAsia="仿宋_GB2312" w:hAnsi="Arial" w:hint="eastAsia"/>
          <w:bCs/>
          <w:sz w:val="28"/>
          <w:szCs w:val="28"/>
        </w:rPr>
        <w:t>1</w:t>
      </w:r>
      <w:r>
        <w:rPr>
          <w:rFonts w:ascii="Arial" w:eastAsia="仿宋_GB2312" w:hAnsi="Arial" w:hint="eastAsia"/>
          <w:bCs/>
          <w:sz w:val="28"/>
          <w:szCs w:val="28"/>
        </w:rPr>
        <w:t>月新增供应规模仅</w:t>
      </w:r>
      <w:r>
        <w:rPr>
          <w:rFonts w:ascii="Arial" w:eastAsia="仿宋_GB2312" w:hAnsi="Arial" w:hint="eastAsia"/>
          <w:bCs/>
          <w:sz w:val="28"/>
          <w:szCs w:val="28"/>
        </w:rPr>
        <w:t>45</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，环比降幅近两成；</w:t>
      </w:r>
      <w:r>
        <w:rPr>
          <w:rFonts w:ascii="Arial" w:eastAsia="仿宋_GB2312" w:hAnsi="Arial" w:hint="eastAsia"/>
          <w:bCs/>
          <w:sz w:val="28"/>
          <w:szCs w:val="28"/>
        </w:rPr>
        <w:t>2</w:t>
      </w:r>
      <w:r>
        <w:rPr>
          <w:rFonts w:ascii="Arial" w:eastAsia="仿宋_GB2312" w:hAnsi="Arial" w:hint="eastAsia"/>
          <w:bCs/>
          <w:sz w:val="28"/>
          <w:szCs w:val="28"/>
        </w:rPr>
        <w:t>月供应规模创疫情以来新低，仅</w:t>
      </w:r>
      <w:r>
        <w:rPr>
          <w:rFonts w:ascii="Arial" w:eastAsia="仿宋_GB2312" w:hAnsi="Arial" w:hint="eastAsia"/>
          <w:bCs/>
          <w:sz w:val="28"/>
          <w:szCs w:val="28"/>
        </w:rPr>
        <w:t>10</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；随着楼市“小阳春”迹象持续显现，</w:t>
      </w:r>
      <w:proofErr w:type="gramStart"/>
      <w:r>
        <w:rPr>
          <w:rFonts w:ascii="Arial" w:eastAsia="仿宋_GB2312" w:hAnsi="Arial" w:hint="eastAsia"/>
          <w:bCs/>
          <w:sz w:val="28"/>
          <w:szCs w:val="28"/>
        </w:rPr>
        <w:t>3</w:t>
      </w:r>
      <w:r>
        <w:rPr>
          <w:rFonts w:ascii="Arial" w:eastAsia="仿宋_GB2312" w:hAnsi="Arial" w:hint="eastAsia"/>
          <w:bCs/>
          <w:sz w:val="28"/>
          <w:szCs w:val="28"/>
        </w:rPr>
        <w:t>月房企推盘</w:t>
      </w:r>
      <w:proofErr w:type="gramEnd"/>
      <w:r>
        <w:rPr>
          <w:rFonts w:ascii="Arial" w:eastAsia="仿宋_GB2312" w:hAnsi="Arial" w:hint="eastAsia"/>
          <w:bCs/>
          <w:sz w:val="28"/>
          <w:szCs w:val="28"/>
        </w:rPr>
        <w:t>意愿加强，新房供应触底反弹至</w:t>
      </w:r>
      <w:r>
        <w:rPr>
          <w:rFonts w:ascii="Arial" w:eastAsia="仿宋_GB2312" w:hAnsi="Arial" w:hint="eastAsia"/>
          <w:bCs/>
          <w:sz w:val="28"/>
          <w:szCs w:val="28"/>
        </w:rPr>
        <w:t>76</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。整体来看，一季度累计供应</w:t>
      </w:r>
      <w:r>
        <w:rPr>
          <w:rFonts w:ascii="Arial" w:eastAsia="仿宋_GB2312" w:hAnsi="Arial" w:hint="eastAsia"/>
          <w:bCs/>
          <w:sz w:val="28"/>
          <w:szCs w:val="28"/>
        </w:rPr>
        <w:t>131</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，为近三年季度供应低点，仅高于</w:t>
      </w:r>
      <w:r>
        <w:rPr>
          <w:rFonts w:ascii="Arial" w:eastAsia="仿宋_GB2312" w:hAnsi="Arial" w:hint="eastAsia"/>
          <w:bCs/>
          <w:sz w:val="28"/>
          <w:szCs w:val="28"/>
        </w:rPr>
        <w:t>去年同期。</w:t>
      </w:r>
    </w:p>
    <w:p w14:paraId="6BFF43B5"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供求关系方面，</w:t>
      </w:r>
      <w:r>
        <w:rPr>
          <w:rFonts w:ascii="Arial" w:eastAsia="仿宋_GB2312" w:hAnsi="Arial" w:hint="eastAsia"/>
          <w:bCs/>
          <w:sz w:val="28"/>
          <w:szCs w:val="28"/>
        </w:rPr>
        <w:t>2023</w:t>
      </w:r>
      <w:r>
        <w:rPr>
          <w:rFonts w:ascii="Arial" w:eastAsia="仿宋_GB2312" w:hAnsi="Arial" w:hint="eastAsia"/>
          <w:bCs/>
          <w:sz w:val="28"/>
          <w:szCs w:val="28"/>
        </w:rPr>
        <w:t>年一季度商品住宅市场</w:t>
      </w:r>
      <w:proofErr w:type="gramStart"/>
      <w:r>
        <w:rPr>
          <w:rFonts w:ascii="Arial" w:eastAsia="仿宋_GB2312" w:hAnsi="Arial" w:hint="eastAsia"/>
          <w:bCs/>
          <w:sz w:val="28"/>
          <w:szCs w:val="28"/>
        </w:rPr>
        <w:t>销供比</w:t>
      </w:r>
      <w:proofErr w:type="gramEnd"/>
      <w:r>
        <w:rPr>
          <w:rFonts w:ascii="Arial" w:eastAsia="仿宋_GB2312" w:hAnsi="Arial" w:hint="eastAsia"/>
          <w:bCs/>
          <w:sz w:val="28"/>
          <w:szCs w:val="28"/>
        </w:rPr>
        <w:t>为</w:t>
      </w:r>
      <w:r>
        <w:rPr>
          <w:rFonts w:ascii="Arial" w:eastAsia="仿宋_GB2312" w:hAnsi="Arial" w:hint="eastAsia"/>
          <w:bCs/>
          <w:sz w:val="28"/>
          <w:szCs w:val="28"/>
        </w:rPr>
        <w:t>1.10</w:t>
      </w:r>
      <w:r>
        <w:rPr>
          <w:rFonts w:ascii="Arial" w:eastAsia="仿宋_GB2312" w:hAnsi="Arial" w:hint="eastAsia"/>
          <w:bCs/>
          <w:sz w:val="28"/>
          <w:szCs w:val="28"/>
        </w:rPr>
        <w:t>，整体处于供求弱平衡状态，已经连续三个季度呈现供不应求态势。预计后市随着成交端边际改善，市场供应将会同步提高。</w:t>
      </w:r>
    </w:p>
    <w:p w14:paraId="3AD56220" w14:textId="77777777" w:rsidR="0062768B" w:rsidRDefault="00136729">
      <w:pPr>
        <w:overflowPunct w:val="0"/>
        <w:spacing w:line="360" w:lineRule="auto"/>
        <w:jc w:val="both"/>
        <w:textAlignment w:val="auto"/>
      </w:pPr>
      <w:r>
        <w:rPr>
          <w:noProof/>
        </w:rPr>
        <w:drawing>
          <wp:inline distT="0" distB="0" distL="0" distR="0" wp14:anchorId="1832F258" wp14:editId="7587D456">
            <wp:extent cx="5901055" cy="1903095"/>
            <wp:effectExtent l="0" t="0" r="0" b="190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01055" cy="1903095"/>
                    </a:xfrm>
                    <a:prstGeom prst="rect">
                      <a:avLst/>
                    </a:prstGeom>
                    <a:noFill/>
                    <a:ln>
                      <a:noFill/>
                    </a:ln>
                  </pic:spPr>
                </pic:pic>
              </a:graphicData>
            </a:graphic>
          </wp:inline>
        </w:drawing>
      </w:r>
    </w:p>
    <w:p w14:paraId="27224AB5"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年一季度北京商品住宅（不含保障房）库存规模回落，出清周期底部震荡。截至</w:t>
      </w:r>
      <w:r>
        <w:rPr>
          <w:rFonts w:ascii="Arial" w:eastAsia="仿宋_GB2312" w:hAnsi="Arial" w:hint="eastAsia"/>
          <w:bCs/>
          <w:sz w:val="28"/>
          <w:szCs w:val="28"/>
        </w:rPr>
        <w:t>3</w:t>
      </w:r>
      <w:r>
        <w:rPr>
          <w:rFonts w:ascii="Arial" w:eastAsia="仿宋_GB2312" w:hAnsi="Arial" w:hint="eastAsia"/>
          <w:bCs/>
          <w:sz w:val="28"/>
          <w:szCs w:val="28"/>
        </w:rPr>
        <w:t>月底，北京商品住宅（不含保障房）库存量为</w:t>
      </w:r>
      <w:r>
        <w:rPr>
          <w:rFonts w:ascii="Arial" w:eastAsia="仿宋_GB2312" w:hAnsi="Arial" w:hint="eastAsia"/>
          <w:bCs/>
          <w:sz w:val="28"/>
          <w:szCs w:val="28"/>
        </w:rPr>
        <w:t>1114</w:t>
      </w:r>
      <w:r>
        <w:rPr>
          <w:rFonts w:ascii="Arial" w:eastAsia="仿宋_GB2312" w:hAnsi="Arial" w:hint="eastAsia"/>
          <w:bCs/>
          <w:sz w:val="28"/>
          <w:szCs w:val="28"/>
        </w:rPr>
        <w:t>万平方米，较去年同期微降</w:t>
      </w:r>
      <w:r>
        <w:rPr>
          <w:rFonts w:ascii="Arial" w:eastAsia="仿宋_GB2312" w:hAnsi="Arial" w:hint="eastAsia"/>
          <w:bCs/>
          <w:sz w:val="28"/>
          <w:szCs w:val="28"/>
        </w:rPr>
        <w:t>1%</w:t>
      </w:r>
      <w:r>
        <w:rPr>
          <w:rFonts w:ascii="Arial" w:eastAsia="仿宋_GB2312" w:hAnsi="Arial" w:hint="eastAsia"/>
          <w:bCs/>
          <w:sz w:val="28"/>
          <w:szCs w:val="28"/>
        </w:rPr>
        <w:t>，库存规模进一步回落；月度来看，库存规模创近</w:t>
      </w:r>
      <w:r>
        <w:rPr>
          <w:rFonts w:ascii="Arial" w:eastAsia="仿宋_GB2312" w:hAnsi="Arial" w:hint="eastAsia"/>
          <w:bCs/>
          <w:sz w:val="28"/>
          <w:szCs w:val="28"/>
        </w:rPr>
        <w:t>14</w:t>
      </w:r>
      <w:r>
        <w:rPr>
          <w:rFonts w:ascii="Arial" w:eastAsia="仿宋_GB2312" w:hAnsi="Arial" w:hint="eastAsia"/>
          <w:bCs/>
          <w:sz w:val="28"/>
          <w:szCs w:val="28"/>
        </w:rPr>
        <w:t>个月新低。库存出清周期震荡抬升，目前为</w:t>
      </w:r>
      <w:r>
        <w:rPr>
          <w:rFonts w:ascii="Arial" w:eastAsia="仿宋_GB2312" w:hAnsi="Arial" w:hint="eastAsia"/>
          <w:bCs/>
          <w:sz w:val="28"/>
          <w:szCs w:val="28"/>
        </w:rPr>
        <w:t>18.8</w:t>
      </w:r>
      <w:r>
        <w:rPr>
          <w:rFonts w:ascii="Arial" w:eastAsia="仿宋_GB2312" w:hAnsi="Arial" w:hint="eastAsia"/>
          <w:bCs/>
          <w:sz w:val="28"/>
          <w:szCs w:val="28"/>
        </w:rPr>
        <w:t>个月（</w:t>
      </w:r>
      <w:r>
        <w:rPr>
          <w:rFonts w:ascii="Arial" w:eastAsia="仿宋_GB2312" w:hAnsi="Arial" w:hint="eastAsia"/>
          <w:bCs/>
          <w:sz w:val="28"/>
          <w:szCs w:val="28"/>
        </w:rPr>
        <w:t>3</w:t>
      </w:r>
      <w:r>
        <w:rPr>
          <w:rFonts w:ascii="Arial" w:eastAsia="仿宋_GB2312" w:hAnsi="Arial" w:hint="eastAsia"/>
          <w:bCs/>
          <w:sz w:val="28"/>
          <w:szCs w:val="28"/>
        </w:rPr>
        <w:t>月底出清周期），预计二季度供求关系改善或将带动出清周期下行，但仍需警惕结构性库存风险。</w:t>
      </w:r>
    </w:p>
    <w:p w14:paraId="6998B680" w14:textId="77777777" w:rsidR="0062768B" w:rsidRDefault="00136729">
      <w:pPr>
        <w:overflowPunct w:val="0"/>
        <w:spacing w:line="360" w:lineRule="auto"/>
        <w:jc w:val="center"/>
        <w:textAlignment w:val="auto"/>
        <w:rPr>
          <w:rFonts w:ascii="Arial" w:eastAsia="仿宋_GB2312" w:hAnsi="Arial"/>
          <w:bCs/>
          <w:sz w:val="28"/>
          <w:szCs w:val="28"/>
        </w:rPr>
      </w:pPr>
      <w:r>
        <w:rPr>
          <w:noProof/>
        </w:rPr>
        <w:lastRenderedPageBreak/>
        <w:drawing>
          <wp:inline distT="0" distB="0" distL="0" distR="0" wp14:anchorId="76E9D42F" wp14:editId="037E137A">
            <wp:extent cx="5901055" cy="186055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901055" cy="1860550"/>
                    </a:xfrm>
                    <a:prstGeom prst="rect">
                      <a:avLst/>
                    </a:prstGeom>
                    <a:noFill/>
                    <a:ln>
                      <a:noFill/>
                    </a:ln>
                  </pic:spPr>
                </pic:pic>
              </a:graphicData>
            </a:graphic>
          </wp:inline>
        </w:drawing>
      </w:r>
    </w:p>
    <w:p w14:paraId="229E47E9"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w:t>
      </w:r>
      <w:r>
        <w:rPr>
          <w:rFonts w:ascii="Arial" w:eastAsia="仿宋_GB2312" w:hAnsi="Arial" w:hint="eastAsia"/>
          <w:bCs/>
          <w:sz w:val="28"/>
          <w:szCs w:val="28"/>
        </w:rPr>
        <w:t>）商品住宅成交情况</w:t>
      </w:r>
    </w:p>
    <w:p w14:paraId="2D396F57"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A.</w:t>
      </w:r>
      <w:r>
        <w:rPr>
          <w:rFonts w:ascii="Arial" w:eastAsia="仿宋_GB2312" w:hAnsi="Arial" w:hint="eastAsia"/>
          <w:bCs/>
          <w:sz w:val="28"/>
          <w:szCs w:val="28"/>
        </w:rPr>
        <w:t>成交量</w:t>
      </w:r>
    </w:p>
    <w:p w14:paraId="0F713134"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年一季度北京商品住宅（不含保障房）成交</w:t>
      </w:r>
      <w:proofErr w:type="gramStart"/>
      <w:r>
        <w:rPr>
          <w:rFonts w:ascii="Arial" w:eastAsia="仿宋_GB2312" w:hAnsi="Arial" w:hint="eastAsia"/>
          <w:bCs/>
          <w:sz w:val="28"/>
          <w:szCs w:val="28"/>
        </w:rPr>
        <w:t>规模环</w:t>
      </w:r>
      <w:proofErr w:type="gramEnd"/>
      <w:r>
        <w:rPr>
          <w:rFonts w:ascii="Arial" w:eastAsia="仿宋_GB2312" w:hAnsi="Arial" w:hint="eastAsia"/>
          <w:bCs/>
          <w:sz w:val="28"/>
          <w:szCs w:val="28"/>
        </w:rPr>
        <w:t>比明显回落，且不及去年同期，但一季度呈现逐月回暖迹象。一季度北京楼市在传统春节淡季以及供应力度不足的影响下，市场表现相对一般，累计成交规模为</w:t>
      </w:r>
      <w:r>
        <w:rPr>
          <w:rFonts w:ascii="Arial" w:eastAsia="仿宋_GB2312" w:hAnsi="Arial" w:hint="eastAsia"/>
          <w:bCs/>
          <w:sz w:val="28"/>
          <w:szCs w:val="28"/>
        </w:rPr>
        <w:t>145</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，同比下降</w:t>
      </w:r>
      <w:r>
        <w:rPr>
          <w:rFonts w:ascii="Arial" w:eastAsia="仿宋_GB2312" w:hAnsi="Arial" w:hint="eastAsia"/>
          <w:bCs/>
          <w:sz w:val="28"/>
          <w:szCs w:val="28"/>
        </w:rPr>
        <w:t>5%</w:t>
      </w:r>
      <w:r>
        <w:rPr>
          <w:rFonts w:ascii="Arial" w:eastAsia="仿宋_GB2312" w:hAnsi="Arial" w:hint="eastAsia"/>
          <w:bCs/>
          <w:sz w:val="28"/>
          <w:szCs w:val="28"/>
        </w:rPr>
        <w:t>，环比下降</w:t>
      </w:r>
      <w:r>
        <w:rPr>
          <w:rFonts w:ascii="Arial" w:eastAsia="仿宋_GB2312" w:hAnsi="Arial" w:hint="eastAsia"/>
          <w:bCs/>
          <w:sz w:val="28"/>
          <w:szCs w:val="28"/>
        </w:rPr>
        <w:t>31%</w:t>
      </w:r>
      <w:r>
        <w:rPr>
          <w:rFonts w:ascii="Arial" w:eastAsia="仿宋_GB2312" w:hAnsi="Arial" w:hint="eastAsia"/>
          <w:bCs/>
          <w:sz w:val="28"/>
          <w:szCs w:val="28"/>
        </w:rPr>
        <w:t>；分月度来看，</w:t>
      </w:r>
      <w:r>
        <w:rPr>
          <w:rFonts w:ascii="Arial" w:eastAsia="仿宋_GB2312" w:hAnsi="Arial" w:hint="eastAsia"/>
          <w:bCs/>
          <w:sz w:val="28"/>
          <w:szCs w:val="28"/>
        </w:rPr>
        <w:t>1</w:t>
      </w:r>
      <w:r>
        <w:rPr>
          <w:rFonts w:ascii="Arial" w:eastAsia="仿宋_GB2312" w:hAnsi="Arial" w:hint="eastAsia"/>
          <w:bCs/>
          <w:sz w:val="28"/>
          <w:szCs w:val="28"/>
        </w:rPr>
        <w:t>月份正逢春节假期，叠加疫情因素未全部消除，导致成交仅</w:t>
      </w:r>
      <w:r>
        <w:rPr>
          <w:rFonts w:ascii="Arial" w:eastAsia="仿宋_GB2312" w:hAnsi="Arial" w:hint="eastAsia"/>
          <w:bCs/>
          <w:sz w:val="28"/>
          <w:szCs w:val="28"/>
        </w:rPr>
        <w:t>37</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，创近</w:t>
      </w:r>
      <w:r>
        <w:rPr>
          <w:rFonts w:ascii="Arial" w:eastAsia="仿宋_GB2312" w:hAnsi="Arial" w:hint="eastAsia"/>
          <w:bCs/>
          <w:sz w:val="28"/>
          <w:szCs w:val="28"/>
        </w:rPr>
        <w:t>11</w:t>
      </w:r>
      <w:r>
        <w:rPr>
          <w:rFonts w:ascii="Arial" w:eastAsia="仿宋_GB2312" w:hAnsi="Arial" w:hint="eastAsia"/>
          <w:bCs/>
          <w:sz w:val="28"/>
          <w:szCs w:val="28"/>
        </w:rPr>
        <w:t>个月新低；</w:t>
      </w:r>
      <w:r>
        <w:rPr>
          <w:rFonts w:ascii="Arial" w:eastAsia="仿宋_GB2312" w:hAnsi="Arial" w:hint="eastAsia"/>
          <w:bCs/>
          <w:sz w:val="28"/>
          <w:szCs w:val="28"/>
        </w:rPr>
        <w:t>2</w:t>
      </w:r>
      <w:r>
        <w:rPr>
          <w:rFonts w:ascii="Arial" w:eastAsia="仿宋_GB2312" w:hAnsi="Arial" w:hint="eastAsia"/>
          <w:bCs/>
          <w:sz w:val="28"/>
          <w:szCs w:val="28"/>
        </w:rPr>
        <w:t>月份市场热度回暖，</w:t>
      </w:r>
      <w:proofErr w:type="gramStart"/>
      <w:r>
        <w:rPr>
          <w:rFonts w:ascii="Arial" w:eastAsia="仿宋_GB2312" w:hAnsi="Arial" w:hint="eastAsia"/>
          <w:bCs/>
          <w:sz w:val="28"/>
          <w:szCs w:val="28"/>
        </w:rPr>
        <w:t>案场来访</w:t>
      </w:r>
      <w:proofErr w:type="gramEnd"/>
      <w:r>
        <w:rPr>
          <w:rFonts w:ascii="Arial" w:eastAsia="仿宋_GB2312" w:hAnsi="Arial" w:hint="eastAsia"/>
          <w:bCs/>
          <w:sz w:val="28"/>
          <w:szCs w:val="28"/>
        </w:rPr>
        <w:t>、认购量明显上涨，“小阳春”迹象明显；</w:t>
      </w:r>
      <w:r>
        <w:rPr>
          <w:rFonts w:ascii="Arial" w:eastAsia="仿宋_GB2312" w:hAnsi="Arial" w:hint="eastAsia"/>
          <w:bCs/>
          <w:sz w:val="28"/>
          <w:szCs w:val="28"/>
        </w:rPr>
        <w:t>3</w:t>
      </w:r>
      <w:r>
        <w:rPr>
          <w:rFonts w:ascii="Arial" w:eastAsia="仿宋_GB2312" w:hAnsi="Arial" w:hint="eastAsia"/>
          <w:bCs/>
          <w:sz w:val="28"/>
          <w:szCs w:val="28"/>
        </w:rPr>
        <w:t>月份供求两端发力，成交规模突破</w:t>
      </w:r>
      <w:r>
        <w:rPr>
          <w:rFonts w:ascii="Arial" w:eastAsia="仿宋_GB2312" w:hAnsi="Arial" w:hint="eastAsia"/>
          <w:bCs/>
          <w:sz w:val="28"/>
          <w:szCs w:val="28"/>
        </w:rPr>
        <w:t>65</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。一季度末北京开启二</w:t>
      </w:r>
      <w:r>
        <w:rPr>
          <w:rFonts w:ascii="Arial" w:eastAsia="仿宋_GB2312" w:hAnsi="Arial" w:hint="eastAsia"/>
          <w:bCs/>
          <w:sz w:val="28"/>
          <w:szCs w:val="28"/>
        </w:rPr>
        <w:t>手房交易“带押过户”模式，对于降低交易风险及成本、加快二手房流通具有积极意义，或将进一步激发楼市活力；叠加近期房山拟试点“一区</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策”，支持多子女家庭购房，为北京楼市政策放松打开想象空间；预计随着供应改善，二手房置换和改善需求入市，将对二季度楼市进一步回暖形成较强支撑。</w:t>
      </w:r>
    </w:p>
    <w:p w14:paraId="04794E25" w14:textId="77777777" w:rsidR="0062768B" w:rsidRDefault="00136729">
      <w:pPr>
        <w:widowControl/>
        <w:overflowPunct w:val="0"/>
        <w:adjustRightInd/>
        <w:spacing w:line="480" w:lineRule="auto"/>
        <w:jc w:val="center"/>
        <w:textAlignment w:val="auto"/>
        <w:rPr>
          <w:rFonts w:ascii="Arial" w:hAnsi="Arial"/>
          <w:bCs/>
          <w:sz w:val="21"/>
          <w:szCs w:val="28"/>
        </w:rPr>
      </w:pPr>
      <w:r>
        <w:rPr>
          <w:noProof/>
        </w:rPr>
        <w:drawing>
          <wp:inline distT="0" distB="0" distL="0" distR="0" wp14:anchorId="16BDE14D" wp14:editId="0D79005F">
            <wp:extent cx="5901055" cy="1892300"/>
            <wp:effectExtent l="0" t="0" r="0" b="1270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901055" cy="1892300"/>
                    </a:xfrm>
                    <a:prstGeom prst="rect">
                      <a:avLst/>
                    </a:prstGeom>
                    <a:noFill/>
                    <a:ln>
                      <a:noFill/>
                    </a:ln>
                  </pic:spPr>
                </pic:pic>
              </a:graphicData>
            </a:graphic>
          </wp:inline>
        </w:drawing>
      </w:r>
    </w:p>
    <w:p w14:paraId="3CB78209" w14:textId="77777777" w:rsidR="0062768B" w:rsidRDefault="00136729">
      <w:pPr>
        <w:tabs>
          <w:tab w:val="left" w:pos="426"/>
        </w:tabs>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B.</w:t>
      </w:r>
      <w:r>
        <w:rPr>
          <w:rFonts w:hint="eastAsia"/>
        </w:rPr>
        <w:t xml:space="preserve"> </w:t>
      </w:r>
      <w:r>
        <w:rPr>
          <w:rFonts w:ascii="Arial" w:eastAsia="仿宋_GB2312" w:hAnsi="Arial" w:hint="eastAsia"/>
          <w:bCs/>
          <w:sz w:val="28"/>
          <w:szCs w:val="28"/>
        </w:rPr>
        <w:t>成交价格</w:t>
      </w:r>
    </w:p>
    <w:p w14:paraId="67046DA2"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a.</w:t>
      </w:r>
      <w:r>
        <w:rPr>
          <w:rFonts w:ascii="Arial" w:eastAsia="仿宋_GB2312" w:hAnsi="Arial" w:hint="eastAsia"/>
          <w:bCs/>
          <w:sz w:val="28"/>
          <w:szCs w:val="28"/>
        </w:rPr>
        <w:t>成交价格</w:t>
      </w:r>
    </w:p>
    <w:p w14:paraId="2FEEBBF1"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年一季度北京商品住宅价格同比涨幅持续低位，累计涨幅低于</w:t>
      </w:r>
      <w:r>
        <w:rPr>
          <w:rFonts w:ascii="Arial" w:eastAsia="仿宋_GB2312" w:hAnsi="Arial" w:hint="eastAsia"/>
          <w:bCs/>
          <w:sz w:val="28"/>
          <w:szCs w:val="28"/>
        </w:rPr>
        <w:lastRenderedPageBreak/>
        <w:t>去年同期。伴随改善型项目持续入市、中高端产品成交增加，新建商品住宅价格结构性小幅上涨。整体来看，一季度北京新建商品住宅价格为</w:t>
      </w:r>
      <w:r>
        <w:rPr>
          <w:rFonts w:ascii="Arial" w:eastAsia="仿宋_GB2312" w:hAnsi="Arial" w:hint="eastAsia"/>
          <w:bCs/>
          <w:sz w:val="28"/>
          <w:szCs w:val="28"/>
        </w:rPr>
        <w:t>44708</w:t>
      </w:r>
      <w:r>
        <w:rPr>
          <w:rFonts w:ascii="Arial" w:eastAsia="仿宋_GB2312" w:hAnsi="Arial" w:hint="eastAsia"/>
          <w:bCs/>
          <w:sz w:val="28"/>
          <w:szCs w:val="28"/>
        </w:rPr>
        <w:t>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，同比</w:t>
      </w:r>
      <w:r>
        <w:rPr>
          <w:rFonts w:ascii="Arial" w:eastAsia="仿宋_GB2312" w:hAnsi="Arial" w:hint="eastAsia"/>
          <w:bCs/>
          <w:sz w:val="28"/>
          <w:szCs w:val="28"/>
        </w:rPr>
        <w:t>上涨</w:t>
      </w:r>
      <w:r>
        <w:rPr>
          <w:rFonts w:ascii="Arial" w:eastAsia="仿宋_GB2312" w:hAnsi="Arial" w:hint="eastAsia"/>
          <w:bCs/>
          <w:sz w:val="28"/>
          <w:szCs w:val="28"/>
        </w:rPr>
        <w:t>0.81%</w:t>
      </w:r>
      <w:r>
        <w:rPr>
          <w:rFonts w:ascii="Arial" w:eastAsia="仿宋_GB2312" w:hAnsi="Arial" w:hint="eastAsia"/>
          <w:bCs/>
          <w:sz w:val="28"/>
          <w:szCs w:val="28"/>
        </w:rPr>
        <w:t>，涨幅处于</w:t>
      </w:r>
      <w:r>
        <w:rPr>
          <w:rFonts w:ascii="Arial" w:eastAsia="仿宋_GB2312" w:hAnsi="Arial" w:hint="eastAsia"/>
          <w:bCs/>
          <w:sz w:val="28"/>
          <w:szCs w:val="28"/>
        </w:rPr>
        <w:t>2021</w:t>
      </w:r>
      <w:r>
        <w:rPr>
          <w:rFonts w:ascii="Arial" w:eastAsia="仿宋_GB2312" w:hAnsi="Arial" w:hint="eastAsia"/>
          <w:bCs/>
          <w:sz w:val="28"/>
          <w:szCs w:val="28"/>
        </w:rPr>
        <w:t>年以来低位水平；累计来看，一季度商品住房价格累计上涨</w:t>
      </w:r>
      <w:r>
        <w:rPr>
          <w:rFonts w:ascii="Arial" w:eastAsia="仿宋_GB2312" w:hAnsi="Arial" w:hint="eastAsia"/>
          <w:bCs/>
          <w:sz w:val="28"/>
          <w:szCs w:val="28"/>
        </w:rPr>
        <w:t>0.06%</w:t>
      </w:r>
      <w:r>
        <w:rPr>
          <w:rFonts w:ascii="Arial" w:eastAsia="仿宋_GB2312" w:hAnsi="Arial" w:hint="eastAsia"/>
          <w:bCs/>
          <w:sz w:val="28"/>
          <w:szCs w:val="28"/>
        </w:rPr>
        <w:t>，涨幅继续收窄，较去年同期收窄</w:t>
      </w:r>
      <w:r>
        <w:rPr>
          <w:rFonts w:ascii="Arial" w:eastAsia="仿宋_GB2312" w:hAnsi="Arial" w:hint="eastAsia"/>
          <w:bCs/>
          <w:sz w:val="28"/>
          <w:szCs w:val="28"/>
        </w:rPr>
        <w:t>0.04</w:t>
      </w:r>
      <w:r>
        <w:rPr>
          <w:rFonts w:ascii="Arial" w:eastAsia="仿宋_GB2312" w:hAnsi="Arial" w:hint="eastAsia"/>
          <w:bCs/>
          <w:sz w:val="28"/>
          <w:szCs w:val="28"/>
        </w:rPr>
        <w:t>个百分点。</w:t>
      </w:r>
    </w:p>
    <w:p w14:paraId="74ACC917" w14:textId="77777777" w:rsidR="0062768B" w:rsidRDefault="00136729">
      <w:pPr>
        <w:overflowPunct w:val="0"/>
        <w:spacing w:line="480" w:lineRule="auto"/>
        <w:jc w:val="center"/>
        <w:textAlignment w:val="auto"/>
        <w:rPr>
          <w:rFonts w:ascii="Arial" w:hAnsi="Arial"/>
          <w:sz w:val="21"/>
          <w:szCs w:val="28"/>
        </w:rPr>
      </w:pPr>
      <w:r>
        <w:rPr>
          <w:noProof/>
        </w:rPr>
        <w:drawing>
          <wp:inline distT="0" distB="0" distL="0" distR="0" wp14:anchorId="760FF53B" wp14:editId="5D3FC587">
            <wp:extent cx="5911850" cy="1786255"/>
            <wp:effectExtent l="0" t="0" r="635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911850" cy="1786255"/>
                    </a:xfrm>
                    <a:prstGeom prst="rect">
                      <a:avLst/>
                    </a:prstGeom>
                    <a:noFill/>
                    <a:ln>
                      <a:noFill/>
                    </a:ln>
                  </pic:spPr>
                </pic:pic>
              </a:graphicData>
            </a:graphic>
          </wp:inline>
        </w:drawing>
      </w:r>
    </w:p>
    <w:p w14:paraId="23AB6E92"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b.</w:t>
      </w:r>
      <w:r>
        <w:rPr>
          <w:rFonts w:ascii="Arial" w:eastAsia="仿宋_GB2312" w:hAnsi="Arial" w:hint="eastAsia"/>
          <w:bCs/>
          <w:sz w:val="28"/>
          <w:szCs w:val="28"/>
        </w:rPr>
        <w:t>成交结构</w:t>
      </w:r>
    </w:p>
    <w:p w14:paraId="02BD8A38"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w:t>
      </w:r>
      <w:r>
        <w:rPr>
          <w:rFonts w:ascii="Arial" w:eastAsia="仿宋_GB2312" w:hAnsi="Arial" w:hint="eastAsia"/>
          <w:bCs/>
          <w:sz w:val="28"/>
          <w:szCs w:val="28"/>
        </w:rPr>
        <w:t>90-200</w:t>
      </w:r>
      <w:r>
        <w:rPr>
          <w:rFonts w:ascii="Batang" w:eastAsia="Batang" w:hAnsi="Batang" w:cs="Batang" w:hint="eastAsia"/>
          <w:bCs/>
          <w:sz w:val="28"/>
          <w:szCs w:val="28"/>
        </w:rPr>
        <w:t>㎡</w:t>
      </w:r>
      <w:r>
        <w:rPr>
          <w:rFonts w:ascii="仿宋_GB2312" w:eastAsia="仿宋_GB2312" w:hAnsi="仿宋_GB2312" w:cs="仿宋_GB2312" w:hint="eastAsia"/>
          <w:bCs/>
          <w:sz w:val="28"/>
          <w:szCs w:val="28"/>
        </w:rPr>
        <w:t>面积段的刚改和改善型产品跃升为成交主力，成交套数占比达</w:t>
      </w:r>
      <w:r>
        <w:rPr>
          <w:rFonts w:ascii="Arial" w:eastAsia="仿宋_GB2312" w:hAnsi="Arial" w:hint="eastAsia"/>
          <w:bCs/>
          <w:sz w:val="28"/>
          <w:szCs w:val="28"/>
        </w:rPr>
        <w:t>55.5%</w:t>
      </w:r>
      <w:r>
        <w:rPr>
          <w:rFonts w:ascii="Arial" w:eastAsia="仿宋_GB2312" w:hAnsi="Arial" w:hint="eastAsia"/>
          <w:bCs/>
          <w:sz w:val="28"/>
          <w:szCs w:val="28"/>
        </w:rPr>
        <w:t>，占比提升</w:t>
      </w:r>
      <w:r>
        <w:rPr>
          <w:rFonts w:ascii="Arial" w:eastAsia="仿宋_GB2312" w:hAnsi="Arial" w:hint="eastAsia"/>
          <w:bCs/>
          <w:sz w:val="28"/>
          <w:szCs w:val="28"/>
        </w:rPr>
        <w:t>9.5</w:t>
      </w:r>
      <w:r>
        <w:rPr>
          <w:rFonts w:ascii="Arial" w:eastAsia="仿宋_GB2312" w:hAnsi="Arial" w:hint="eastAsia"/>
          <w:bCs/>
          <w:sz w:val="28"/>
          <w:szCs w:val="28"/>
        </w:rPr>
        <w:t>个百分点，增幅显著；成交总价段主要集中在</w:t>
      </w:r>
      <w:r>
        <w:rPr>
          <w:rFonts w:ascii="Arial" w:eastAsia="仿宋_GB2312" w:hAnsi="Arial" w:hint="eastAsia"/>
          <w:bCs/>
          <w:sz w:val="28"/>
          <w:szCs w:val="28"/>
        </w:rPr>
        <w:t>800</w:t>
      </w:r>
      <w:r>
        <w:rPr>
          <w:rFonts w:ascii="Arial" w:eastAsia="仿宋_GB2312" w:hAnsi="Arial" w:hint="eastAsia"/>
          <w:bCs/>
          <w:sz w:val="28"/>
          <w:szCs w:val="28"/>
        </w:rPr>
        <w:t>万之下的中低</w:t>
      </w:r>
      <w:r>
        <w:rPr>
          <w:rFonts w:ascii="Arial" w:eastAsia="仿宋_GB2312" w:hAnsi="Arial" w:hint="eastAsia"/>
          <w:bCs/>
          <w:sz w:val="28"/>
          <w:szCs w:val="28"/>
        </w:rPr>
        <w:t>/</w:t>
      </w:r>
      <w:r>
        <w:rPr>
          <w:rFonts w:ascii="Arial" w:eastAsia="仿宋_GB2312" w:hAnsi="Arial" w:hint="eastAsia"/>
          <w:bCs/>
          <w:sz w:val="28"/>
          <w:szCs w:val="28"/>
        </w:rPr>
        <w:t>中高价位，其中</w:t>
      </w:r>
      <w:r>
        <w:rPr>
          <w:rFonts w:ascii="Arial" w:eastAsia="仿宋_GB2312" w:hAnsi="Arial" w:hint="eastAsia"/>
          <w:bCs/>
          <w:sz w:val="28"/>
          <w:szCs w:val="28"/>
        </w:rPr>
        <w:t>500</w:t>
      </w:r>
      <w:r>
        <w:rPr>
          <w:rFonts w:ascii="Arial" w:eastAsia="仿宋_GB2312" w:hAnsi="Arial" w:hint="eastAsia"/>
          <w:bCs/>
          <w:sz w:val="28"/>
          <w:szCs w:val="28"/>
        </w:rPr>
        <w:t>万元以下低价位产品同比减少</w:t>
      </w:r>
      <w:r>
        <w:rPr>
          <w:rFonts w:ascii="Arial" w:eastAsia="仿宋_GB2312" w:hAnsi="Arial" w:hint="eastAsia"/>
          <w:bCs/>
          <w:sz w:val="28"/>
          <w:szCs w:val="28"/>
        </w:rPr>
        <w:t>9.4</w:t>
      </w:r>
      <w:r>
        <w:rPr>
          <w:rFonts w:ascii="Arial" w:eastAsia="仿宋_GB2312" w:hAnsi="Arial" w:hint="eastAsia"/>
          <w:bCs/>
          <w:sz w:val="28"/>
          <w:szCs w:val="28"/>
        </w:rPr>
        <w:t>个百分点，但仍为成交主力，成交套数占比达</w:t>
      </w:r>
      <w:r>
        <w:rPr>
          <w:rFonts w:ascii="Arial" w:eastAsia="仿宋_GB2312" w:hAnsi="Arial" w:hint="eastAsia"/>
          <w:bCs/>
          <w:sz w:val="28"/>
          <w:szCs w:val="28"/>
        </w:rPr>
        <w:t>49.1%</w:t>
      </w:r>
      <w:r>
        <w:rPr>
          <w:rFonts w:ascii="Arial" w:eastAsia="仿宋_GB2312" w:hAnsi="Arial" w:hint="eastAsia"/>
          <w:bCs/>
          <w:sz w:val="28"/>
          <w:szCs w:val="28"/>
        </w:rPr>
        <w:t>；</w:t>
      </w:r>
      <w:r>
        <w:rPr>
          <w:rFonts w:ascii="Arial" w:eastAsia="仿宋_GB2312" w:hAnsi="Arial" w:hint="eastAsia"/>
          <w:bCs/>
          <w:sz w:val="28"/>
          <w:szCs w:val="28"/>
        </w:rPr>
        <w:t>500-800</w:t>
      </w:r>
      <w:r>
        <w:rPr>
          <w:rFonts w:ascii="Arial" w:eastAsia="仿宋_GB2312" w:hAnsi="Arial" w:hint="eastAsia"/>
          <w:bCs/>
          <w:sz w:val="28"/>
          <w:szCs w:val="28"/>
        </w:rPr>
        <w:t>万元的中高价</w:t>
      </w:r>
      <w:proofErr w:type="gramStart"/>
      <w:r>
        <w:rPr>
          <w:rFonts w:ascii="Arial" w:eastAsia="仿宋_GB2312" w:hAnsi="Arial" w:hint="eastAsia"/>
          <w:bCs/>
          <w:sz w:val="28"/>
          <w:szCs w:val="28"/>
        </w:rPr>
        <w:t>段成交</w:t>
      </w:r>
      <w:proofErr w:type="gramEnd"/>
      <w:r>
        <w:rPr>
          <w:rFonts w:ascii="Arial" w:eastAsia="仿宋_GB2312" w:hAnsi="Arial" w:hint="eastAsia"/>
          <w:bCs/>
          <w:sz w:val="28"/>
          <w:szCs w:val="28"/>
        </w:rPr>
        <w:t>占比增加</w:t>
      </w:r>
      <w:r>
        <w:rPr>
          <w:rFonts w:ascii="Arial" w:eastAsia="仿宋_GB2312" w:hAnsi="Arial" w:hint="eastAsia"/>
          <w:bCs/>
          <w:sz w:val="28"/>
          <w:szCs w:val="28"/>
        </w:rPr>
        <w:t>7.1</w:t>
      </w:r>
      <w:r>
        <w:rPr>
          <w:rFonts w:ascii="Arial" w:eastAsia="仿宋_GB2312" w:hAnsi="Arial" w:hint="eastAsia"/>
          <w:bCs/>
          <w:sz w:val="28"/>
          <w:szCs w:val="28"/>
        </w:rPr>
        <w:t>个百分点至</w:t>
      </w:r>
      <w:r>
        <w:rPr>
          <w:rFonts w:ascii="Arial" w:eastAsia="仿宋_GB2312" w:hAnsi="Arial" w:hint="eastAsia"/>
          <w:bCs/>
          <w:sz w:val="28"/>
          <w:szCs w:val="28"/>
        </w:rPr>
        <w:t>26.8%</w:t>
      </w:r>
    </w:p>
    <w:p w14:paraId="3C6C3C25"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改善性需求逐步释放，在中高端产品供应提高带动下，新房成交逐步由中低面积段向中</w:t>
      </w:r>
      <w:proofErr w:type="gramStart"/>
      <w:r>
        <w:rPr>
          <w:rFonts w:ascii="Arial" w:eastAsia="仿宋_GB2312" w:hAnsi="Arial" w:hint="eastAsia"/>
          <w:bCs/>
          <w:sz w:val="28"/>
          <w:szCs w:val="28"/>
        </w:rPr>
        <w:t>高面积段</w:t>
      </w:r>
      <w:proofErr w:type="gramEnd"/>
      <w:r>
        <w:rPr>
          <w:rFonts w:ascii="Arial" w:eastAsia="仿宋_GB2312" w:hAnsi="Arial" w:hint="eastAsia"/>
          <w:bCs/>
          <w:sz w:val="28"/>
          <w:szCs w:val="28"/>
        </w:rPr>
        <w:t>转移，成交总价</w:t>
      </w:r>
      <w:proofErr w:type="gramStart"/>
      <w:r>
        <w:rPr>
          <w:rFonts w:ascii="Arial" w:eastAsia="仿宋_GB2312" w:hAnsi="Arial" w:hint="eastAsia"/>
          <w:bCs/>
          <w:sz w:val="28"/>
          <w:szCs w:val="28"/>
        </w:rPr>
        <w:t>段逐步</w:t>
      </w:r>
      <w:proofErr w:type="gramEnd"/>
      <w:r>
        <w:rPr>
          <w:rFonts w:ascii="Arial" w:eastAsia="仿宋_GB2312" w:hAnsi="Arial" w:hint="eastAsia"/>
          <w:bCs/>
          <w:sz w:val="28"/>
          <w:szCs w:val="28"/>
        </w:rPr>
        <w:t>由中低价位向中高价位产品转移，而</w:t>
      </w:r>
      <w:proofErr w:type="gramStart"/>
      <w:r>
        <w:rPr>
          <w:rFonts w:ascii="Arial" w:eastAsia="仿宋_GB2312" w:hAnsi="Arial" w:hint="eastAsia"/>
          <w:bCs/>
          <w:sz w:val="28"/>
          <w:szCs w:val="28"/>
        </w:rPr>
        <w:t>高面积段</w:t>
      </w:r>
      <w:proofErr w:type="gramEnd"/>
      <w:r>
        <w:rPr>
          <w:rFonts w:ascii="Arial" w:eastAsia="仿宋_GB2312" w:hAnsi="Arial" w:hint="eastAsia"/>
          <w:bCs/>
          <w:sz w:val="28"/>
          <w:szCs w:val="28"/>
        </w:rPr>
        <w:t>和高价格</w:t>
      </w:r>
      <w:proofErr w:type="gramStart"/>
      <w:r>
        <w:rPr>
          <w:rFonts w:ascii="Arial" w:eastAsia="仿宋_GB2312" w:hAnsi="Arial" w:hint="eastAsia"/>
          <w:bCs/>
          <w:sz w:val="28"/>
          <w:szCs w:val="28"/>
        </w:rPr>
        <w:t>段产品</w:t>
      </w:r>
      <w:proofErr w:type="gramEnd"/>
      <w:r>
        <w:rPr>
          <w:rFonts w:ascii="Arial" w:eastAsia="仿宋_GB2312" w:hAnsi="Arial" w:hint="eastAsia"/>
          <w:bCs/>
          <w:sz w:val="28"/>
          <w:szCs w:val="28"/>
        </w:rPr>
        <w:t>同比变化幅度较小。</w:t>
      </w:r>
    </w:p>
    <w:p w14:paraId="1F4C1AF5" w14:textId="77777777" w:rsidR="0062768B" w:rsidRDefault="00136729">
      <w:pPr>
        <w:tabs>
          <w:tab w:val="left" w:pos="426"/>
        </w:tabs>
        <w:overflowPunct w:val="0"/>
        <w:spacing w:line="360" w:lineRule="auto"/>
        <w:jc w:val="center"/>
        <w:textAlignment w:val="auto"/>
        <w:rPr>
          <w:rFonts w:ascii="Arial" w:eastAsia="仿宋_GB2312" w:hAnsi="Arial"/>
          <w:bCs/>
          <w:sz w:val="28"/>
          <w:szCs w:val="28"/>
        </w:rPr>
      </w:pPr>
      <w:r>
        <w:rPr>
          <w:noProof/>
        </w:rPr>
        <w:drawing>
          <wp:inline distT="0" distB="0" distL="0" distR="0" wp14:anchorId="7289B7DD" wp14:editId="285F81BD">
            <wp:extent cx="5911850" cy="1913890"/>
            <wp:effectExtent l="0" t="0" r="635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911850" cy="1913890"/>
                    </a:xfrm>
                    <a:prstGeom prst="rect">
                      <a:avLst/>
                    </a:prstGeom>
                    <a:noFill/>
                    <a:ln>
                      <a:noFill/>
                    </a:ln>
                  </pic:spPr>
                </pic:pic>
              </a:graphicData>
            </a:graphic>
          </wp:inline>
        </w:drawing>
      </w:r>
    </w:p>
    <w:p w14:paraId="45B2E65F"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C.</w:t>
      </w:r>
      <w:r>
        <w:rPr>
          <w:rFonts w:ascii="Arial" w:eastAsia="仿宋_GB2312" w:hAnsi="Arial" w:cs="Arial" w:hint="eastAsia"/>
          <w:bCs/>
          <w:sz w:val="28"/>
          <w:szCs w:val="28"/>
        </w:rPr>
        <w:t>区域成交</w:t>
      </w:r>
    </w:p>
    <w:p w14:paraId="7B3C9B48"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bookmarkStart w:id="144" w:name="OLE_LINK39"/>
      <w:bookmarkStart w:id="145" w:name="OLE_LINK40"/>
      <w:r>
        <w:rPr>
          <w:rFonts w:ascii="Arial" w:eastAsia="仿宋_GB2312" w:hAnsi="Arial" w:cs="Arial" w:hint="eastAsia"/>
          <w:bCs/>
          <w:sz w:val="28"/>
          <w:szCs w:val="28"/>
        </w:rPr>
        <w:t>从成交规模来看，近郊六区为北京商品住宅（不含保障房）成交主力区域。</w:t>
      </w:r>
      <w:r>
        <w:rPr>
          <w:rFonts w:ascii="Arial" w:eastAsia="仿宋_GB2312" w:hAnsi="Arial" w:cs="Arial" w:hint="eastAsia"/>
          <w:bCs/>
          <w:sz w:val="28"/>
          <w:szCs w:val="28"/>
        </w:rPr>
        <w:t>2023</w:t>
      </w:r>
      <w:r>
        <w:rPr>
          <w:rFonts w:ascii="Arial" w:eastAsia="仿宋_GB2312" w:hAnsi="Arial" w:cs="Arial" w:hint="eastAsia"/>
          <w:bCs/>
          <w:sz w:val="28"/>
          <w:szCs w:val="28"/>
        </w:rPr>
        <w:t>年一季度近郊六</w:t>
      </w:r>
      <w:proofErr w:type="gramStart"/>
      <w:r>
        <w:rPr>
          <w:rFonts w:ascii="Arial" w:eastAsia="仿宋_GB2312" w:hAnsi="Arial" w:cs="Arial" w:hint="eastAsia"/>
          <w:bCs/>
          <w:sz w:val="28"/>
          <w:szCs w:val="28"/>
        </w:rPr>
        <w:t>区成交</w:t>
      </w:r>
      <w:proofErr w:type="gramEnd"/>
      <w:r>
        <w:rPr>
          <w:rFonts w:ascii="Arial" w:eastAsia="仿宋_GB2312" w:hAnsi="Arial" w:cs="Arial" w:hint="eastAsia"/>
          <w:bCs/>
          <w:sz w:val="28"/>
          <w:szCs w:val="28"/>
        </w:rPr>
        <w:t>82.34</w:t>
      </w:r>
      <w:r>
        <w:rPr>
          <w:rFonts w:ascii="Arial" w:eastAsia="仿宋_GB2312" w:hAnsi="Arial" w:cs="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，占比达</w:t>
      </w:r>
      <w:r>
        <w:rPr>
          <w:rFonts w:ascii="Arial" w:eastAsia="仿宋_GB2312" w:hAnsi="Arial" w:cs="Arial" w:hint="eastAsia"/>
          <w:bCs/>
          <w:sz w:val="28"/>
          <w:szCs w:val="28"/>
        </w:rPr>
        <w:t>56.7%</w:t>
      </w:r>
      <w:r>
        <w:rPr>
          <w:rFonts w:ascii="Arial" w:eastAsia="仿宋_GB2312" w:hAnsi="Arial" w:cs="Arial" w:hint="eastAsia"/>
          <w:bCs/>
          <w:sz w:val="28"/>
          <w:szCs w:val="28"/>
        </w:rPr>
        <w:t>；其中，</w:t>
      </w:r>
      <w:r>
        <w:rPr>
          <w:rFonts w:ascii="Arial" w:eastAsia="仿宋_GB2312" w:hAnsi="Arial" w:cs="Arial" w:hint="eastAsia"/>
          <w:bCs/>
          <w:sz w:val="28"/>
          <w:szCs w:val="28"/>
        </w:rPr>
        <w:lastRenderedPageBreak/>
        <w:t>昌平、顺义、</w:t>
      </w:r>
      <w:proofErr w:type="gramStart"/>
      <w:r>
        <w:rPr>
          <w:rFonts w:ascii="Arial" w:eastAsia="仿宋_GB2312" w:hAnsi="Arial" w:cs="Arial" w:hint="eastAsia"/>
          <w:bCs/>
          <w:sz w:val="28"/>
          <w:szCs w:val="28"/>
        </w:rPr>
        <w:t>大兴区</w:t>
      </w:r>
      <w:proofErr w:type="gramEnd"/>
      <w:r>
        <w:rPr>
          <w:rFonts w:ascii="Arial" w:eastAsia="仿宋_GB2312" w:hAnsi="Arial" w:cs="Arial" w:hint="eastAsia"/>
          <w:bCs/>
          <w:sz w:val="28"/>
          <w:szCs w:val="28"/>
        </w:rPr>
        <w:t>累计成交均超</w:t>
      </w:r>
      <w:r>
        <w:rPr>
          <w:rFonts w:ascii="Arial" w:eastAsia="仿宋_GB2312" w:hAnsi="Arial" w:cs="Arial" w:hint="eastAsia"/>
          <w:bCs/>
          <w:sz w:val="28"/>
          <w:szCs w:val="28"/>
        </w:rPr>
        <w:t>18</w:t>
      </w:r>
      <w:r>
        <w:rPr>
          <w:rFonts w:ascii="Arial" w:eastAsia="仿宋_GB2312" w:hAnsi="Arial" w:cs="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，分居北京各区销售规模第二、三、四位。中心城区中丰台、朝阳表现较好，成交规模超</w:t>
      </w:r>
      <w:r>
        <w:rPr>
          <w:rFonts w:ascii="Arial" w:eastAsia="仿宋_GB2312" w:hAnsi="Arial" w:cs="Arial" w:hint="eastAsia"/>
          <w:bCs/>
          <w:sz w:val="28"/>
          <w:szCs w:val="28"/>
        </w:rPr>
        <w:t>15</w:t>
      </w:r>
      <w:r>
        <w:rPr>
          <w:rFonts w:ascii="Arial" w:eastAsia="仿宋_GB2312" w:hAnsi="Arial" w:cs="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w:t>
      </w:r>
    </w:p>
    <w:p w14:paraId="5F1E1204"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从成交价格来看，中心、近郊和远郊区域的成交规模同比均有不同程度的回落，中心城区成交规模同比回落</w:t>
      </w:r>
      <w:r>
        <w:rPr>
          <w:rFonts w:ascii="Arial" w:eastAsia="仿宋_GB2312" w:hAnsi="Arial" w:cs="Arial" w:hint="eastAsia"/>
          <w:bCs/>
          <w:sz w:val="28"/>
          <w:szCs w:val="28"/>
        </w:rPr>
        <w:t>1%</w:t>
      </w:r>
      <w:r>
        <w:rPr>
          <w:rFonts w:ascii="Arial" w:eastAsia="仿宋_GB2312" w:hAnsi="Arial" w:cs="Arial" w:hint="eastAsia"/>
          <w:bCs/>
          <w:sz w:val="28"/>
          <w:szCs w:val="28"/>
        </w:rPr>
        <w:t>，韧性最强；其中丰台、东城成交规模增幅同比翻倍，海淀、石景山、西城</w:t>
      </w:r>
      <w:proofErr w:type="gramStart"/>
      <w:r>
        <w:rPr>
          <w:rFonts w:ascii="Arial" w:eastAsia="仿宋_GB2312" w:hAnsi="Arial" w:cs="Arial" w:hint="eastAsia"/>
          <w:bCs/>
          <w:sz w:val="28"/>
          <w:szCs w:val="28"/>
        </w:rPr>
        <w:t>降幅超</w:t>
      </w:r>
      <w:proofErr w:type="gramEnd"/>
      <w:r>
        <w:rPr>
          <w:rFonts w:ascii="Arial" w:eastAsia="仿宋_GB2312" w:hAnsi="Arial" w:cs="Arial" w:hint="eastAsia"/>
          <w:bCs/>
          <w:sz w:val="28"/>
          <w:szCs w:val="28"/>
        </w:rPr>
        <w:t>三成。</w:t>
      </w:r>
      <w:bookmarkEnd w:id="144"/>
      <w:bookmarkEnd w:id="145"/>
      <w:r>
        <w:rPr>
          <w:rFonts w:ascii="Arial" w:eastAsia="仿宋_GB2312" w:hAnsi="Arial" w:cs="Arial" w:hint="eastAsia"/>
          <w:bCs/>
          <w:sz w:val="28"/>
          <w:szCs w:val="28"/>
        </w:rPr>
        <w:t>近郊</w:t>
      </w:r>
      <w:proofErr w:type="gramStart"/>
      <w:r>
        <w:rPr>
          <w:rFonts w:ascii="Arial" w:eastAsia="仿宋_GB2312" w:hAnsi="Arial" w:cs="Arial" w:hint="eastAsia"/>
          <w:bCs/>
          <w:sz w:val="28"/>
          <w:szCs w:val="28"/>
        </w:rPr>
        <w:t>区成交</w:t>
      </w:r>
      <w:proofErr w:type="gramEnd"/>
      <w:r>
        <w:rPr>
          <w:rFonts w:ascii="Arial" w:eastAsia="仿宋_GB2312" w:hAnsi="Arial" w:cs="Arial" w:hint="eastAsia"/>
          <w:bCs/>
          <w:sz w:val="28"/>
          <w:szCs w:val="28"/>
        </w:rPr>
        <w:t>规模同比下降</w:t>
      </w:r>
      <w:r>
        <w:rPr>
          <w:rFonts w:ascii="Arial" w:eastAsia="仿宋_GB2312" w:hAnsi="Arial" w:cs="Arial" w:hint="eastAsia"/>
          <w:bCs/>
          <w:sz w:val="28"/>
          <w:szCs w:val="28"/>
        </w:rPr>
        <w:t>6%</w:t>
      </w:r>
      <w:r>
        <w:rPr>
          <w:rFonts w:ascii="Arial" w:eastAsia="仿宋_GB2312" w:hAnsi="Arial" w:cs="Arial" w:hint="eastAsia"/>
          <w:bCs/>
          <w:sz w:val="28"/>
          <w:szCs w:val="28"/>
        </w:rPr>
        <w:t>，韧性较强，其中房山、昌平、门头沟同比增长，通州、顺义、大兴成交主力区域均下降一成以上；远郊</w:t>
      </w:r>
      <w:proofErr w:type="gramStart"/>
      <w:r>
        <w:rPr>
          <w:rFonts w:ascii="Arial" w:eastAsia="仿宋_GB2312" w:hAnsi="Arial" w:cs="Arial" w:hint="eastAsia"/>
          <w:bCs/>
          <w:sz w:val="28"/>
          <w:szCs w:val="28"/>
        </w:rPr>
        <w:t>区成交</w:t>
      </w:r>
      <w:proofErr w:type="gramEnd"/>
      <w:r>
        <w:rPr>
          <w:rFonts w:ascii="Arial" w:eastAsia="仿宋_GB2312" w:hAnsi="Arial" w:cs="Arial" w:hint="eastAsia"/>
          <w:bCs/>
          <w:sz w:val="28"/>
          <w:szCs w:val="28"/>
        </w:rPr>
        <w:t>规模同比下降</w:t>
      </w:r>
      <w:r>
        <w:rPr>
          <w:rFonts w:ascii="Arial" w:eastAsia="仿宋_GB2312" w:hAnsi="Arial" w:cs="Arial" w:hint="eastAsia"/>
          <w:bCs/>
          <w:sz w:val="28"/>
          <w:szCs w:val="28"/>
        </w:rPr>
        <w:t>22%</w:t>
      </w:r>
      <w:r>
        <w:rPr>
          <w:rFonts w:ascii="Arial" w:eastAsia="仿宋_GB2312" w:hAnsi="Arial" w:cs="Arial" w:hint="eastAsia"/>
          <w:bCs/>
          <w:sz w:val="28"/>
          <w:szCs w:val="28"/>
        </w:rPr>
        <w:t>，下降幅度最大，其中密云、延庆降幅三成以上。</w:t>
      </w:r>
    </w:p>
    <w:p w14:paraId="1FA5FCD8" w14:textId="77777777" w:rsidR="0062768B" w:rsidRDefault="00136729">
      <w:pPr>
        <w:widowControl/>
        <w:adjustRightInd/>
        <w:spacing w:line="360" w:lineRule="auto"/>
        <w:jc w:val="both"/>
        <w:textAlignment w:val="auto"/>
        <w:rPr>
          <w:rFonts w:ascii="Arial" w:eastAsia="仿宋_GB2312" w:hAnsi="Arial" w:cs="Arial"/>
          <w:bCs/>
          <w:sz w:val="28"/>
          <w:szCs w:val="28"/>
        </w:rPr>
      </w:pPr>
      <w:r>
        <w:rPr>
          <w:noProof/>
        </w:rPr>
        <w:drawing>
          <wp:inline distT="0" distB="0" distL="0" distR="0" wp14:anchorId="7300EB3A" wp14:editId="054CF96C">
            <wp:extent cx="5901055" cy="2232660"/>
            <wp:effectExtent l="0" t="0" r="0" b="254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901055" cy="2232660"/>
                    </a:xfrm>
                    <a:prstGeom prst="rect">
                      <a:avLst/>
                    </a:prstGeom>
                    <a:noFill/>
                    <a:ln>
                      <a:noFill/>
                    </a:ln>
                  </pic:spPr>
                </pic:pic>
              </a:graphicData>
            </a:graphic>
          </wp:inline>
        </w:drawing>
      </w:r>
    </w:p>
    <w:p w14:paraId="3DE1B8B2"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）存量房住宅市场</w:t>
      </w:r>
    </w:p>
    <w:p w14:paraId="1777506B"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）市场运行状况</w:t>
      </w:r>
    </w:p>
    <w:p w14:paraId="5754E4D9" w14:textId="77777777" w:rsidR="0062768B" w:rsidRDefault="00136729">
      <w:pPr>
        <w:tabs>
          <w:tab w:val="left" w:pos="426"/>
        </w:tabs>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年一季度北京存量房住宅市场持续回温，成交升至近一年高位。一季度北京存量房住宅市场热度先降后升，累计成交</w:t>
      </w:r>
      <w:r>
        <w:rPr>
          <w:rFonts w:ascii="Arial" w:eastAsia="仿宋_GB2312" w:hAnsi="Arial" w:hint="eastAsia"/>
          <w:bCs/>
          <w:sz w:val="28"/>
          <w:szCs w:val="28"/>
        </w:rPr>
        <w:t>4.73</w:t>
      </w:r>
      <w:r>
        <w:rPr>
          <w:rFonts w:ascii="Arial" w:eastAsia="仿宋_GB2312" w:hAnsi="Arial" w:hint="eastAsia"/>
          <w:bCs/>
          <w:sz w:val="28"/>
          <w:szCs w:val="28"/>
        </w:rPr>
        <w:t>万套，环比上涨</w:t>
      </w:r>
      <w:r>
        <w:rPr>
          <w:rFonts w:ascii="Arial" w:eastAsia="仿宋_GB2312" w:hAnsi="Arial" w:hint="eastAsia"/>
          <w:bCs/>
          <w:sz w:val="28"/>
          <w:szCs w:val="28"/>
        </w:rPr>
        <w:t>52%</w:t>
      </w:r>
      <w:r>
        <w:rPr>
          <w:rFonts w:ascii="Arial" w:eastAsia="仿宋_GB2312" w:hAnsi="Arial" w:hint="eastAsia"/>
          <w:bCs/>
          <w:sz w:val="28"/>
          <w:szCs w:val="28"/>
        </w:rPr>
        <w:t>，同比上涨</w:t>
      </w:r>
      <w:r>
        <w:rPr>
          <w:rFonts w:ascii="Arial" w:eastAsia="仿宋_GB2312" w:hAnsi="Arial" w:hint="eastAsia"/>
          <w:bCs/>
          <w:sz w:val="28"/>
          <w:szCs w:val="28"/>
        </w:rPr>
        <w:t>28%</w:t>
      </w:r>
      <w:r>
        <w:rPr>
          <w:rFonts w:ascii="Arial" w:eastAsia="仿宋_GB2312" w:hAnsi="Arial" w:hint="eastAsia"/>
          <w:bCs/>
          <w:sz w:val="28"/>
          <w:szCs w:val="28"/>
        </w:rPr>
        <w:t>。从月度趋势来看，</w:t>
      </w:r>
      <w:r>
        <w:rPr>
          <w:rFonts w:ascii="Arial" w:eastAsia="仿宋_GB2312" w:hAnsi="Arial" w:hint="eastAsia"/>
          <w:bCs/>
          <w:sz w:val="28"/>
          <w:szCs w:val="28"/>
        </w:rPr>
        <w:t>1</w:t>
      </w:r>
      <w:r>
        <w:rPr>
          <w:rFonts w:ascii="Arial" w:eastAsia="仿宋_GB2312" w:hAnsi="Arial" w:hint="eastAsia"/>
          <w:bCs/>
          <w:sz w:val="28"/>
          <w:szCs w:val="28"/>
        </w:rPr>
        <w:t>月市场整体仍处于调整期叠加春节假期的影响，成交量处于低位；</w:t>
      </w:r>
      <w:r>
        <w:rPr>
          <w:rFonts w:ascii="Arial" w:eastAsia="仿宋_GB2312" w:hAnsi="Arial" w:hint="eastAsia"/>
          <w:bCs/>
          <w:sz w:val="28"/>
          <w:szCs w:val="28"/>
        </w:rPr>
        <w:t>2</w:t>
      </w:r>
      <w:r>
        <w:rPr>
          <w:rFonts w:ascii="Arial" w:eastAsia="仿宋_GB2312" w:hAnsi="Arial" w:hint="eastAsia"/>
          <w:bCs/>
          <w:sz w:val="28"/>
          <w:szCs w:val="28"/>
        </w:rPr>
        <w:t>月，整体市场逐步回温，存量房住宅挂牌量增加，带动成交规模大幅回升；</w:t>
      </w:r>
      <w:r>
        <w:rPr>
          <w:rFonts w:ascii="Arial" w:eastAsia="仿宋_GB2312" w:hAnsi="Arial" w:hint="eastAsia"/>
          <w:bCs/>
          <w:sz w:val="28"/>
          <w:szCs w:val="28"/>
        </w:rPr>
        <w:t>3</w:t>
      </w:r>
      <w:r>
        <w:rPr>
          <w:rFonts w:ascii="Arial" w:eastAsia="仿宋_GB2312" w:hAnsi="Arial" w:hint="eastAsia"/>
          <w:bCs/>
          <w:sz w:val="28"/>
          <w:szCs w:val="28"/>
        </w:rPr>
        <w:t>月受前期积压需求及子女入学购房需求集中释放影响，北京存量房住宅成交量继续增长，成交</w:t>
      </w:r>
      <w:proofErr w:type="gramStart"/>
      <w:r>
        <w:rPr>
          <w:rFonts w:ascii="Arial" w:eastAsia="仿宋_GB2312" w:hAnsi="Arial" w:hint="eastAsia"/>
          <w:bCs/>
          <w:sz w:val="28"/>
          <w:szCs w:val="28"/>
        </w:rPr>
        <w:t>套数超</w:t>
      </w:r>
      <w:proofErr w:type="gramEnd"/>
      <w:r>
        <w:rPr>
          <w:rFonts w:ascii="Arial" w:eastAsia="仿宋_GB2312" w:hAnsi="Arial" w:hint="eastAsia"/>
          <w:bCs/>
          <w:sz w:val="28"/>
          <w:szCs w:val="28"/>
        </w:rPr>
        <w:t>2.2</w:t>
      </w:r>
      <w:r>
        <w:rPr>
          <w:rFonts w:ascii="Arial" w:eastAsia="仿宋_GB2312" w:hAnsi="Arial" w:hint="eastAsia"/>
          <w:bCs/>
          <w:sz w:val="28"/>
          <w:szCs w:val="28"/>
        </w:rPr>
        <w:t>万套，同比增幅近三成，环比</w:t>
      </w:r>
      <w:proofErr w:type="gramStart"/>
      <w:r>
        <w:rPr>
          <w:rFonts w:ascii="Arial" w:eastAsia="仿宋_GB2312" w:hAnsi="Arial" w:hint="eastAsia"/>
          <w:bCs/>
          <w:sz w:val="28"/>
          <w:szCs w:val="28"/>
        </w:rPr>
        <w:t>增幅超</w:t>
      </w:r>
      <w:proofErr w:type="gramEnd"/>
      <w:r>
        <w:rPr>
          <w:rFonts w:ascii="Arial" w:eastAsia="仿宋_GB2312" w:hAnsi="Arial" w:hint="eastAsia"/>
          <w:bCs/>
          <w:sz w:val="28"/>
          <w:szCs w:val="28"/>
        </w:rPr>
        <w:t>四成。进入</w:t>
      </w:r>
      <w:r>
        <w:rPr>
          <w:rFonts w:ascii="Arial" w:eastAsia="仿宋_GB2312" w:hAnsi="Arial" w:hint="eastAsia"/>
          <w:bCs/>
          <w:sz w:val="28"/>
          <w:szCs w:val="28"/>
        </w:rPr>
        <w:t>4</w:t>
      </w:r>
      <w:r>
        <w:rPr>
          <w:rFonts w:ascii="Arial" w:eastAsia="仿宋_GB2312" w:hAnsi="Arial" w:hint="eastAsia"/>
          <w:bCs/>
          <w:sz w:val="28"/>
          <w:szCs w:val="28"/>
        </w:rPr>
        <w:t>月，北京存量房住宅成交量环比有所下滑，在积压需求逐渐释放后，预计未来市场活跃度或将有所回落。</w:t>
      </w:r>
    </w:p>
    <w:p w14:paraId="6EDC39B6" w14:textId="77777777" w:rsidR="0062768B" w:rsidRDefault="00136729">
      <w:pPr>
        <w:tabs>
          <w:tab w:val="left" w:pos="426"/>
        </w:tabs>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年一季度北京存量房住宅价格</w:t>
      </w:r>
      <w:proofErr w:type="gramStart"/>
      <w:r>
        <w:rPr>
          <w:rFonts w:ascii="Arial" w:eastAsia="仿宋_GB2312" w:hAnsi="Arial" w:hint="eastAsia"/>
          <w:bCs/>
          <w:sz w:val="28"/>
          <w:szCs w:val="28"/>
        </w:rPr>
        <w:t>环比微涨</w:t>
      </w:r>
      <w:proofErr w:type="gramEnd"/>
      <w:r>
        <w:rPr>
          <w:rFonts w:ascii="Arial" w:eastAsia="仿宋_GB2312" w:hAnsi="Arial" w:hint="eastAsia"/>
          <w:bCs/>
          <w:sz w:val="28"/>
          <w:szCs w:val="28"/>
        </w:rPr>
        <w:t>，同比微跌。一季度北京存量房住宅成交均价约为</w:t>
      </w:r>
      <w:r>
        <w:rPr>
          <w:rFonts w:ascii="Arial" w:eastAsia="仿宋_GB2312" w:hAnsi="Arial" w:hint="eastAsia"/>
          <w:bCs/>
          <w:sz w:val="28"/>
          <w:szCs w:val="28"/>
        </w:rPr>
        <w:t>61177</w:t>
      </w:r>
      <w:r>
        <w:rPr>
          <w:rFonts w:ascii="Arial" w:eastAsia="仿宋_GB2312" w:hAnsi="Arial" w:hint="eastAsia"/>
          <w:bCs/>
          <w:sz w:val="28"/>
          <w:szCs w:val="28"/>
        </w:rPr>
        <w:t>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，同比下跌</w:t>
      </w:r>
      <w:r>
        <w:rPr>
          <w:rFonts w:ascii="Arial" w:eastAsia="仿宋_GB2312" w:hAnsi="Arial" w:hint="eastAsia"/>
          <w:bCs/>
          <w:sz w:val="28"/>
          <w:szCs w:val="28"/>
        </w:rPr>
        <w:t>1%</w:t>
      </w:r>
      <w:r>
        <w:rPr>
          <w:rFonts w:ascii="Arial" w:eastAsia="仿宋_GB2312" w:hAnsi="Arial" w:hint="eastAsia"/>
          <w:bCs/>
          <w:sz w:val="28"/>
          <w:szCs w:val="28"/>
        </w:rPr>
        <w:t>，</w:t>
      </w:r>
      <w:proofErr w:type="gramStart"/>
      <w:r>
        <w:rPr>
          <w:rFonts w:ascii="Arial" w:eastAsia="仿宋_GB2312" w:hAnsi="Arial" w:hint="eastAsia"/>
          <w:bCs/>
          <w:sz w:val="28"/>
          <w:szCs w:val="28"/>
        </w:rPr>
        <w:t>环比涨</w:t>
      </w:r>
      <w:proofErr w:type="gramEnd"/>
      <w:r>
        <w:rPr>
          <w:rFonts w:ascii="Arial" w:eastAsia="仿宋_GB2312" w:hAnsi="Arial" w:hint="eastAsia"/>
          <w:bCs/>
          <w:sz w:val="28"/>
          <w:szCs w:val="28"/>
        </w:rPr>
        <w:t>0.5%</w:t>
      </w:r>
      <w:r>
        <w:rPr>
          <w:rFonts w:ascii="Arial" w:eastAsia="仿宋_GB2312" w:hAnsi="Arial" w:hint="eastAsia"/>
          <w:bCs/>
          <w:sz w:val="28"/>
          <w:szCs w:val="28"/>
        </w:rPr>
        <w:t>。从月度趋势来看，在北京存量房住宅市场整体复苏的背景下，业主对后市预期提升，整体房价相对坚挺，月度呈现小幅波动态势。</w:t>
      </w:r>
    </w:p>
    <w:p w14:paraId="119EF601" w14:textId="77777777" w:rsidR="0062768B" w:rsidRDefault="00136729">
      <w:pPr>
        <w:tabs>
          <w:tab w:val="left" w:pos="426"/>
        </w:tabs>
        <w:overflowPunct w:val="0"/>
        <w:spacing w:line="360" w:lineRule="auto"/>
        <w:jc w:val="both"/>
        <w:textAlignment w:val="auto"/>
        <w:rPr>
          <w:rFonts w:ascii="Arial" w:eastAsia="仿宋_GB2312" w:hAnsi="Arial"/>
          <w:bCs/>
          <w:sz w:val="28"/>
          <w:szCs w:val="28"/>
        </w:rPr>
      </w:pPr>
      <w:r>
        <w:rPr>
          <w:noProof/>
        </w:rPr>
        <w:lastRenderedPageBreak/>
        <w:drawing>
          <wp:inline distT="0" distB="0" distL="0" distR="0" wp14:anchorId="750966B1" wp14:editId="04B598EE">
            <wp:extent cx="5911850" cy="1605280"/>
            <wp:effectExtent l="0" t="0" r="635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911850" cy="1605280"/>
                    </a:xfrm>
                    <a:prstGeom prst="rect">
                      <a:avLst/>
                    </a:prstGeom>
                    <a:noFill/>
                    <a:ln>
                      <a:noFill/>
                    </a:ln>
                  </pic:spPr>
                </pic:pic>
              </a:graphicData>
            </a:graphic>
          </wp:inline>
        </w:drawing>
      </w:r>
    </w:p>
    <w:p w14:paraId="1A5033A5"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w:t>
      </w:r>
      <w:r>
        <w:rPr>
          <w:rFonts w:ascii="Arial" w:eastAsia="仿宋_GB2312" w:hAnsi="Arial" w:hint="eastAsia"/>
          <w:bCs/>
          <w:sz w:val="28"/>
          <w:szCs w:val="28"/>
        </w:rPr>
        <w:t>）各区县统计</w:t>
      </w:r>
    </w:p>
    <w:p w14:paraId="11DA0C06" w14:textId="77777777" w:rsidR="0062768B" w:rsidRDefault="00136729">
      <w:pPr>
        <w:tabs>
          <w:tab w:val="left" w:pos="426"/>
        </w:tabs>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分区域来看，一季度朝阳存量房住宅成交规模较大，达</w:t>
      </w:r>
      <w:r>
        <w:rPr>
          <w:rFonts w:ascii="Arial" w:eastAsia="仿宋_GB2312" w:hAnsi="Arial" w:hint="eastAsia"/>
          <w:bCs/>
          <w:sz w:val="28"/>
          <w:szCs w:val="28"/>
        </w:rPr>
        <w:t>99.95</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，居各区第一位；海淀、大兴、丰台、昌平成交面积均超过</w:t>
      </w:r>
      <w:r>
        <w:rPr>
          <w:rFonts w:ascii="Arial" w:eastAsia="仿宋_GB2312" w:hAnsi="Arial" w:hint="eastAsia"/>
          <w:bCs/>
          <w:sz w:val="28"/>
          <w:szCs w:val="28"/>
        </w:rPr>
        <w:t>30</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，居第二梯队；另外，远郊的密云、平谷、怀柔、延庆以及</w:t>
      </w:r>
      <w:r>
        <w:rPr>
          <w:rFonts w:ascii="Arial" w:eastAsia="仿宋_GB2312" w:hAnsi="Arial" w:hint="eastAsia"/>
          <w:bCs/>
          <w:sz w:val="28"/>
          <w:szCs w:val="28"/>
        </w:rPr>
        <w:t>近郊的门头沟活跃度相对较低，成交规模均</w:t>
      </w:r>
      <w:proofErr w:type="gramStart"/>
      <w:r>
        <w:rPr>
          <w:rFonts w:ascii="Arial" w:eastAsia="仿宋_GB2312" w:hAnsi="Arial" w:hint="eastAsia"/>
          <w:bCs/>
          <w:sz w:val="28"/>
          <w:szCs w:val="28"/>
        </w:rPr>
        <w:t>不足</w:t>
      </w:r>
      <w:r>
        <w:rPr>
          <w:rFonts w:ascii="Arial" w:eastAsia="仿宋_GB2312" w:hAnsi="Arial" w:hint="eastAsia"/>
          <w:bCs/>
          <w:sz w:val="28"/>
          <w:szCs w:val="28"/>
        </w:rPr>
        <w:t>10</w:t>
      </w:r>
      <w:r>
        <w:rPr>
          <w:rFonts w:ascii="Arial" w:eastAsia="仿宋_GB2312" w:hAnsi="Arial" w:hint="eastAsia"/>
          <w:bCs/>
          <w:sz w:val="28"/>
          <w:szCs w:val="28"/>
        </w:rPr>
        <w:t>万</w:t>
      </w:r>
      <w:proofErr w:type="gramEnd"/>
      <w:r>
        <w:rPr>
          <w:rFonts w:ascii="Batang" w:eastAsia="Batang" w:hAnsi="Batang" w:cs="Batang" w:hint="eastAsia"/>
          <w:bCs/>
          <w:sz w:val="28"/>
          <w:szCs w:val="28"/>
        </w:rPr>
        <w:t>㎡</w:t>
      </w:r>
      <w:r>
        <w:rPr>
          <w:rFonts w:ascii="仿宋_GB2312" w:eastAsia="仿宋_GB2312" w:hAnsi="仿宋_GB2312" w:cs="仿宋_GB2312" w:hint="eastAsia"/>
          <w:bCs/>
          <w:sz w:val="28"/>
          <w:szCs w:val="28"/>
        </w:rPr>
        <w:t>。从同比变化来看，一季度北京各区</w:t>
      </w:r>
      <w:r>
        <w:rPr>
          <w:rFonts w:ascii="Arial" w:eastAsia="仿宋_GB2312" w:hAnsi="Arial" w:hint="eastAsia"/>
          <w:bCs/>
          <w:sz w:val="28"/>
          <w:szCs w:val="28"/>
        </w:rPr>
        <w:t>存量房住宅成交规模同比均有增加，其中，顺义、通州、平谷、怀柔同比领涨，涨幅均超</w:t>
      </w:r>
      <w:r>
        <w:rPr>
          <w:rFonts w:ascii="Arial" w:eastAsia="仿宋_GB2312" w:hAnsi="Arial" w:hint="eastAsia"/>
          <w:bCs/>
          <w:sz w:val="28"/>
          <w:szCs w:val="28"/>
        </w:rPr>
        <w:t>35%</w:t>
      </w:r>
      <w:r>
        <w:rPr>
          <w:rFonts w:ascii="Arial" w:eastAsia="仿宋_GB2312" w:hAnsi="Arial" w:hint="eastAsia"/>
          <w:bCs/>
          <w:sz w:val="28"/>
          <w:szCs w:val="28"/>
        </w:rPr>
        <w:t>；成交价格方面，一季度西城区成交价格最高，达</w:t>
      </w:r>
      <w:r>
        <w:rPr>
          <w:rFonts w:ascii="Arial" w:eastAsia="仿宋_GB2312" w:hAnsi="Arial" w:hint="eastAsia"/>
          <w:bCs/>
          <w:sz w:val="28"/>
          <w:szCs w:val="28"/>
        </w:rPr>
        <w:t>125418</w:t>
      </w:r>
      <w:r>
        <w:rPr>
          <w:rFonts w:ascii="Arial" w:eastAsia="仿宋_GB2312" w:hAnsi="Arial" w:hint="eastAsia"/>
          <w:bCs/>
          <w:sz w:val="28"/>
          <w:szCs w:val="28"/>
        </w:rPr>
        <w:t>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；其次为东城区，为</w:t>
      </w:r>
      <w:r>
        <w:rPr>
          <w:rFonts w:ascii="Arial" w:eastAsia="仿宋_GB2312" w:hAnsi="Arial" w:hint="eastAsia"/>
          <w:bCs/>
          <w:sz w:val="28"/>
          <w:szCs w:val="28"/>
        </w:rPr>
        <w:t>108264</w:t>
      </w:r>
      <w:r>
        <w:rPr>
          <w:rFonts w:ascii="Arial" w:eastAsia="仿宋_GB2312" w:hAnsi="Arial" w:hint="eastAsia"/>
          <w:bCs/>
          <w:sz w:val="28"/>
          <w:szCs w:val="28"/>
        </w:rPr>
        <w:t>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w:t>
      </w:r>
    </w:p>
    <w:p w14:paraId="750BF5CD" w14:textId="77777777" w:rsidR="0062768B" w:rsidRDefault="00136729">
      <w:pPr>
        <w:spacing w:line="300" w:lineRule="auto"/>
        <w:ind w:right="205" w:firstLineChars="200" w:firstLine="480"/>
        <w:jc w:val="both"/>
      </w:pPr>
      <w:r>
        <w:rPr>
          <w:noProof/>
        </w:rPr>
        <w:drawing>
          <wp:inline distT="0" distB="0" distL="0" distR="0" wp14:anchorId="45B8830E" wp14:editId="52888A73">
            <wp:extent cx="5901055" cy="3328035"/>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901055" cy="3328035"/>
                    </a:xfrm>
                    <a:prstGeom prst="rect">
                      <a:avLst/>
                    </a:prstGeom>
                    <a:noFill/>
                    <a:ln>
                      <a:noFill/>
                    </a:ln>
                  </pic:spPr>
                </pic:pic>
              </a:graphicData>
            </a:graphic>
          </wp:inline>
        </w:drawing>
      </w:r>
    </w:p>
    <w:p w14:paraId="66E1BF71"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bCs/>
          <w:sz w:val="28"/>
          <w:szCs w:val="28"/>
        </w:rPr>
        <w:t>4</w:t>
      </w:r>
      <w:r>
        <w:rPr>
          <w:rFonts w:ascii="Arial" w:eastAsia="仿宋_GB2312" w:hAnsi="Arial" w:cs="Arial" w:hint="eastAsia"/>
          <w:bCs/>
          <w:sz w:val="28"/>
          <w:szCs w:val="28"/>
        </w:rPr>
        <w:t>）未来市场预期</w:t>
      </w:r>
    </w:p>
    <w:p w14:paraId="7D7A498F" w14:textId="77777777" w:rsidR="0062768B" w:rsidRDefault="00136729">
      <w:pPr>
        <w:adjustRightInd/>
        <w:spacing w:line="300" w:lineRule="auto"/>
        <w:ind w:right="205" w:firstLineChars="200" w:firstLine="560"/>
        <w:jc w:val="both"/>
        <w:rPr>
          <w:rFonts w:ascii="仿宋_GB2312" w:eastAsia="仿宋_GB2312"/>
          <w:bCs/>
          <w:sz w:val="28"/>
          <w:szCs w:val="28"/>
        </w:rPr>
      </w:pPr>
      <w:r>
        <w:rPr>
          <w:rFonts w:ascii="Arial" w:eastAsia="仿宋_GB2312" w:hAnsi="Arial" w:hint="eastAsia"/>
          <w:bCs/>
          <w:sz w:val="28"/>
          <w:szCs w:val="28"/>
        </w:rPr>
        <w:t>一季度两会定调“稳中求进”，</w:t>
      </w:r>
      <w:proofErr w:type="gramStart"/>
      <w:r>
        <w:rPr>
          <w:rFonts w:ascii="Arial" w:eastAsia="仿宋_GB2312" w:hAnsi="Arial" w:hint="eastAsia"/>
          <w:bCs/>
          <w:sz w:val="28"/>
          <w:szCs w:val="28"/>
        </w:rPr>
        <w:t>既强调房</w:t>
      </w:r>
      <w:proofErr w:type="gramEnd"/>
      <w:r>
        <w:rPr>
          <w:rFonts w:ascii="Arial" w:eastAsia="仿宋_GB2312" w:hAnsi="Arial" w:hint="eastAsia"/>
          <w:bCs/>
          <w:sz w:val="28"/>
          <w:szCs w:val="28"/>
        </w:rPr>
        <w:t>地产的支柱产业地位，又强调了复杂多变的外部环境下，房地产市场的稳定性。一季度末北京开启存量房“带押过户”政策，将进一步刺激置换需求的释放；而“一区</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策”已为北京楼市政策放松打开想象空间，政策落得或将为高能级城</w:t>
      </w:r>
      <w:r>
        <w:rPr>
          <w:rFonts w:ascii="Arial" w:eastAsia="仿宋_GB2312" w:hAnsi="Arial" w:hint="eastAsia"/>
          <w:bCs/>
          <w:sz w:val="28"/>
          <w:szCs w:val="28"/>
        </w:rPr>
        <w:lastRenderedPageBreak/>
        <w:t>市政策出台树立标杆和模板。同时，结合“稳”字当头的调控基调，“一区</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策”或将继续围绕支持刚性和改善型住房，激发楼市合理需求。经过短暂的市场调整，中长期来看，北京房地产市场或将进一步复苏。</w:t>
      </w:r>
    </w:p>
    <w:p w14:paraId="5764E849" w14:textId="77777777" w:rsidR="0062768B" w:rsidRDefault="00136729">
      <w:pPr>
        <w:adjustRightInd/>
        <w:spacing w:line="300" w:lineRule="auto"/>
        <w:ind w:firstLineChars="200" w:firstLine="560"/>
        <w:jc w:val="both"/>
        <w:rPr>
          <w:rFonts w:ascii="仿宋_GB2312" w:eastAsia="仿宋_GB2312"/>
          <w:bCs/>
          <w:sz w:val="28"/>
          <w:szCs w:val="28"/>
        </w:rPr>
      </w:pPr>
      <w:r>
        <w:rPr>
          <w:rFonts w:ascii="Arial" w:eastAsia="仿宋_GB2312" w:hAnsi="Arial" w:hint="eastAsia"/>
          <w:bCs/>
          <w:sz w:val="28"/>
          <w:szCs w:val="28"/>
        </w:rPr>
        <w:t>3</w:t>
      </w:r>
      <w:r>
        <w:rPr>
          <w:rFonts w:ascii="仿宋_GB2312" w:eastAsia="仿宋_GB2312" w:hint="eastAsia"/>
          <w:bCs/>
          <w:sz w:val="28"/>
          <w:szCs w:val="28"/>
        </w:rPr>
        <w:t>.产业政策</w:t>
      </w:r>
    </w:p>
    <w:p w14:paraId="553023BE" w14:textId="77777777" w:rsidR="0062768B" w:rsidRDefault="00136729">
      <w:pPr>
        <w:overflowPunct w:val="0"/>
        <w:adjustRightInd/>
        <w:spacing w:line="300" w:lineRule="auto"/>
        <w:ind w:firstLineChars="200" w:firstLine="562"/>
        <w:jc w:val="both"/>
        <w:textAlignment w:val="auto"/>
        <w:rPr>
          <w:rFonts w:ascii="Arial" w:eastAsia="仿宋_GB2312" w:hAnsi="Arial"/>
          <w:b/>
          <w:bCs/>
          <w:sz w:val="28"/>
          <w:szCs w:val="28"/>
        </w:rPr>
      </w:pPr>
      <w:bookmarkStart w:id="146" w:name="OLE_LINK6"/>
      <w:bookmarkStart w:id="147" w:name="OLE_LINK7"/>
      <w:r>
        <w:rPr>
          <w:rFonts w:ascii="Arial" w:eastAsia="仿宋_GB2312" w:hAnsi="Arial" w:hint="eastAsia"/>
          <w:b/>
          <w:bCs/>
          <w:sz w:val="28"/>
          <w:szCs w:val="28"/>
        </w:rPr>
        <w:t>全国政策：</w:t>
      </w:r>
    </w:p>
    <w:p w14:paraId="32D80717"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年，受内外多因素影响，房地产市场进入深度调整阶段。中央年内多次释放积极信号，优化调控政策。</w:t>
      </w:r>
      <w:r>
        <w:rPr>
          <w:rFonts w:ascii="Arial" w:eastAsia="仿宋_GB2312" w:hAnsi="Arial" w:hint="eastAsia"/>
          <w:bCs/>
          <w:sz w:val="28"/>
          <w:szCs w:val="28"/>
        </w:rPr>
        <w:t>2022</w:t>
      </w:r>
      <w:r>
        <w:rPr>
          <w:rFonts w:ascii="Arial" w:eastAsia="仿宋_GB2312" w:hAnsi="Arial" w:hint="eastAsia"/>
          <w:bCs/>
          <w:sz w:val="28"/>
          <w:szCs w:val="28"/>
        </w:rPr>
        <w:t>年底中央领导强调“房地产是国民经济的支柱产业”，在当时的市场环境下，肯定房地产的重要性更具积极意义，有助于房地产市场信心的修复。</w:t>
      </w:r>
    </w:p>
    <w:p w14:paraId="2494D9BE" w14:textId="77777777" w:rsidR="0062768B" w:rsidRDefault="00136729">
      <w:pPr>
        <w:widowControl/>
        <w:adjustRightInd/>
        <w:spacing w:line="300" w:lineRule="auto"/>
        <w:ind w:firstLineChars="200" w:firstLine="560"/>
        <w:jc w:val="both"/>
        <w:textAlignment w:val="auto"/>
        <w:rPr>
          <w:rFonts w:ascii="Arial" w:eastAsia="仿宋_GB2312" w:hAnsi="Arial"/>
          <w:bCs/>
          <w:sz w:val="28"/>
          <w:szCs w:val="28"/>
        </w:rPr>
      </w:pPr>
      <w:bookmarkStart w:id="148" w:name="OLE_LINK53"/>
      <w:bookmarkStart w:id="149" w:name="OLE_LINK54"/>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28</w:t>
      </w:r>
      <w:r>
        <w:rPr>
          <w:rFonts w:ascii="Arial" w:eastAsia="仿宋_GB2312" w:hAnsi="Arial" w:hint="eastAsia"/>
          <w:bCs/>
          <w:sz w:val="28"/>
          <w:szCs w:val="28"/>
        </w:rPr>
        <w:t>日，国务院召开</w:t>
      </w:r>
      <w:proofErr w:type="gramStart"/>
      <w:r>
        <w:rPr>
          <w:rFonts w:ascii="Arial" w:eastAsia="仿宋_GB2312" w:hAnsi="Arial" w:hint="eastAsia"/>
          <w:bCs/>
          <w:sz w:val="28"/>
          <w:szCs w:val="28"/>
        </w:rPr>
        <w:t>稳经济</w:t>
      </w:r>
      <w:proofErr w:type="gramEnd"/>
      <w:r>
        <w:rPr>
          <w:rFonts w:ascii="Arial" w:eastAsia="仿宋_GB2312" w:hAnsi="Arial" w:hint="eastAsia"/>
          <w:bCs/>
          <w:sz w:val="28"/>
          <w:szCs w:val="28"/>
        </w:rPr>
        <w:t>大盘四季度工作推进会议，会议提出因城施策运用政策工具箱中的工具，支持刚性和改善型住房需求，实施好保交楼政策。</w:t>
      </w:r>
      <w:bookmarkEnd w:id="148"/>
      <w:bookmarkEnd w:id="149"/>
    </w:p>
    <w:p w14:paraId="7D72266F" w14:textId="77777777" w:rsidR="0062768B" w:rsidRDefault="00136729">
      <w:pPr>
        <w:widowControl/>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12</w:t>
      </w:r>
      <w:r>
        <w:rPr>
          <w:rFonts w:ascii="Arial" w:eastAsia="仿宋_GB2312" w:hAnsi="Arial" w:hint="eastAsia"/>
          <w:bCs/>
          <w:sz w:val="28"/>
          <w:szCs w:val="28"/>
        </w:rPr>
        <w:t>月</w:t>
      </w:r>
      <w:r>
        <w:rPr>
          <w:rFonts w:ascii="Arial" w:eastAsia="仿宋_GB2312" w:hAnsi="Arial" w:hint="eastAsia"/>
          <w:bCs/>
          <w:sz w:val="28"/>
          <w:szCs w:val="28"/>
        </w:rPr>
        <w:t>15</w:t>
      </w:r>
      <w:r>
        <w:rPr>
          <w:rFonts w:ascii="Arial" w:eastAsia="仿宋_GB2312" w:hAnsi="Arial" w:hint="eastAsia"/>
          <w:bCs/>
          <w:sz w:val="28"/>
          <w:szCs w:val="28"/>
        </w:rPr>
        <w:t>日，中央经济工作会议强调，“要因城施策，支持刚性和改善性住房需求，解决好新市民、青年人等住房问题，探索长租房市场建设”。</w:t>
      </w:r>
    </w:p>
    <w:p w14:paraId="1F397D6B"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12</w:t>
      </w:r>
      <w:r>
        <w:rPr>
          <w:rFonts w:ascii="Arial" w:eastAsia="仿宋_GB2312" w:hAnsi="Arial" w:hint="eastAsia"/>
          <w:bCs/>
          <w:sz w:val="28"/>
          <w:szCs w:val="28"/>
        </w:rPr>
        <w:t>月</w:t>
      </w:r>
      <w:r>
        <w:rPr>
          <w:rFonts w:ascii="Arial" w:eastAsia="仿宋_GB2312" w:hAnsi="Arial" w:hint="eastAsia"/>
          <w:bCs/>
          <w:sz w:val="28"/>
          <w:szCs w:val="28"/>
        </w:rPr>
        <w:t>20</w:t>
      </w:r>
      <w:r>
        <w:rPr>
          <w:rFonts w:ascii="Arial" w:eastAsia="仿宋_GB2312" w:hAnsi="Arial" w:hint="eastAsia"/>
          <w:bCs/>
          <w:sz w:val="28"/>
          <w:szCs w:val="28"/>
        </w:rPr>
        <w:t>日，国务院常务会议召开，会议指出“落实稳经济一揽子政策措施，抓好填平补齐，确保全面落地。落实支持刚性和改善型住房需求，保交楼和房企融资等</w:t>
      </w:r>
      <w:r>
        <w:rPr>
          <w:rFonts w:ascii="Arial" w:eastAsia="仿宋_GB2312" w:hAnsi="Arial" w:hint="eastAsia"/>
          <w:bCs/>
          <w:sz w:val="28"/>
          <w:szCs w:val="28"/>
        </w:rPr>
        <w:t>16</w:t>
      </w:r>
      <w:r>
        <w:rPr>
          <w:rFonts w:ascii="Arial" w:eastAsia="仿宋_GB2312" w:hAnsi="Arial" w:hint="eastAsia"/>
          <w:bCs/>
          <w:sz w:val="28"/>
          <w:szCs w:val="28"/>
        </w:rPr>
        <w:t>条金融政策”。</w:t>
      </w:r>
    </w:p>
    <w:p w14:paraId="7B8D268B"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进入</w:t>
      </w:r>
      <w:r>
        <w:rPr>
          <w:rFonts w:ascii="Arial" w:eastAsia="仿宋_GB2312" w:hAnsi="Arial" w:hint="eastAsia"/>
          <w:bCs/>
          <w:sz w:val="28"/>
          <w:szCs w:val="28"/>
        </w:rPr>
        <w:t>2023</w:t>
      </w:r>
      <w:r>
        <w:rPr>
          <w:rFonts w:ascii="Arial" w:eastAsia="仿宋_GB2312" w:hAnsi="Arial" w:hint="eastAsia"/>
          <w:bCs/>
          <w:sz w:val="28"/>
          <w:szCs w:val="28"/>
        </w:rPr>
        <w:t>年，国家对于房地产业的调控重点是防风险、</w:t>
      </w:r>
      <w:proofErr w:type="gramStart"/>
      <w:r>
        <w:rPr>
          <w:rFonts w:ascii="Arial" w:eastAsia="仿宋_GB2312" w:hAnsi="Arial" w:hint="eastAsia"/>
          <w:bCs/>
          <w:sz w:val="28"/>
          <w:szCs w:val="28"/>
        </w:rPr>
        <w:t>促需求</w:t>
      </w:r>
      <w:proofErr w:type="gramEnd"/>
      <w:r>
        <w:rPr>
          <w:rFonts w:ascii="Arial" w:eastAsia="仿宋_GB2312" w:hAnsi="Arial" w:hint="eastAsia"/>
          <w:bCs/>
          <w:sz w:val="28"/>
          <w:szCs w:val="28"/>
        </w:rPr>
        <w:t>释放，定调偏利多，支持企业融资、改善交付风险，刚需、改善支持政策仍会出台，优化房地产“三高”模式，同时强化租赁市场快速发展，加快推进新模式探索发展。</w:t>
      </w:r>
    </w:p>
    <w:p w14:paraId="710C96EF" w14:textId="77777777" w:rsidR="0062768B" w:rsidRDefault="00136729">
      <w:pPr>
        <w:overflowPunct w:val="0"/>
        <w:spacing w:line="360" w:lineRule="auto"/>
        <w:jc w:val="center"/>
        <w:textAlignment w:val="auto"/>
      </w:pPr>
      <w:r>
        <w:rPr>
          <w:noProof/>
        </w:rPr>
        <w:lastRenderedPageBreak/>
        <w:drawing>
          <wp:inline distT="0" distB="0" distL="0" distR="0" wp14:anchorId="5B3439DD" wp14:editId="7D9CB630">
            <wp:extent cx="4433570" cy="4614545"/>
            <wp:effectExtent l="0" t="0" r="11430"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433570" cy="4614545"/>
                    </a:xfrm>
                    <a:prstGeom prst="rect">
                      <a:avLst/>
                    </a:prstGeom>
                    <a:noFill/>
                    <a:ln>
                      <a:noFill/>
                    </a:ln>
                  </pic:spPr>
                </pic:pic>
              </a:graphicData>
            </a:graphic>
          </wp:inline>
        </w:drawing>
      </w:r>
    </w:p>
    <w:p w14:paraId="0B073328"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随着</w:t>
      </w:r>
      <w:proofErr w:type="gramStart"/>
      <w:r>
        <w:rPr>
          <w:rFonts w:ascii="Arial" w:eastAsia="仿宋_GB2312" w:hAnsi="Arial" w:hint="eastAsia"/>
          <w:bCs/>
          <w:sz w:val="28"/>
          <w:szCs w:val="28"/>
        </w:rPr>
        <w:t>国家住建工</w:t>
      </w:r>
      <w:proofErr w:type="gramEnd"/>
      <w:r>
        <w:rPr>
          <w:rFonts w:ascii="Arial" w:eastAsia="仿宋_GB2312" w:hAnsi="Arial" w:hint="eastAsia"/>
          <w:bCs/>
          <w:sz w:val="28"/>
          <w:szCs w:val="28"/>
        </w:rPr>
        <w:t>作的稳步推进，供求关系逐步改善，防控政策优化对市场供需两端均产生积极影响，供给</w:t>
      </w:r>
      <w:proofErr w:type="gramStart"/>
      <w:r>
        <w:rPr>
          <w:rFonts w:ascii="Arial" w:eastAsia="仿宋_GB2312" w:hAnsi="Arial" w:hint="eastAsia"/>
          <w:bCs/>
          <w:sz w:val="28"/>
          <w:szCs w:val="28"/>
        </w:rPr>
        <w:t>端住房</w:t>
      </w:r>
      <w:proofErr w:type="gramEnd"/>
      <w:r>
        <w:rPr>
          <w:rFonts w:ascii="Arial" w:eastAsia="仿宋_GB2312" w:hAnsi="Arial" w:hint="eastAsia"/>
          <w:bCs/>
          <w:sz w:val="28"/>
          <w:szCs w:val="28"/>
        </w:rPr>
        <w:t>项目复工率大大提高，需求端成交量也有明显改善。房价平稳、保交楼、房企合理性融资的改善正在带动市场预期回升。可见前期已出台的政策正在落实见效。但是整个房地产要有前提的企稳回升，这个前提是牢牢坚持“房子是用来住的、不是用来炒的”定位的，是大力支持刚性和改善型住房需求，是防止市场大起大落，是促进行业高质量发展。</w:t>
      </w:r>
    </w:p>
    <w:p w14:paraId="2E424166" w14:textId="77777777" w:rsidR="0062768B" w:rsidRDefault="00136729">
      <w:pPr>
        <w:overflowPunct w:val="0"/>
        <w:adjustRightInd/>
        <w:spacing w:line="300" w:lineRule="auto"/>
        <w:ind w:firstLineChars="200" w:firstLine="562"/>
        <w:jc w:val="both"/>
        <w:textAlignment w:val="auto"/>
        <w:rPr>
          <w:rFonts w:ascii="Arial" w:eastAsia="仿宋_GB2312" w:hAnsi="Arial"/>
          <w:b/>
          <w:bCs/>
          <w:sz w:val="28"/>
          <w:szCs w:val="28"/>
        </w:rPr>
      </w:pPr>
      <w:r>
        <w:rPr>
          <w:rFonts w:ascii="Arial" w:eastAsia="仿宋_GB2312" w:hAnsi="Arial" w:hint="eastAsia"/>
          <w:b/>
          <w:bCs/>
          <w:sz w:val="28"/>
          <w:szCs w:val="28"/>
        </w:rPr>
        <w:t>地方政策：</w:t>
      </w:r>
    </w:p>
    <w:p w14:paraId="3ED3C4EA"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年，全国房地产政策不断优化改善，但北京在政策层面并未出现实质性放松，仅局部定向微调，保持了政策的延续性和稳定性。</w:t>
      </w:r>
      <w:proofErr w:type="gramStart"/>
      <w:r>
        <w:rPr>
          <w:rFonts w:ascii="Arial" w:eastAsia="仿宋_GB2312" w:hAnsi="Arial" w:hint="eastAsia"/>
          <w:bCs/>
          <w:sz w:val="28"/>
          <w:szCs w:val="28"/>
        </w:rPr>
        <w:t>全龄友好</w:t>
      </w:r>
      <w:proofErr w:type="gramEnd"/>
      <w:r>
        <w:rPr>
          <w:rFonts w:ascii="Arial" w:eastAsia="仿宋_GB2312" w:hAnsi="Arial" w:hint="eastAsia"/>
          <w:bCs/>
          <w:sz w:val="28"/>
          <w:szCs w:val="28"/>
        </w:rPr>
        <w:t>社区试点接力贷；经开区管理的“台马”地区取消“双限”；存量房交易“连环单”业务并行办理；允许商品房按栋预售等。整体来看，北京政策优化力度有限，更多的是向市场传递积极信号，提</w:t>
      </w:r>
      <w:proofErr w:type="gramStart"/>
      <w:r>
        <w:rPr>
          <w:rFonts w:ascii="Arial" w:eastAsia="仿宋_GB2312" w:hAnsi="Arial" w:hint="eastAsia"/>
          <w:bCs/>
          <w:sz w:val="28"/>
          <w:szCs w:val="28"/>
        </w:rPr>
        <w:t>振市场</w:t>
      </w:r>
      <w:proofErr w:type="gramEnd"/>
      <w:r>
        <w:rPr>
          <w:rFonts w:ascii="Arial" w:eastAsia="仿宋_GB2312" w:hAnsi="Arial" w:hint="eastAsia"/>
          <w:bCs/>
          <w:sz w:val="28"/>
          <w:szCs w:val="28"/>
        </w:rPr>
        <w:t>信心。</w:t>
      </w:r>
    </w:p>
    <w:p w14:paraId="5D361D32"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8</w:t>
      </w:r>
      <w:r>
        <w:rPr>
          <w:rFonts w:ascii="Arial" w:eastAsia="仿宋_GB2312" w:hAnsi="Arial" w:hint="eastAsia"/>
          <w:bCs/>
          <w:sz w:val="28"/>
          <w:szCs w:val="28"/>
        </w:rPr>
        <w:t>月</w:t>
      </w:r>
      <w:r>
        <w:rPr>
          <w:rFonts w:ascii="Arial" w:eastAsia="仿宋_GB2312" w:hAnsi="Arial" w:hint="eastAsia"/>
          <w:bCs/>
          <w:sz w:val="28"/>
          <w:szCs w:val="28"/>
        </w:rPr>
        <w:t>5</w:t>
      </w:r>
      <w:r>
        <w:rPr>
          <w:rFonts w:ascii="Arial" w:eastAsia="仿宋_GB2312" w:hAnsi="Arial" w:hint="eastAsia"/>
          <w:bCs/>
          <w:sz w:val="28"/>
          <w:szCs w:val="28"/>
        </w:rPr>
        <w:t>日，北京市住建委正式发布《北京住房和城乡建设发展白皮书（</w:t>
      </w:r>
      <w:r>
        <w:rPr>
          <w:rFonts w:ascii="Arial" w:eastAsia="仿宋_GB2312" w:hAnsi="Arial" w:hint="eastAsia"/>
          <w:bCs/>
          <w:sz w:val="28"/>
          <w:szCs w:val="28"/>
        </w:rPr>
        <w:t>2022</w:t>
      </w:r>
      <w:r>
        <w:rPr>
          <w:rFonts w:ascii="Arial" w:eastAsia="仿宋_GB2312" w:hAnsi="Arial" w:hint="eastAsia"/>
          <w:bCs/>
          <w:sz w:val="28"/>
          <w:szCs w:val="28"/>
        </w:rPr>
        <w:t>）》，围绕“三稳”目标下功夫，加快构建公租房等住房</w:t>
      </w:r>
      <w:r>
        <w:rPr>
          <w:rFonts w:ascii="Arial" w:eastAsia="仿宋_GB2312" w:hAnsi="Arial" w:hint="eastAsia"/>
          <w:bCs/>
          <w:sz w:val="28"/>
          <w:szCs w:val="28"/>
        </w:rPr>
        <w:lastRenderedPageBreak/>
        <w:t>保障体系。</w:t>
      </w:r>
    </w:p>
    <w:p w14:paraId="000AFF5A"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23</w:t>
      </w:r>
      <w:r>
        <w:rPr>
          <w:rFonts w:ascii="Arial" w:eastAsia="仿宋_GB2312" w:hAnsi="Arial" w:hint="eastAsia"/>
          <w:bCs/>
          <w:sz w:val="28"/>
          <w:szCs w:val="28"/>
        </w:rPr>
        <w:t>日，北京市住建委和市</w:t>
      </w:r>
      <w:proofErr w:type="gramStart"/>
      <w:r>
        <w:rPr>
          <w:rFonts w:ascii="Arial" w:eastAsia="仿宋_GB2312" w:hAnsi="Arial" w:hint="eastAsia"/>
          <w:bCs/>
          <w:sz w:val="28"/>
          <w:szCs w:val="28"/>
        </w:rPr>
        <w:t>规自委</w:t>
      </w:r>
      <w:proofErr w:type="gramEnd"/>
      <w:r>
        <w:rPr>
          <w:rFonts w:ascii="Arial" w:eastAsia="仿宋_GB2312" w:hAnsi="Arial" w:hint="eastAsia"/>
          <w:bCs/>
          <w:sz w:val="28"/>
          <w:szCs w:val="28"/>
        </w:rPr>
        <w:t>联合发布关于试行存量房交易“连环单”业务并行办理的通知，提高存量房屋交易效率，支持购房家庭合理住房需求。</w:t>
      </w:r>
    </w:p>
    <w:p w14:paraId="40F2E0A9" w14:textId="77777777" w:rsidR="0062768B" w:rsidRDefault="00136729">
      <w:pPr>
        <w:widowControl/>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30</w:t>
      </w:r>
      <w:r>
        <w:rPr>
          <w:rFonts w:ascii="Arial" w:eastAsia="仿宋_GB2312" w:hAnsi="Arial" w:hint="eastAsia"/>
          <w:bCs/>
          <w:sz w:val="28"/>
          <w:szCs w:val="28"/>
        </w:rPr>
        <w:t>日，北京市人民政府印发《关于存量国有建设用地盘活利用的指导意见（试行）》，创新提出</w:t>
      </w:r>
      <w:r>
        <w:rPr>
          <w:rFonts w:ascii="Arial" w:eastAsia="仿宋_GB2312" w:hAnsi="Arial" w:hint="eastAsia"/>
          <w:bCs/>
          <w:sz w:val="28"/>
          <w:szCs w:val="28"/>
        </w:rPr>
        <w:t>8</w:t>
      </w:r>
      <w:r>
        <w:rPr>
          <w:rFonts w:ascii="Arial" w:eastAsia="仿宋_GB2312" w:hAnsi="Arial" w:hint="eastAsia"/>
          <w:bCs/>
          <w:sz w:val="28"/>
          <w:szCs w:val="28"/>
        </w:rPr>
        <w:t>项支持政策，明确在重点功能区及现状轨道站点周边，鼓励利用现状建筑改建保障性租赁住房。</w:t>
      </w:r>
    </w:p>
    <w:p w14:paraId="40A17961"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11</w:t>
      </w:r>
      <w:r>
        <w:rPr>
          <w:rFonts w:ascii="Arial" w:eastAsia="仿宋_GB2312" w:hAnsi="Arial" w:hint="eastAsia"/>
          <w:bCs/>
          <w:sz w:val="28"/>
          <w:szCs w:val="28"/>
        </w:rPr>
        <w:t>月</w:t>
      </w:r>
      <w:r>
        <w:rPr>
          <w:rFonts w:ascii="Arial" w:eastAsia="仿宋_GB2312" w:hAnsi="Arial" w:hint="eastAsia"/>
          <w:bCs/>
          <w:sz w:val="28"/>
          <w:szCs w:val="28"/>
        </w:rPr>
        <w:t>8</w:t>
      </w:r>
      <w:r>
        <w:rPr>
          <w:rFonts w:ascii="Arial" w:eastAsia="仿宋_GB2312" w:hAnsi="Arial" w:hint="eastAsia"/>
          <w:bCs/>
          <w:sz w:val="28"/>
          <w:szCs w:val="28"/>
        </w:rPr>
        <w:t>日，北京市住建委、经开区管委、通州区政府联合发布通知，</w:t>
      </w:r>
      <w:proofErr w:type="gramStart"/>
      <w:r>
        <w:rPr>
          <w:rFonts w:ascii="Arial" w:eastAsia="仿宋_GB2312" w:hAnsi="Arial" w:hint="eastAsia"/>
          <w:bCs/>
          <w:sz w:val="28"/>
          <w:szCs w:val="28"/>
        </w:rPr>
        <w:t>亦庄经开</w:t>
      </w:r>
      <w:proofErr w:type="gramEnd"/>
      <w:r>
        <w:rPr>
          <w:rFonts w:ascii="Arial" w:eastAsia="仿宋_GB2312" w:hAnsi="Arial" w:hint="eastAsia"/>
          <w:bCs/>
          <w:sz w:val="28"/>
          <w:szCs w:val="28"/>
        </w:rPr>
        <w:t>区管理的台湖、马驹桥地区不再执行“双限”政策，仅执行北京其他区域的购房政策。</w:t>
      </w:r>
    </w:p>
    <w:p w14:paraId="0DBA5861"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31</w:t>
      </w:r>
      <w:r>
        <w:rPr>
          <w:rFonts w:ascii="Arial" w:eastAsia="仿宋_GB2312" w:hAnsi="Arial" w:hint="eastAsia"/>
          <w:bCs/>
          <w:sz w:val="28"/>
          <w:szCs w:val="28"/>
        </w:rPr>
        <w:t>日，北京银保监局、人民银行营业管理部、北京市规划和自然资源委员会、北京市住房和城乡建设委员会联合发布《关于推进个人存量住房交易“带押过户”有关工作的通知》，明确规定住房交易双方可以在原抵押权不解除的情况下办理住房所有权转移登记，有效克服了传统方式下交易成本高、时间长、流程复杂等问题，切实提升本市居民住房交易、登记和金融服务水平。</w:t>
      </w:r>
    </w:p>
    <w:bookmarkEnd w:id="146"/>
    <w:bookmarkEnd w:id="147"/>
    <w:p w14:paraId="40DD486C" w14:textId="77777777" w:rsidR="0062768B" w:rsidRDefault="00136729">
      <w:pPr>
        <w:adjustRightInd/>
        <w:spacing w:line="300" w:lineRule="auto"/>
        <w:ind w:firstLineChars="200" w:firstLine="560"/>
        <w:jc w:val="both"/>
        <w:rPr>
          <w:rFonts w:ascii="仿宋_GB2312" w:eastAsia="仿宋_GB2312"/>
          <w:bCs/>
          <w:sz w:val="28"/>
          <w:szCs w:val="28"/>
        </w:rPr>
      </w:pPr>
      <w:r>
        <w:rPr>
          <w:rFonts w:ascii="Arial" w:eastAsia="仿宋_GB2312" w:hAnsi="Arial" w:hint="eastAsia"/>
          <w:bCs/>
          <w:sz w:val="28"/>
          <w:szCs w:val="28"/>
        </w:rPr>
        <w:t>4</w:t>
      </w:r>
      <w:r>
        <w:rPr>
          <w:rFonts w:ascii="仿宋_GB2312" w:eastAsia="仿宋_GB2312" w:hint="eastAsia"/>
          <w:bCs/>
          <w:sz w:val="28"/>
          <w:szCs w:val="28"/>
        </w:rPr>
        <w:t>.城市规划与发展目标</w:t>
      </w:r>
    </w:p>
    <w:p w14:paraId="04302025"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w:t>
      </w: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月</w:t>
      </w:r>
      <w:r>
        <w:rPr>
          <w:rFonts w:ascii="Arial" w:eastAsia="仿宋_GB2312" w:hAnsi="Arial" w:hint="eastAsia"/>
          <w:bCs/>
          <w:sz w:val="28"/>
          <w:szCs w:val="28"/>
        </w:rPr>
        <w:t>27</w:t>
      </w:r>
      <w:r>
        <w:rPr>
          <w:rFonts w:ascii="Arial" w:eastAsia="仿宋_GB2312" w:hAnsi="Arial" w:hint="eastAsia"/>
          <w:bCs/>
          <w:sz w:val="28"/>
          <w:szCs w:val="28"/>
        </w:rPr>
        <w:t>日，北京市第十五届人民代表大会第四次会议批准了《北京市国民经济和社会发展第十四个五年规划和二</w:t>
      </w:r>
      <w:r>
        <w:rPr>
          <w:rFonts w:ascii="微软雅黑" w:eastAsia="微软雅黑" w:hAnsi="微软雅黑" w:cs="微软雅黑" w:hint="eastAsia"/>
          <w:bCs/>
          <w:sz w:val="28"/>
          <w:szCs w:val="28"/>
        </w:rPr>
        <w:t>〇</w:t>
      </w:r>
      <w:r>
        <w:rPr>
          <w:rFonts w:ascii="仿宋_GB2312" w:eastAsia="仿宋_GB2312" w:hAnsi="仿宋_GB2312" w:cs="仿宋_GB2312" w:hint="eastAsia"/>
          <w:bCs/>
          <w:sz w:val="28"/>
          <w:szCs w:val="28"/>
        </w:rPr>
        <w:t>三五年远景目标纲要》（以下简称《纲要》）。《纲要》的指导思想，是要统筹推进“五位一体”总体布局，协调推进“四个全面”战略布局，坚定不移贯彻创新、协调、绿</w:t>
      </w:r>
      <w:r>
        <w:rPr>
          <w:rFonts w:ascii="Arial" w:eastAsia="仿宋_GB2312" w:hAnsi="Arial" w:hint="eastAsia"/>
          <w:bCs/>
          <w:sz w:val="28"/>
          <w:szCs w:val="28"/>
        </w:rPr>
        <w:t>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454DD4CD"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《纲要》提出，建设高品质宜居城市，优化城市空间功能布局，加快</w:t>
      </w:r>
      <w:r>
        <w:rPr>
          <w:rFonts w:ascii="Arial" w:eastAsia="仿宋_GB2312" w:hAnsi="Arial" w:hint="eastAsia"/>
          <w:bCs/>
          <w:sz w:val="28"/>
          <w:szCs w:val="28"/>
        </w:rPr>
        <w:lastRenderedPageBreak/>
        <w:t>推进城市更新。</w:t>
      </w:r>
      <w:r>
        <w:rPr>
          <w:rFonts w:ascii="Arial" w:eastAsia="仿宋_GB2312" w:hAnsi="Arial"/>
          <w:bCs/>
          <w:sz w:val="28"/>
          <w:szCs w:val="28"/>
        </w:rPr>
        <w:t>大力推进老旧小区改造</w:t>
      </w:r>
      <w:r>
        <w:rPr>
          <w:rFonts w:ascii="Arial" w:eastAsia="仿宋_GB2312" w:hAnsi="Arial" w:hint="eastAsia"/>
          <w:bCs/>
          <w:sz w:val="28"/>
          <w:szCs w:val="28"/>
        </w:rPr>
        <w:t>，</w:t>
      </w:r>
      <w:r>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Pr>
          <w:rFonts w:ascii="Arial" w:eastAsia="仿宋_GB2312" w:hAnsi="Arial" w:hint="eastAsia"/>
          <w:bCs/>
          <w:sz w:val="28"/>
          <w:szCs w:val="28"/>
        </w:rPr>
        <w:t xml:space="preserve"> </w:t>
      </w:r>
    </w:p>
    <w:p w14:paraId="55E9A080"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Pr>
          <w:rFonts w:ascii="Arial" w:eastAsia="仿宋_GB2312" w:hAnsi="Arial"/>
          <w:bCs/>
          <w:sz w:val="28"/>
          <w:szCs w:val="28"/>
        </w:rPr>
        <w:t>坚持</w:t>
      </w:r>
      <w:r>
        <w:rPr>
          <w:rFonts w:ascii="Arial" w:eastAsia="仿宋_GB2312" w:hAnsi="Arial"/>
          <w:bCs/>
          <w:sz w:val="28"/>
          <w:szCs w:val="28"/>
        </w:rPr>
        <w:t>“</w:t>
      </w:r>
      <w:r>
        <w:rPr>
          <w:rFonts w:ascii="Arial" w:eastAsia="仿宋_GB2312" w:hAnsi="Arial"/>
          <w:bCs/>
          <w:sz w:val="28"/>
          <w:szCs w:val="28"/>
        </w:rPr>
        <w:t>房住不炒</w:t>
      </w:r>
      <w:r>
        <w:rPr>
          <w:rFonts w:ascii="Arial" w:eastAsia="仿宋_GB2312" w:hAnsi="Arial"/>
          <w:bCs/>
          <w:sz w:val="28"/>
          <w:szCs w:val="28"/>
        </w:rPr>
        <w:t>”</w:t>
      </w:r>
      <w:r>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Pr>
          <w:rFonts w:ascii="Arial" w:eastAsia="仿宋_GB2312" w:hAnsi="Arial" w:hint="eastAsia"/>
          <w:bCs/>
          <w:sz w:val="28"/>
          <w:szCs w:val="28"/>
        </w:rPr>
        <w:t>，</w:t>
      </w:r>
      <w:r>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Pr>
          <w:rFonts w:ascii="Arial" w:eastAsia="仿宋_GB2312" w:hAnsi="Arial"/>
          <w:bCs/>
          <w:sz w:val="28"/>
          <w:szCs w:val="28"/>
        </w:rPr>
        <w:t>5000</w:t>
      </w:r>
      <w:r>
        <w:rPr>
          <w:rFonts w:ascii="Arial" w:eastAsia="仿宋_GB2312" w:hAnsi="Arial"/>
          <w:bCs/>
          <w:sz w:val="28"/>
          <w:szCs w:val="28"/>
        </w:rPr>
        <w:t>公顷、供应各类住房</w:t>
      </w:r>
      <w:r>
        <w:rPr>
          <w:rFonts w:ascii="Arial" w:eastAsia="仿宋_GB2312" w:hAnsi="Arial"/>
          <w:bCs/>
          <w:sz w:val="28"/>
          <w:szCs w:val="28"/>
        </w:rPr>
        <w:t xml:space="preserve">100 </w:t>
      </w:r>
      <w:r>
        <w:rPr>
          <w:rFonts w:ascii="Arial" w:eastAsia="仿宋_GB2312" w:hAnsi="Arial"/>
          <w:bCs/>
          <w:sz w:val="28"/>
          <w:szCs w:val="28"/>
        </w:rPr>
        <w:t>万套左右，基本实现总体供需平衡。加大多层次保障性租赁住房供给，</w:t>
      </w:r>
      <w:r>
        <w:rPr>
          <w:rFonts w:ascii="Arial" w:eastAsia="仿宋_GB2312" w:hAnsi="Arial"/>
          <w:bCs/>
          <w:sz w:val="28"/>
          <w:szCs w:val="28"/>
        </w:rPr>
        <w:t xml:space="preserve"> </w:t>
      </w:r>
      <w:r>
        <w:rPr>
          <w:rFonts w:ascii="Arial" w:eastAsia="仿宋_GB2312" w:hAnsi="Arial"/>
          <w:bCs/>
          <w:sz w:val="28"/>
          <w:szCs w:val="28"/>
        </w:rPr>
        <w:t>针对中低收入家庭自住需求，大力筹集建设各类租赁型住房，提高公共租赁住房备案家庭保障率，新增供应套数占比不低于</w:t>
      </w:r>
      <w:r>
        <w:rPr>
          <w:rFonts w:ascii="Arial" w:eastAsia="仿宋_GB2312" w:hAnsi="Arial"/>
          <w:bCs/>
          <w:sz w:val="28"/>
          <w:szCs w:val="28"/>
        </w:rPr>
        <w:t xml:space="preserve"> 40%</w:t>
      </w:r>
      <w:r>
        <w:rPr>
          <w:rFonts w:ascii="Arial" w:eastAsia="仿宋_GB2312" w:hAnsi="Arial"/>
          <w:bCs/>
          <w:sz w:val="28"/>
          <w:szCs w:val="28"/>
        </w:rPr>
        <w:t>。新增集体土地租赁住房等政策性租赁住房供地占比不低于供应总量的</w:t>
      </w:r>
      <w:r>
        <w:rPr>
          <w:rFonts w:ascii="Arial" w:eastAsia="仿宋_GB2312" w:hAnsi="Arial"/>
          <w:bCs/>
          <w:sz w:val="28"/>
          <w:szCs w:val="28"/>
        </w:rPr>
        <w:t xml:space="preserve"> 15%</w:t>
      </w:r>
      <w:r>
        <w:rPr>
          <w:rFonts w:ascii="Arial" w:eastAsia="仿宋_GB2312" w:hAnsi="Arial"/>
          <w:bCs/>
          <w:sz w:val="28"/>
          <w:szCs w:val="28"/>
        </w:rPr>
        <w:t>，鼓励存量低效商业、办公、厂房等建筑改造为租赁</w:t>
      </w:r>
      <w:proofErr w:type="gramStart"/>
      <w:r>
        <w:rPr>
          <w:rFonts w:ascii="Arial" w:eastAsia="仿宋_GB2312" w:hAnsi="Arial"/>
          <w:bCs/>
          <w:sz w:val="28"/>
          <w:szCs w:val="28"/>
        </w:rPr>
        <w:t>型职工</w:t>
      </w:r>
      <w:proofErr w:type="gramEnd"/>
      <w:r>
        <w:rPr>
          <w:rFonts w:ascii="Arial" w:eastAsia="仿宋_GB2312" w:hAnsi="Arial"/>
          <w:bCs/>
          <w:sz w:val="28"/>
          <w:szCs w:val="28"/>
        </w:rPr>
        <w:t>集体宿舍或公寓。加快高层次人才公租房和国际人才公寓建设。确保住房交易市场平稳有序，规范发展住房租赁市场</w:t>
      </w:r>
      <w:r>
        <w:rPr>
          <w:rFonts w:ascii="Arial" w:eastAsia="仿宋_GB2312" w:hAnsi="Arial" w:hint="eastAsia"/>
          <w:bCs/>
          <w:sz w:val="28"/>
          <w:szCs w:val="28"/>
        </w:rPr>
        <w:t>，</w:t>
      </w:r>
      <w:r>
        <w:rPr>
          <w:rFonts w:ascii="Arial" w:eastAsia="仿宋_GB2312" w:hAnsi="Arial"/>
          <w:bCs/>
          <w:sz w:val="28"/>
          <w:szCs w:val="28"/>
        </w:rPr>
        <w:t>保持调控政策连</w:t>
      </w:r>
      <w:r>
        <w:rPr>
          <w:rFonts w:ascii="Arial" w:eastAsia="仿宋_GB2312" w:hAnsi="Arial"/>
          <w:bCs/>
          <w:sz w:val="28"/>
          <w:szCs w:val="28"/>
        </w:rPr>
        <w:t xml:space="preserve"> </w:t>
      </w:r>
      <w:r>
        <w:rPr>
          <w:rFonts w:ascii="Arial" w:eastAsia="仿宋_GB2312" w:hAnsi="Arial"/>
          <w:bCs/>
          <w:sz w:val="28"/>
          <w:szCs w:val="28"/>
        </w:rPr>
        <w:t>续性稳定性，坚决遏制投机炒房，按照</w:t>
      </w:r>
      <w:r>
        <w:rPr>
          <w:rFonts w:ascii="Arial" w:eastAsia="仿宋_GB2312" w:hAnsi="Arial"/>
          <w:bCs/>
          <w:sz w:val="28"/>
          <w:szCs w:val="28"/>
        </w:rPr>
        <w:t>“</w:t>
      </w:r>
      <w:r>
        <w:rPr>
          <w:rFonts w:ascii="Arial" w:eastAsia="仿宋_GB2312" w:hAnsi="Arial"/>
          <w:bCs/>
          <w:sz w:val="28"/>
          <w:szCs w:val="28"/>
        </w:rPr>
        <w:t>全市统筹、因区施策</w:t>
      </w:r>
      <w:r>
        <w:rPr>
          <w:rFonts w:ascii="Arial" w:eastAsia="仿宋_GB2312" w:hAnsi="Arial"/>
          <w:bCs/>
          <w:sz w:val="28"/>
          <w:szCs w:val="28"/>
        </w:rPr>
        <w:t>”</w:t>
      </w:r>
      <w:r>
        <w:rPr>
          <w:rFonts w:ascii="Arial" w:eastAsia="仿宋_GB2312" w:hAnsi="Arial"/>
          <w:bCs/>
          <w:sz w:val="28"/>
          <w:szCs w:val="28"/>
        </w:rPr>
        <w:t>原则，逐步完善各区域调控长效机制，合理设定调控目标，全面落实稳地价、稳房价、稳预期。</w:t>
      </w:r>
    </w:p>
    <w:p w14:paraId="7EBF3B24"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w:t>
      </w: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5</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14:paraId="094CE2D2" w14:textId="77777777" w:rsidR="0062768B" w:rsidRDefault="00136729">
      <w:pPr>
        <w:adjustRightInd/>
        <w:spacing w:line="300" w:lineRule="auto"/>
        <w:ind w:firstLineChars="200" w:firstLine="560"/>
        <w:jc w:val="both"/>
        <w:rPr>
          <w:rFonts w:ascii="仿宋_GB2312" w:eastAsia="仿宋_GB2312"/>
          <w:bCs/>
          <w:i/>
          <w:sz w:val="28"/>
          <w:szCs w:val="28"/>
        </w:rPr>
      </w:pPr>
      <w:r>
        <w:rPr>
          <w:rFonts w:ascii="Arial" w:eastAsia="仿宋_GB2312" w:hAnsi="Arial" w:hint="eastAsia"/>
          <w:bCs/>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65A646D0" w14:textId="77777777" w:rsidR="0062768B" w:rsidRDefault="00136729">
      <w:pPr>
        <w:adjustRightInd/>
        <w:spacing w:line="300" w:lineRule="auto"/>
        <w:ind w:firstLineChars="200" w:firstLine="560"/>
        <w:jc w:val="both"/>
        <w:rPr>
          <w:rFonts w:ascii="仿宋_GB2312" w:eastAsia="仿宋_GB2312"/>
          <w:bCs/>
          <w:sz w:val="28"/>
          <w:szCs w:val="28"/>
        </w:rPr>
      </w:pPr>
      <w:r>
        <w:rPr>
          <w:rFonts w:ascii="Arial" w:eastAsia="仿宋_GB2312" w:hAnsi="Arial" w:hint="eastAsia"/>
          <w:bCs/>
          <w:sz w:val="28"/>
          <w:szCs w:val="28"/>
        </w:rPr>
        <w:t>5</w:t>
      </w:r>
      <w:r>
        <w:rPr>
          <w:rFonts w:ascii="仿宋_GB2312" w:eastAsia="仿宋_GB2312" w:hint="eastAsia"/>
          <w:bCs/>
          <w:sz w:val="28"/>
          <w:szCs w:val="28"/>
        </w:rPr>
        <w:t>.城市社会经济发展状况（</w:t>
      </w:r>
      <w:r>
        <w:rPr>
          <w:rFonts w:ascii="Arial" w:eastAsia="仿宋_GB2312" w:hAnsi="Arial" w:hint="eastAsia"/>
          <w:bCs/>
          <w:sz w:val="28"/>
          <w:szCs w:val="28"/>
        </w:rPr>
        <w:t>202</w:t>
      </w:r>
      <w:r>
        <w:rPr>
          <w:rFonts w:ascii="Arial" w:eastAsia="仿宋_GB2312" w:hAnsi="Arial"/>
          <w:bCs/>
          <w:sz w:val="28"/>
          <w:szCs w:val="28"/>
        </w:rPr>
        <w:t>3</w:t>
      </w:r>
      <w:r>
        <w:rPr>
          <w:rFonts w:ascii="仿宋_GB2312" w:eastAsia="仿宋_GB2312" w:hint="eastAsia"/>
          <w:bCs/>
          <w:sz w:val="28"/>
          <w:szCs w:val="28"/>
        </w:rPr>
        <w:t>年</w:t>
      </w:r>
      <w:r>
        <w:rPr>
          <w:rFonts w:ascii="Arial" w:eastAsia="仿宋_GB2312" w:hAnsi="Arial"/>
          <w:bCs/>
          <w:sz w:val="28"/>
          <w:szCs w:val="28"/>
        </w:rPr>
        <w:t>1</w:t>
      </w:r>
      <w:r>
        <w:rPr>
          <w:rFonts w:ascii="仿宋_GB2312" w:eastAsia="仿宋_GB2312" w:hint="eastAsia"/>
          <w:bCs/>
          <w:sz w:val="28"/>
          <w:szCs w:val="28"/>
        </w:rPr>
        <w:t>季度）</w:t>
      </w:r>
    </w:p>
    <w:p w14:paraId="36F78011"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根据北京市统计局地区生产总值统一核算结果</w:t>
      </w:r>
      <w:bookmarkStart w:id="150" w:name="OLE_LINK30"/>
      <w:bookmarkStart w:id="151" w:name="OLE_LINK31"/>
      <w:bookmarkStart w:id="152" w:name="OLE_LINK32"/>
      <w:r>
        <w:rPr>
          <w:rFonts w:ascii="Arial" w:eastAsia="仿宋_GB2312" w:hAnsi="Arial" w:cs="Arial" w:hint="eastAsia"/>
          <w:bCs/>
          <w:sz w:val="28"/>
          <w:szCs w:val="28"/>
        </w:rPr>
        <w:t>，</w:t>
      </w:r>
      <w:bookmarkStart w:id="153" w:name="OLE_LINK1"/>
      <w:r>
        <w:rPr>
          <w:rFonts w:ascii="Arial" w:eastAsia="仿宋_GB2312" w:hAnsi="Arial" w:cs="Arial" w:hint="eastAsia"/>
          <w:bCs/>
          <w:sz w:val="28"/>
          <w:szCs w:val="28"/>
        </w:rPr>
        <w:t>2023</w:t>
      </w:r>
      <w:r>
        <w:rPr>
          <w:rFonts w:ascii="Arial" w:eastAsia="仿宋_GB2312" w:hAnsi="Arial" w:cs="Arial" w:hint="eastAsia"/>
          <w:bCs/>
          <w:sz w:val="28"/>
          <w:szCs w:val="28"/>
        </w:rPr>
        <w:t>年</w:t>
      </w:r>
      <w:r>
        <w:rPr>
          <w:rFonts w:ascii="Arial" w:eastAsia="仿宋_GB2312" w:hAnsi="Arial" w:cs="Arial" w:hint="eastAsia"/>
          <w:bCs/>
          <w:sz w:val="28"/>
          <w:szCs w:val="28"/>
        </w:rPr>
        <w:t>1</w:t>
      </w:r>
      <w:r>
        <w:rPr>
          <w:rFonts w:ascii="Arial" w:eastAsia="仿宋_GB2312" w:hAnsi="Arial" w:cs="Arial" w:hint="eastAsia"/>
          <w:bCs/>
          <w:sz w:val="28"/>
          <w:szCs w:val="28"/>
        </w:rPr>
        <w:t>季度北京</w:t>
      </w:r>
      <w:r>
        <w:rPr>
          <w:rFonts w:ascii="Arial" w:eastAsia="仿宋_GB2312" w:hAnsi="Arial" w:cs="Arial" w:hint="eastAsia"/>
          <w:bCs/>
          <w:sz w:val="28"/>
          <w:szCs w:val="28"/>
        </w:rPr>
        <w:lastRenderedPageBreak/>
        <w:t>市</w:t>
      </w:r>
      <w:bookmarkEnd w:id="150"/>
      <w:bookmarkEnd w:id="151"/>
      <w:bookmarkEnd w:id="152"/>
      <w:bookmarkEnd w:id="153"/>
      <w:r>
        <w:rPr>
          <w:rFonts w:ascii="Arial" w:eastAsia="仿宋_GB2312" w:hAnsi="Arial" w:cs="Arial" w:hint="eastAsia"/>
          <w:bCs/>
          <w:sz w:val="28"/>
          <w:szCs w:val="28"/>
        </w:rPr>
        <w:t>实现地区生产总值</w:t>
      </w:r>
      <w:r>
        <w:rPr>
          <w:rFonts w:ascii="Arial" w:eastAsia="仿宋_GB2312" w:hAnsi="Arial" w:cs="Arial" w:hint="eastAsia"/>
          <w:bCs/>
          <w:sz w:val="28"/>
          <w:szCs w:val="28"/>
        </w:rPr>
        <w:t>9947.7</w:t>
      </w:r>
      <w:r>
        <w:rPr>
          <w:rFonts w:ascii="Arial" w:eastAsia="仿宋_GB2312" w:hAnsi="Arial" w:cs="Arial" w:hint="eastAsia"/>
          <w:bCs/>
          <w:sz w:val="28"/>
          <w:szCs w:val="28"/>
        </w:rPr>
        <w:t>亿元，按不变价格计算，同比增长</w:t>
      </w:r>
      <w:r>
        <w:rPr>
          <w:rFonts w:ascii="Arial" w:eastAsia="仿宋_GB2312" w:hAnsi="Arial" w:cs="Arial" w:hint="eastAsia"/>
          <w:bCs/>
          <w:sz w:val="28"/>
          <w:szCs w:val="28"/>
        </w:rPr>
        <w:t>3.1%</w:t>
      </w:r>
      <w:r>
        <w:rPr>
          <w:rFonts w:ascii="Arial" w:eastAsia="仿宋_GB2312" w:hAnsi="Arial" w:cs="Arial" w:hint="eastAsia"/>
          <w:bCs/>
          <w:sz w:val="28"/>
          <w:szCs w:val="28"/>
        </w:rPr>
        <w:t>，高于上年全年增速</w:t>
      </w:r>
      <w:r>
        <w:rPr>
          <w:rFonts w:ascii="Arial" w:eastAsia="仿宋_GB2312" w:hAnsi="Arial" w:cs="Arial" w:hint="eastAsia"/>
          <w:bCs/>
          <w:sz w:val="28"/>
          <w:szCs w:val="28"/>
        </w:rPr>
        <w:t>2.4</w:t>
      </w:r>
      <w:r>
        <w:rPr>
          <w:rFonts w:ascii="Arial" w:eastAsia="仿宋_GB2312" w:hAnsi="Arial" w:cs="Arial" w:hint="eastAsia"/>
          <w:bCs/>
          <w:sz w:val="28"/>
          <w:szCs w:val="28"/>
        </w:rPr>
        <w:t>个百分点。分产业看，第一产业实现增加值</w:t>
      </w:r>
      <w:r>
        <w:rPr>
          <w:rFonts w:ascii="Arial" w:eastAsia="仿宋_GB2312" w:hAnsi="Arial" w:cs="Arial" w:hint="eastAsia"/>
          <w:bCs/>
          <w:sz w:val="28"/>
          <w:szCs w:val="28"/>
        </w:rPr>
        <w:t>14.7</w:t>
      </w:r>
      <w:r>
        <w:rPr>
          <w:rFonts w:ascii="Arial" w:eastAsia="仿宋_GB2312" w:hAnsi="Arial" w:cs="Arial" w:hint="eastAsia"/>
          <w:bCs/>
          <w:sz w:val="28"/>
          <w:szCs w:val="28"/>
        </w:rPr>
        <w:t>亿元，增长</w:t>
      </w:r>
      <w:r>
        <w:rPr>
          <w:rFonts w:ascii="Arial" w:eastAsia="仿宋_GB2312" w:hAnsi="Arial" w:cs="Arial" w:hint="eastAsia"/>
          <w:bCs/>
          <w:sz w:val="28"/>
          <w:szCs w:val="28"/>
        </w:rPr>
        <w:t>2.3%</w:t>
      </w:r>
      <w:r>
        <w:rPr>
          <w:rFonts w:ascii="Arial" w:eastAsia="仿宋_GB2312" w:hAnsi="Arial" w:cs="Arial" w:hint="eastAsia"/>
          <w:bCs/>
          <w:sz w:val="28"/>
          <w:szCs w:val="28"/>
        </w:rPr>
        <w:t>；第二产业实现增加值</w:t>
      </w:r>
      <w:r>
        <w:rPr>
          <w:rFonts w:ascii="Arial" w:eastAsia="仿宋_GB2312" w:hAnsi="Arial" w:cs="Arial" w:hint="eastAsia"/>
          <w:bCs/>
          <w:sz w:val="28"/>
          <w:szCs w:val="28"/>
        </w:rPr>
        <w:t>1228.1</w:t>
      </w:r>
      <w:r>
        <w:rPr>
          <w:rFonts w:ascii="Arial" w:eastAsia="仿宋_GB2312" w:hAnsi="Arial" w:cs="Arial" w:hint="eastAsia"/>
          <w:bCs/>
          <w:sz w:val="28"/>
          <w:szCs w:val="28"/>
        </w:rPr>
        <w:t>亿元，下降</w:t>
      </w:r>
      <w:r>
        <w:rPr>
          <w:rFonts w:ascii="Arial" w:eastAsia="仿宋_GB2312" w:hAnsi="Arial" w:cs="Arial" w:hint="eastAsia"/>
          <w:bCs/>
          <w:sz w:val="28"/>
          <w:szCs w:val="28"/>
        </w:rPr>
        <w:t>6.0%</w:t>
      </w:r>
      <w:r>
        <w:rPr>
          <w:rFonts w:ascii="Arial" w:eastAsia="仿宋_GB2312" w:hAnsi="Arial" w:cs="Arial" w:hint="eastAsia"/>
          <w:bCs/>
          <w:sz w:val="28"/>
          <w:szCs w:val="28"/>
        </w:rPr>
        <w:t>；第三产业实现增加值</w:t>
      </w:r>
      <w:r>
        <w:rPr>
          <w:rFonts w:ascii="Arial" w:eastAsia="仿宋_GB2312" w:hAnsi="Arial" w:cs="Arial" w:hint="eastAsia"/>
          <w:bCs/>
          <w:sz w:val="28"/>
          <w:szCs w:val="28"/>
        </w:rPr>
        <w:t>8705.0</w:t>
      </w:r>
      <w:r>
        <w:rPr>
          <w:rFonts w:ascii="Arial" w:eastAsia="仿宋_GB2312" w:hAnsi="Arial" w:cs="Arial" w:hint="eastAsia"/>
          <w:bCs/>
          <w:sz w:val="28"/>
          <w:szCs w:val="28"/>
        </w:rPr>
        <w:t>亿元，增长</w:t>
      </w:r>
      <w:r>
        <w:rPr>
          <w:rFonts w:ascii="Arial" w:eastAsia="仿宋_GB2312" w:hAnsi="Arial" w:cs="Arial" w:hint="eastAsia"/>
          <w:bCs/>
          <w:sz w:val="28"/>
          <w:szCs w:val="28"/>
        </w:rPr>
        <w:t>4.6%</w:t>
      </w:r>
      <w:r>
        <w:rPr>
          <w:rFonts w:ascii="Arial" w:eastAsia="仿宋_GB2312" w:hAnsi="Arial" w:cs="Arial" w:hint="eastAsia"/>
          <w:bCs/>
          <w:sz w:val="28"/>
          <w:szCs w:val="28"/>
        </w:rPr>
        <w:t>。</w:t>
      </w:r>
    </w:p>
    <w:p w14:paraId="4FF8D23C"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）农业生产保持增势，休闲农业和乡村旅游回暖</w:t>
      </w:r>
    </w:p>
    <w:p w14:paraId="17A61B45"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一季度，北京市实现农林牧渔业总产值</w:t>
      </w:r>
      <w:r>
        <w:rPr>
          <w:rFonts w:ascii="Arial" w:eastAsia="仿宋_GB2312" w:hAnsi="Arial" w:cs="Arial" w:hint="eastAsia"/>
          <w:bCs/>
          <w:sz w:val="28"/>
          <w:szCs w:val="28"/>
        </w:rPr>
        <w:t>37.8</w:t>
      </w:r>
      <w:r>
        <w:rPr>
          <w:rFonts w:ascii="Arial" w:eastAsia="仿宋_GB2312" w:hAnsi="Arial" w:cs="Arial" w:hint="eastAsia"/>
          <w:bCs/>
          <w:sz w:val="28"/>
          <w:szCs w:val="28"/>
        </w:rPr>
        <w:t>亿元，按可比价格计算，同比增长</w:t>
      </w:r>
      <w:r>
        <w:rPr>
          <w:rFonts w:ascii="Arial" w:eastAsia="仿宋_GB2312" w:hAnsi="Arial" w:cs="Arial" w:hint="eastAsia"/>
          <w:bCs/>
          <w:sz w:val="28"/>
          <w:szCs w:val="28"/>
        </w:rPr>
        <w:t>2.1%</w:t>
      </w:r>
      <w:r>
        <w:rPr>
          <w:rFonts w:ascii="Arial" w:eastAsia="仿宋_GB2312" w:hAnsi="Arial" w:cs="Arial" w:hint="eastAsia"/>
          <w:bCs/>
          <w:sz w:val="28"/>
          <w:szCs w:val="28"/>
        </w:rPr>
        <w:t>。其中，实现农业（种植业）产值</w:t>
      </w:r>
      <w:r>
        <w:rPr>
          <w:rFonts w:ascii="Arial" w:eastAsia="仿宋_GB2312" w:hAnsi="Arial" w:cs="Arial" w:hint="eastAsia"/>
          <w:bCs/>
          <w:sz w:val="28"/>
          <w:szCs w:val="28"/>
        </w:rPr>
        <w:t>14.5</w:t>
      </w:r>
      <w:r>
        <w:rPr>
          <w:rFonts w:ascii="Arial" w:eastAsia="仿宋_GB2312" w:hAnsi="Arial" w:cs="Arial" w:hint="eastAsia"/>
          <w:bCs/>
          <w:sz w:val="28"/>
          <w:szCs w:val="28"/>
        </w:rPr>
        <w:t>亿元，增长</w:t>
      </w:r>
      <w:r>
        <w:rPr>
          <w:rFonts w:ascii="Arial" w:eastAsia="仿宋_GB2312" w:hAnsi="Arial" w:cs="Arial" w:hint="eastAsia"/>
          <w:bCs/>
          <w:sz w:val="28"/>
          <w:szCs w:val="28"/>
        </w:rPr>
        <w:t>5.7%</w:t>
      </w:r>
      <w:r>
        <w:rPr>
          <w:rFonts w:ascii="Arial" w:eastAsia="仿宋_GB2312" w:hAnsi="Arial" w:cs="Arial" w:hint="eastAsia"/>
          <w:bCs/>
          <w:sz w:val="28"/>
          <w:szCs w:val="28"/>
        </w:rPr>
        <w:t>，瓜果类产量增长</w:t>
      </w:r>
      <w:r>
        <w:rPr>
          <w:rFonts w:ascii="Arial" w:eastAsia="仿宋_GB2312" w:hAnsi="Arial" w:cs="Arial" w:hint="eastAsia"/>
          <w:bCs/>
          <w:sz w:val="28"/>
          <w:szCs w:val="28"/>
        </w:rPr>
        <w:t>5.9%</w:t>
      </w:r>
      <w:r>
        <w:rPr>
          <w:rFonts w:ascii="Arial" w:eastAsia="仿宋_GB2312" w:hAnsi="Arial" w:cs="Arial" w:hint="eastAsia"/>
          <w:bCs/>
          <w:sz w:val="28"/>
          <w:szCs w:val="28"/>
        </w:rPr>
        <w:t>；在造林管护带动下，实现林业产值</w:t>
      </w:r>
      <w:r>
        <w:rPr>
          <w:rFonts w:ascii="Arial" w:eastAsia="仿宋_GB2312" w:hAnsi="Arial" w:cs="Arial" w:hint="eastAsia"/>
          <w:bCs/>
          <w:sz w:val="28"/>
          <w:szCs w:val="28"/>
        </w:rPr>
        <w:t>12.3</w:t>
      </w:r>
      <w:r>
        <w:rPr>
          <w:rFonts w:ascii="Arial" w:eastAsia="仿宋_GB2312" w:hAnsi="Arial" w:cs="Arial" w:hint="eastAsia"/>
          <w:bCs/>
          <w:sz w:val="28"/>
          <w:szCs w:val="28"/>
        </w:rPr>
        <w:t>亿元，增长</w:t>
      </w:r>
      <w:r>
        <w:rPr>
          <w:rFonts w:ascii="Arial" w:eastAsia="仿宋_GB2312" w:hAnsi="Arial" w:cs="Arial" w:hint="eastAsia"/>
          <w:bCs/>
          <w:sz w:val="28"/>
          <w:szCs w:val="28"/>
        </w:rPr>
        <w:t>13.6%</w:t>
      </w:r>
      <w:r>
        <w:rPr>
          <w:rFonts w:ascii="Arial" w:eastAsia="仿宋_GB2312" w:hAnsi="Arial" w:cs="Arial" w:hint="eastAsia"/>
          <w:bCs/>
          <w:sz w:val="28"/>
          <w:szCs w:val="28"/>
        </w:rPr>
        <w:t>。休闲农业和乡村旅游回暖，接待游客</w:t>
      </w:r>
      <w:r>
        <w:rPr>
          <w:rFonts w:ascii="Arial" w:eastAsia="仿宋_GB2312" w:hAnsi="Arial" w:cs="Arial" w:hint="eastAsia"/>
          <w:bCs/>
          <w:sz w:val="28"/>
          <w:szCs w:val="28"/>
        </w:rPr>
        <w:t>335.6</w:t>
      </w:r>
      <w:r>
        <w:rPr>
          <w:rFonts w:ascii="Arial" w:eastAsia="仿宋_GB2312" w:hAnsi="Arial" w:cs="Arial" w:hint="eastAsia"/>
          <w:bCs/>
          <w:sz w:val="28"/>
          <w:szCs w:val="28"/>
        </w:rPr>
        <w:t>万人次，同比增长</w:t>
      </w:r>
      <w:r>
        <w:rPr>
          <w:rFonts w:ascii="Arial" w:eastAsia="仿宋_GB2312" w:hAnsi="Arial" w:cs="Arial" w:hint="eastAsia"/>
          <w:bCs/>
          <w:sz w:val="28"/>
          <w:szCs w:val="28"/>
        </w:rPr>
        <w:t>4.4%</w:t>
      </w:r>
      <w:r>
        <w:rPr>
          <w:rFonts w:ascii="Arial" w:eastAsia="仿宋_GB2312" w:hAnsi="Arial" w:cs="Arial" w:hint="eastAsia"/>
          <w:bCs/>
          <w:sz w:val="28"/>
          <w:szCs w:val="28"/>
        </w:rPr>
        <w:t>，实现收入</w:t>
      </w:r>
      <w:r>
        <w:rPr>
          <w:rFonts w:ascii="Arial" w:eastAsia="仿宋_GB2312" w:hAnsi="Arial" w:cs="Arial" w:hint="eastAsia"/>
          <w:bCs/>
          <w:sz w:val="28"/>
          <w:szCs w:val="28"/>
        </w:rPr>
        <w:t>7.0</w:t>
      </w:r>
      <w:r>
        <w:rPr>
          <w:rFonts w:ascii="Arial" w:eastAsia="仿宋_GB2312" w:hAnsi="Arial" w:cs="Arial" w:hint="eastAsia"/>
          <w:bCs/>
          <w:sz w:val="28"/>
          <w:szCs w:val="28"/>
        </w:rPr>
        <w:t>亿元，增长</w:t>
      </w:r>
      <w:r>
        <w:rPr>
          <w:rFonts w:ascii="Arial" w:eastAsia="仿宋_GB2312" w:hAnsi="Arial" w:cs="Arial" w:hint="eastAsia"/>
          <w:bCs/>
          <w:sz w:val="28"/>
          <w:szCs w:val="28"/>
        </w:rPr>
        <w:t>11.9%</w:t>
      </w:r>
      <w:r>
        <w:rPr>
          <w:rFonts w:ascii="Arial" w:eastAsia="仿宋_GB2312" w:hAnsi="Arial" w:cs="Arial" w:hint="eastAsia"/>
          <w:bCs/>
          <w:sz w:val="28"/>
          <w:szCs w:val="28"/>
        </w:rPr>
        <w:t>。</w:t>
      </w:r>
    </w:p>
    <w:p w14:paraId="5A70E6E1"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）工业生产</w:t>
      </w:r>
      <w:proofErr w:type="gramStart"/>
      <w:r>
        <w:rPr>
          <w:rFonts w:ascii="Arial" w:eastAsia="仿宋_GB2312" w:hAnsi="Arial" w:cs="Arial" w:hint="eastAsia"/>
          <w:bCs/>
          <w:sz w:val="28"/>
          <w:szCs w:val="28"/>
        </w:rPr>
        <w:t>降幅收</w:t>
      </w:r>
      <w:proofErr w:type="gramEnd"/>
      <w:r>
        <w:rPr>
          <w:rFonts w:ascii="Arial" w:eastAsia="仿宋_GB2312" w:hAnsi="Arial" w:cs="Arial" w:hint="eastAsia"/>
          <w:bCs/>
          <w:sz w:val="28"/>
          <w:szCs w:val="28"/>
        </w:rPr>
        <w:t>窄，部分高端领域增势较好</w:t>
      </w:r>
    </w:p>
    <w:p w14:paraId="38562426"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一季度，北京市规模以上工业增加值按可比价格计算，同比下降</w:t>
      </w:r>
      <w:r>
        <w:rPr>
          <w:rFonts w:ascii="Arial" w:eastAsia="仿宋_GB2312" w:hAnsi="Arial" w:cs="Arial" w:hint="eastAsia"/>
          <w:bCs/>
          <w:sz w:val="28"/>
          <w:szCs w:val="28"/>
        </w:rPr>
        <w:t>7.4%</w:t>
      </w:r>
      <w:r>
        <w:rPr>
          <w:rFonts w:ascii="Arial" w:eastAsia="仿宋_GB2312" w:hAnsi="Arial" w:cs="Arial" w:hint="eastAsia"/>
          <w:bCs/>
          <w:sz w:val="28"/>
          <w:szCs w:val="28"/>
        </w:rPr>
        <w:t>（剔除新冠疫苗生产因素增长</w:t>
      </w:r>
      <w:r>
        <w:rPr>
          <w:rFonts w:ascii="Arial" w:eastAsia="仿宋_GB2312" w:hAnsi="Arial" w:cs="Arial" w:hint="eastAsia"/>
          <w:bCs/>
          <w:sz w:val="28"/>
          <w:szCs w:val="28"/>
        </w:rPr>
        <w:t>1.8%</w:t>
      </w:r>
      <w:r>
        <w:rPr>
          <w:rFonts w:ascii="Arial" w:eastAsia="仿宋_GB2312" w:hAnsi="Arial" w:cs="Arial" w:hint="eastAsia"/>
          <w:bCs/>
          <w:sz w:val="28"/>
          <w:szCs w:val="28"/>
        </w:rPr>
        <w:t>），降幅较上年全年收窄</w:t>
      </w:r>
      <w:r>
        <w:rPr>
          <w:rFonts w:ascii="Arial" w:eastAsia="仿宋_GB2312" w:hAnsi="Arial" w:cs="Arial" w:hint="eastAsia"/>
          <w:bCs/>
          <w:sz w:val="28"/>
          <w:szCs w:val="28"/>
        </w:rPr>
        <w:t>9.3</w:t>
      </w:r>
      <w:r>
        <w:rPr>
          <w:rFonts w:ascii="Arial" w:eastAsia="仿宋_GB2312" w:hAnsi="Arial" w:cs="Arial" w:hint="eastAsia"/>
          <w:bCs/>
          <w:sz w:val="28"/>
          <w:szCs w:val="28"/>
        </w:rPr>
        <w:t>个百分点。重点行业中，电力、热力生产和供应业增长</w:t>
      </w:r>
      <w:r>
        <w:rPr>
          <w:rFonts w:ascii="Arial" w:eastAsia="仿宋_GB2312" w:hAnsi="Arial" w:cs="Arial" w:hint="eastAsia"/>
          <w:bCs/>
          <w:sz w:val="28"/>
          <w:szCs w:val="28"/>
        </w:rPr>
        <w:t>11.5%</w:t>
      </w:r>
      <w:r>
        <w:rPr>
          <w:rFonts w:ascii="Arial" w:eastAsia="仿宋_GB2312" w:hAnsi="Arial" w:cs="Arial" w:hint="eastAsia"/>
          <w:bCs/>
          <w:sz w:val="28"/>
          <w:szCs w:val="28"/>
        </w:rPr>
        <w:t>，汽车制造业增长</w:t>
      </w:r>
      <w:r>
        <w:rPr>
          <w:rFonts w:ascii="Arial" w:eastAsia="仿宋_GB2312" w:hAnsi="Arial" w:cs="Arial" w:hint="eastAsia"/>
          <w:bCs/>
          <w:sz w:val="28"/>
          <w:szCs w:val="28"/>
        </w:rPr>
        <w:t>2.0%</w:t>
      </w:r>
      <w:r>
        <w:rPr>
          <w:rFonts w:ascii="Arial" w:eastAsia="仿宋_GB2312" w:hAnsi="Arial" w:cs="Arial" w:hint="eastAsia"/>
          <w:bCs/>
          <w:sz w:val="28"/>
          <w:szCs w:val="28"/>
        </w:rPr>
        <w:t>，计算机、通信和其他电子设备制造业下降</w:t>
      </w:r>
      <w:r>
        <w:rPr>
          <w:rFonts w:ascii="Arial" w:eastAsia="仿宋_GB2312" w:hAnsi="Arial" w:cs="Arial" w:hint="eastAsia"/>
          <w:bCs/>
          <w:sz w:val="28"/>
          <w:szCs w:val="28"/>
        </w:rPr>
        <w:t>8.9%</w:t>
      </w:r>
      <w:r>
        <w:rPr>
          <w:rFonts w:ascii="Arial" w:eastAsia="仿宋_GB2312" w:hAnsi="Arial" w:cs="Arial" w:hint="eastAsia"/>
          <w:bCs/>
          <w:sz w:val="28"/>
          <w:szCs w:val="28"/>
        </w:rPr>
        <w:t>，医药制造业下降</w:t>
      </w:r>
      <w:r>
        <w:rPr>
          <w:rFonts w:ascii="Arial" w:eastAsia="仿宋_GB2312" w:hAnsi="Arial" w:cs="Arial" w:hint="eastAsia"/>
          <w:bCs/>
          <w:sz w:val="28"/>
          <w:szCs w:val="28"/>
        </w:rPr>
        <w:t>43.7%</w:t>
      </w:r>
      <w:r>
        <w:rPr>
          <w:rFonts w:ascii="Arial" w:eastAsia="仿宋_GB2312" w:hAnsi="Arial" w:cs="Arial" w:hint="eastAsia"/>
          <w:bCs/>
          <w:sz w:val="28"/>
          <w:szCs w:val="28"/>
        </w:rPr>
        <w:t>（剔除新冠疫苗生产因素下降</w:t>
      </w:r>
      <w:r>
        <w:rPr>
          <w:rFonts w:ascii="Arial" w:eastAsia="仿宋_GB2312" w:hAnsi="Arial" w:cs="Arial" w:hint="eastAsia"/>
          <w:bCs/>
          <w:sz w:val="28"/>
          <w:szCs w:val="28"/>
        </w:rPr>
        <w:t>3.0%</w:t>
      </w:r>
      <w:r>
        <w:rPr>
          <w:rFonts w:ascii="Arial" w:eastAsia="仿宋_GB2312" w:hAnsi="Arial" w:cs="Arial" w:hint="eastAsia"/>
          <w:bCs/>
          <w:sz w:val="28"/>
          <w:szCs w:val="28"/>
        </w:rPr>
        <w:t>）。装备制造领域中，专用设备制造业，铁路、船舶、航空航天和其他运输设备制造业，电气机械和器材制造业，仪器仪表制造业分别增长</w:t>
      </w:r>
      <w:r>
        <w:rPr>
          <w:rFonts w:ascii="Arial" w:eastAsia="仿宋_GB2312" w:hAnsi="Arial" w:cs="Arial" w:hint="eastAsia"/>
          <w:bCs/>
          <w:sz w:val="28"/>
          <w:szCs w:val="28"/>
        </w:rPr>
        <w:t>25.7%</w:t>
      </w:r>
      <w:r>
        <w:rPr>
          <w:rFonts w:ascii="Arial" w:eastAsia="仿宋_GB2312" w:hAnsi="Arial" w:cs="Arial" w:hint="eastAsia"/>
          <w:bCs/>
          <w:sz w:val="28"/>
          <w:szCs w:val="28"/>
        </w:rPr>
        <w:t>、</w:t>
      </w:r>
      <w:r>
        <w:rPr>
          <w:rFonts w:ascii="Arial" w:eastAsia="仿宋_GB2312" w:hAnsi="Arial" w:cs="Arial" w:hint="eastAsia"/>
          <w:bCs/>
          <w:sz w:val="28"/>
          <w:szCs w:val="28"/>
        </w:rPr>
        <w:t>21.1%</w:t>
      </w:r>
      <w:r>
        <w:rPr>
          <w:rFonts w:ascii="Arial" w:eastAsia="仿宋_GB2312" w:hAnsi="Arial" w:cs="Arial" w:hint="eastAsia"/>
          <w:bCs/>
          <w:sz w:val="28"/>
          <w:szCs w:val="28"/>
        </w:rPr>
        <w:t>、</w:t>
      </w:r>
      <w:r>
        <w:rPr>
          <w:rFonts w:ascii="Arial" w:eastAsia="仿宋_GB2312" w:hAnsi="Arial" w:cs="Arial" w:hint="eastAsia"/>
          <w:bCs/>
          <w:sz w:val="28"/>
          <w:szCs w:val="28"/>
        </w:rPr>
        <w:t>10.3%</w:t>
      </w:r>
      <w:r>
        <w:rPr>
          <w:rFonts w:ascii="Arial" w:eastAsia="仿宋_GB2312" w:hAnsi="Arial" w:cs="Arial" w:hint="eastAsia"/>
          <w:bCs/>
          <w:sz w:val="28"/>
          <w:szCs w:val="28"/>
        </w:rPr>
        <w:t>和</w:t>
      </w:r>
      <w:r>
        <w:rPr>
          <w:rFonts w:ascii="Arial" w:eastAsia="仿宋_GB2312" w:hAnsi="Arial" w:cs="Arial" w:hint="eastAsia"/>
          <w:bCs/>
          <w:sz w:val="28"/>
          <w:szCs w:val="28"/>
        </w:rPr>
        <w:t>5.4%</w:t>
      </w:r>
      <w:r>
        <w:rPr>
          <w:rFonts w:ascii="Arial" w:eastAsia="仿宋_GB2312" w:hAnsi="Arial" w:cs="Arial" w:hint="eastAsia"/>
          <w:bCs/>
          <w:sz w:val="28"/>
          <w:szCs w:val="28"/>
        </w:rPr>
        <w:t>。部分高端或新兴领域产品生产较好，新能源汽车、环境污染防治专用设备、风力发电机组、工业自动调节仪表与控制系统产量分别增长</w:t>
      </w:r>
      <w:r>
        <w:rPr>
          <w:rFonts w:ascii="Arial" w:eastAsia="仿宋_GB2312" w:hAnsi="Arial" w:cs="Arial" w:hint="eastAsia"/>
          <w:bCs/>
          <w:sz w:val="28"/>
          <w:szCs w:val="28"/>
        </w:rPr>
        <w:t>1.2</w:t>
      </w:r>
      <w:r>
        <w:rPr>
          <w:rFonts w:ascii="Arial" w:eastAsia="仿宋_GB2312" w:hAnsi="Arial" w:cs="Arial" w:hint="eastAsia"/>
          <w:bCs/>
          <w:sz w:val="28"/>
          <w:szCs w:val="28"/>
        </w:rPr>
        <w:t>倍、</w:t>
      </w:r>
      <w:r>
        <w:rPr>
          <w:rFonts w:ascii="Arial" w:eastAsia="仿宋_GB2312" w:hAnsi="Arial" w:cs="Arial" w:hint="eastAsia"/>
          <w:bCs/>
          <w:sz w:val="28"/>
          <w:szCs w:val="28"/>
        </w:rPr>
        <w:t>44.0%</w:t>
      </w:r>
      <w:r>
        <w:rPr>
          <w:rFonts w:ascii="Arial" w:eastAsia="仿宋_GB2312" w:hAnsi="Arial" w:cs="Arial" w:hint="eastAsia"/>
          <w:bCs/>
          <w:sz w:val="28"/>
          <w:szCs w:val="28"/>
        </w:rPr>
        <w:t>、</w:t>
      </w:r>
      <w:r>
        <w:rPr>
          <w:rFonts w:ascii="Arial" w:eastAsia="仿宋_GB2312" w:hAnsi="Arial" w:cs="Arial" w:hint="eastAsia"/>
          <w:bCs/>
          <w:sz w:val="28"/>
          <w:szCs w:val="28"/>
        </w:rPr>
        <w:t>36.4%</w:t>
      </w:r>
      <w:r>
        <w:rPr>
          <w:rFonts w:ascii="Arial" w:eastAsia="仿宋_GB2312" w:hAnsi="Arial" w:cs="Arial" w:hint="eastAsia"/>
          <w:bCs/>
          <w:sz w:val="28"/>
          <w:szCs w:val="28"/>
        </w:rPr>
        <w:t>和</w:t>
      </w:r>
      <w:r>
        <w:rPr>
          <w:rFonts w:ascii="Arial" w:eastAsia="仿宋_GB2312" w:hAnsi="Arial" w:cs="Arial" w:hint="eastAsia"/>
          <w:bCs/>
          <w:sz w:val="28"/>
          <w:szCs w:val="28"/>
        </w:rPr>
        <w:t>19.0%</w:t>
      </w:r>
      <w:r>
        <w:rPr>
          <w:rFonts w:ascii="Arial" w:eastAsia="仿宋_GB2312" w:hAnsi="Arial" w:cs="Arial" w:hint="eastAsia"/>
          <w:bCs/>
          <w:sz w:val="28"/>
          <w:szCs w:val="28"/>
        </w:rPr>
        <w:t>。</w:t>
      </w:r>
    </w:p>
    <w:p w14:paraId="5BB59A8C"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）服务业总体向好，优势行业、接触性服务业共同带动</w:t>
      </w:r>
    </w:p>
    <w:p w14:paraId="60F6D768"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一季度，北京市第三产业增加值按不变价格计算，同比增长</w:t>
      </w:r>
      <w:r>
        <w:rPr>
          <w:rFonts w:ascii="Arial" w:eastAsia="仿宋_GB2312" w:hAnsi="Arial" w:cs="Arial" w:hint="eastAsia"/>
          <w:bCs/>
          <w:sz w:val="28"/>
          <w:szCs w:val="28"/>
        </w:rPr>
        <w:t>4.6%</w:t>
      </w:r>
      <w:r>
        <w:rPr>
          <w:rFonts w:ascii="Arial" w:eastAsia="仿宋_GB2312" w:hAnsi="Arial" w:cs="Arial" w:hint="eastAsia"/>
          <w:bCs/>
          <w:sz w:val="28"/>
          <w:szCs w:val="28"/>
        </w:rPr>
        <w:t>，比上年全年提高</w:t>
      </w:r>
      <w:r>
        <w:rPr>
          <w:rFonts w:ascii="Arial" w:eastAsia="仿宋_GB2312" w:hAnsi="Arial" w:cs="Arial" w:hint="eastAsia"/>
          <w:bCs/>
          <w:sz w:val="28"/>
          <w:szCs w:val="28"/>
        </w:rPr>
        <w:t>1.2</w:t>
      </w:r>
      <w:r>
        <w:rPr>
          <w:rFonts w:ascii="Arial" w:eastAsia="仿宋_GB2312" w:hAnsi="Arial" w:cs="Arial" w:hint="eastAsia"/>
          <w:bCs/>
          <w:sz w:val="28"/>
          <w:szCs w:val="28"/>
        </w:rPr>
        <w:t>个百分点。其中，信息传输、软件和信息技术服务业实现增加值</w:t>
      </w:r>
      <w:r>
        <w:rPr>
          <w:rFonts w:ascii="Arial" w:eastAsia="仿宋_GB2312" w:hAnsi="Arial" w:cs="Arial" w:hint="eastAsia"/>
          <w:bCs/>
          <w:sz w:val="28"/>
          <w:szCs w:val="28"/>
        </w:rPr>
        <w:t>2134.7</w:t>
      </w:r>
      <w:r>
        <w:rPr>
          <w:rFonts w:ascii="Arial" w:eastAsia="仿宋_GB2312" w:hAnsi="Arial" w:cs="Arial" w:hint="eastAsia"/>
          <w:bCs/>
          <w:sz w:val="28"/>
          <w:szCs w:val="28"/>
        </w:rPr>
        <w:t>亿元，增长</w:t>
      </w:r>
      <w:r>
        <w:rPr>
          <w:rFonts w:ascii="Arial" w:eastAsia="仿宋_GB2312" w:hAnsi="Arial" w:cs="Arial" w:hint="eastAsia"/>
          <w:bCs/>
          <w:sz w:val="28"/>
          <w:szCs w:val="28"/>
        </w:rPr>
        <w:t>12.0%</w:t>
      </w:r>
      <w:r>
        <w:rPr>
          <w:rFonts w:ascii="Arial" w:eastAsia="仿宋_GB2312" w:hAnsi="Arial" w:cs="Arial" w:hint="eastAsia"/>
          <w:bCs/>
          <w:sz w:val="28"/>
          <w:szCs w:val="28"/>
        </w:rPr>
        <w:t>；金融业实现增加值</w:t>
      </w:r>
      <w:r>
        <w:rPr>
          <w:rFonts w:ascii="Arial" w:eastAsia="仿宋_GB2312" w:hAnsi="Arial" w:cs="Arial" w:hint="eastAsia"/>
          <w:bCs/>
          <w:sz w:val="28"/>
          <w:szCs w:val="28"/>
        </w:rPr>
        <w:t>2070.2</w:t>
      </w:r>
      <w:r>
        <w:rPr>
          <w:rFonts w:ascii="Arial" w:eastAsia="仿宋_GB2312" w:hAnsi="Arial" w:cs="Arial" w:hint="eastAsia"/>
          <w:bCs/>
          <w:sz w:val="28"/>
          <w:szCs w:val="28"/>
        </w:rPr>
        <w:t>亿元，增长</w:t>
      </w:r>
      <w:r>
        <w:rPr>
          <w:rFonts w:ascii="Arial" w:eastAsia="仿宋_GB2312" w:hAnsi="Arial" w:cs="Arial" w:hint="eastAsia"/>
          <w:bCs/>
          <w:sz w:val="28"/>
          <w:szCs w:val="28"/>
        </w:rPr>
        <w:t>6.1%</w:t>
      </w:r>
      <w:r>
        <w:rPr>
          <w:rFonts w:ascii="Arial" w:eastAsia="仿宋_GB2312" w:hAnsi="Arial" w:cs="Arial" w:hint="eastAsia"/>
          <w:bCs/>
          <w:sz w:val="28"/>
          <w:szCs w:val="28"/>
        </w:rPr>
        <w:t>；交通运输、仓储和邮政业实现增加值</w:t>
      </w:r>
      <w:r>
        <w:rPr>
          <w:rFonts w:ascii="Arial" w:eastAsia="仿宋_GB2312" w:hAnsi="Arial" w:cs="Arial" w:hint="eastAsia"/>
          <w:bCs/>
          <w:sz w:val="28"/>
          <w:szCs w:val="28"/>
        </w:rPr>
        <w:t>204.7</w:t>
      </w:r>
      <w:r>
        <w:rPr>
          <w:rFonts w:ascii="Arial" w:eastAsia="仿宋_GB2312" w:hAnsi="Arial" w:cs="Arial" w:hint="eastAsia"/>
          <w:bCs/>
          <w:sz w:val="28"/>
          <w:szCs w:val="28"/>
        </w:rPr>
        <w:t>亿元，增长</w:t>
      </w:r>
      <w:r>
        <w:rPr>
          <w:rFonts w:ascii="Arial" w:eastAsia="仿宋_GB2312" w:hAnsi="Arial" w:cs="Arial" w:hint="eastAsia"/>
          <w:bCs/>
          <w:sz w:val="28"/>
          <w:szCs w:val="28"/>
        </w:rPr>
        <w:t>6.9%</w:t>
      </w:r>
      <w:r>
        <w:rPr>
          <w:rFonts w:ascii="Arial" w:eastAsia="仿宋_GB2312" w:hAnsi="Arial" w:cs="Arial" w:hint="eastAsia"/>
          <w:bCs/>
          <w:sz w:val="28"/>
          <w:szCs w:val="28"/>
        </w:rPr>
        <w:t>；文化、体育和娱乐业实现增加值</w:t>
      </w:r>
      <w:r>
        <w:rPr>
          <w:rFonts w:ascii="Arial" w:eastAsia="仿宋_GB2312" w:hAnsi="Arial" w:cs="Arial" w:hint="eastAsia"/>
          <w:bCs/>
          <w:sz w:val="28"/>
          <w:szCs w:val="28"/>
        </w:rPr>
        <w:t>196.6</w:t>
      </w:r>
      <w:r>
        <w:rPr>
          <w:rFonts w:ascii="Arial" w:eastAsia="仿宋_GB2312" w:hAnsi="Arial" w:cs="Arial" w:hint="eastAsia"/>
          <w:bCs/>
          <w:sz w:val="28"/>
          <w:szCs w:val="28"/>
        </w:rPr>
        <w:t>亿元，增长</w:t>
      </w:r>
      <w:r>
        <w:rPr>
          <w:rFonts w:ascii="Arial" w:eastAsia="仿宋_GB2312" w:hAnsi="Arial" w:cs="Arial" w:hint="eastAsia"/>
          <w:bCs/>
          <w:sz w:val="28"/>
          <w:szCs w:val="28"/>
        </w:rPr>
        <w:t>3.6%</w:t>
      </w:r>
      <w:r>
        <w:rPr>
          <w:rFonts w:ascii="Arial" w:eastAsia="仿宋_GB2312" w:hAnsi="Arial" w:cs="Arial" w:hint="eastAsia"/>
          <w:bCs/>
          <w:sz w:val="28"/>
          <w:szCs w:val="28"/>
        </w:rPr>
        <w:t>；住宿和餐饮业实现增加值</w:t>
      </w:r>
      <w:r>
        <w:rPr>
          <w:rFonts w:ascii="Arial" w:eastAsia="仿宋_GB2312" w:hAnsi="Arial" w:cs="Arial" w:hint="eastAsia"/>
          <w:bCs/>
          <w:sz w:val="28"/>
          <w:szCs w:val="28"/>
        </w:rPr>
        <w:t>101.7</w:t>
      </w:r>
      <w:r>
        <w:rPr>
          <w:rFonts w:ascii="Arial" w:eastAsia="仿宋_GB2312" w:hAnsi="Arial" w:cs="Arial" w:hint="eastAsia"/>
          <w:bCs/>
          <w:sz w:val="28"/>
          <w:szCs w:val="28"/>
        </w:rPr>
        <w:t>亿元，增长</w:t>
      </w:r>
      <w:r>
        <w:rPr>
          <w:rFonts w:ascii="Arial" w:eastAsia="仿宋_GB2312" w:hAnsi="Arial" w:cs="Arial" w:hint="eastAsia"/>
          <w:bCs/>
          <w:sz w:val="28"/>
          <w:szCs w:val="28"/>
        </w:rPr>
        <w:t>11.6%</w:t>
      </w:r>
      <w:r>
        <w:rPr>
          <w:rFonts w:ascii="Arial" w:eastAsia="仿宋_GB2312" w:hAnsi="Arial" w:cs="Arial" w:hint="eastAsia"/>
          <w:bCs/>
          <w:sz w:val="28"/>
          <w:szCs w:val="28"/>
        </w:rPr>
        <w:t>。</w:t>
      </w:r>
    </w:p>
    <w:p w14:paraId="78B295DB"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）固定资产投资较快增长，高技术产业投资显现活力</w:t>
      </w:r>
    </w:p>
    <w:p w14:paraId="762BF408"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一季度，北京市固定资产投资（不含农户）同比增长</w:t>
      </w:r>
      <w:r>
        <w:rPr>
          <w:rFonts w:ascii="Arial" w:eastAsia="仿宋_GB2312" w:hAnsi="Arial" w:cs="Arial" w:hint="eastAsia"/>
          <w:bCs/>
          <w:sz w:val="28"/>
          <w:szCs w:val="28"/>
        </w:rPr>
        <w:t>9.6%</w:t>
      </w:r>
      <w:r>
        <w:rPr>
          <w:rFonts w:ascii="Arial" w:eastAsia="仿宋_GB2312" w:hAnsi="Arial" w:cs="Arial" w:hint="eastAsia"/>
          <w:bCs/>
          <w:sz w:val="28"/>
          <w:szCs w:val="28"/>
        </w:rPr>
        <w:t>，比上年全年提高</w:t>
      </w:r>
      <w:r>
        <w:rPr>
          <w:rFonts w:ascii="Arial" w:eastAsia="仿宋_GB2312" w:hAnsi="Arial" w:cs="Arial" w:hint="eastAsia"/>
          <w:bCs/>
          <w:sz w:val="28"/>
          <w:szCs w:val="28"/>
        </w:rPr>
        <w:t>6.0</w:t>
      </w:r>
      <w:r>
        <w:rPr>
          <w:rFonts w:ascii="Arial" w:eastAsia="仿宋_GB2312" w:hAnsi="Arial" w:cs="Arial" w:hint="eastAsia"/>
          <w:bCs/>
          <w:sz w:val="28"/>
          <w:szCs w:val="28"/>
        </w:rPr>
        <w:t>个百分点。分领域看，基础设施投资下降</w:t>
      </w:r>
      <w:r>
        <w:rPr>
          <w:rFonts w:ascii="Arial" w:eastAsia="仿宋_GB2312" w:hAnsi="Arial" w:cs="Arial" w:hint="eastAsia"/>
          <w:bCs/>
          <w:sz w:val="28"/>
          <w:szCs w:val="28"/>
        </w:rPr>
        <w:t>1.1%</w:t>
      </w:r>
      <w:r>
        <w:rPr>
          <w:rFonts w:ascii="Arial" w:eastAsia="仿宋_GB2312" w:hAnsi="Arial" w:cs="Arial" w:hint="eastAsia"/>
          <w:bCs/>
          <w:sz w:val="28"/>
          <w:szCs w:val="28"/>
        </w:rPr>
        <w:t>，制造业投</w:t>
      </w:r>
      <w:r>
        <w:rPr>
          <w:rFonts w:ascii="Arial" w:eastAsia="仿宋_GB2312" w:hAnsi="Arial" w:cs="Arial" w:hint="eastAsia"/>
          <w:bCs/>
          <w:sz w:val="28"/>
          <w:szCs w:val="28"/>
        </w:rPr>
        <w:lastRenderedPageBreak/>
        <w:t>资增长</w:t>
      </w:r>
      <w:r>
        <w:rPr>
          <w:rFonts w:ascii="Arial" w:eastAsia="仿宋_GB2312" w:hAnsi="Arial" w:cs="Arial" w:hint="eastAsia"/>
          <w:bCs/>
          <w:sz w:val="28"/>
          <w:szCs w:val="28"/>
        </w:rPr>
        <w:t>26.0%</w:t>
      </w:r>
      <w:r>
        <w:rPr>
          <w:rFonts w:ascii="Arial" w:eastAsia="仿宋_GB2312" w:hAnsi="Arial" w:cs="Arial" w:hint="eastAsia"/>
          <w:bCs/>
          <w:sz w:val="28"/>
          <w:szCs w:val="28"/>
        </w:rPr>
        <w:t>，房地产开发投资增长</w:t>
      </w:r>
      <w:r>
        <w:rPr>
          <w:rFonts w:ascii="Arial" w:eastAsia="仿宋_GB2312" w:hAnsi="Arial" w:cs="Arial" w:hint="eastAsia"/>
          <w:bCs/>
          <w:sz w:val="28"/>
          <w:szCs w:val="28"/>
        </w:rPr>
        <w:t>9.8%</w:t>
      </w:r>
      <w:r>
        <w:rPr>
          <w:rFonts w:ascii="Arial" w:eastAsia="仿宋_GB2312" w:hAnsi="Arial" w:cs="Arial" w:hint="eastAsia"/>
          <w:bCs/>
          <w:sz w:val="28"/>
          <w:szCs w:val="28"/>
        </w:rPr>
        <w:t>。分产业看，第一产业投资增长</w:t>
      </w:r>
      <w:r>
        <w:rPr>
          <w:rFonts w:ascii="Arial" w:eastAsia="仿宋_GB2312" w:hAnsi="Arial" w:cs="Arial" w:hint="eastAsia"/>
          <w:bCs/>
          <w:sz w:val="28"/>
          <w:szCs w:val="28"/>
        </w:rPr>
        <w:t>0.3%</w:t>
      </w:r>
      <w:r>
        <w:rPr>
          <w:rFonts w:ascii="Arial" w:eastAsia="仿宋_GB2312" w:hAnsi="Arial" w:cs="Arial" w:hint="eastAsia"/>
          <w:bCs/>
          <w:sz w:val="28"/>
          <w:szCs w:val="28"/>
        </w:rPr>
        <w:t>，第二产业投资增长</w:t>
      </w:r>
      <w:r>
        <w:rPr>
          <w:rFonts w:ascii="Arial" w:eastAsia="仿宋_GB2312" w:hAnsi="Arial" w:cs="Arial" w:hint="eastAsia"/>
          <w:bCs/>
          <w:sz w:val="28"/>
          <w:szCs w:val="28"/>
        </w:rPr>
        <w:t>13.0%</w:t>
      </w:r>
      <w:r>
        <w:rPr>
          <w:rFonts w:ascii="Arial" w:eastAsia="仿宋_GB2312" w:hAnsi="Arial" w:cs="Arial" w:hint="eastAsia"/>
          <w:bCs/>
          <w:sz w:val="28"/>
          <w:szCs w:val="28"/>
        </w:rPr>
        <w:t>，第三产业投资增长</w:t>
      </w:r>
      <w:r>
        <w:rPr>
          <w:rFonts w:ascii="Arial" w:eastAsia="仿宋_GB2312" w:hAnsi="Arial" w:cs="Arial" w:hint="eastAsia"/>
          <w:bCs/>
          <w:sz w:val="28"/>
          <w:szCs w:val="28"/>
        </w:rPr>
        <w:t>9.2%</w:t>
      </w:r>
      <w:r>
        <w:rPr>
          <w:rFonts w:ascii="Arial" w:eastAsia="仿宋_GB2312" w:hAnsi="Arial" w:cs="Arial" w:hint="eastAsia"/>
          <w:bCs/>
          <w:sz w:val="28"/>
          <w:szCs w:val="28"/>
        </w:rPr>
        <w:t>。高技术产业投资显现活力，高技术制造业投资增长</w:t>
      </w:r>
      <w:r>
        <w:rPr>
          <w:rFonts w:ascii="Arial" w:eastAsia="仿宋_GB2312" w:hAnsi="Arial" w:cs="Arial" w:hint="eastAsia"/>
          <w:bCs/>
          <w:sz w:val="28"/>
          <w:szCs w:val="28"/>
        </w:rPr>
        <w:t>22.0%</w:t>
      </w:r>
      <w:r>
        <w:rPr>
          <w:rFonts w:ascii="Arial" w:eastAsia="仿宋_GB2312" w:hAnsi="Arial" w:cs="Arial" w:hint="eastAsia"/>
          <w:bCs/>
          <w:sz w:val="28"/>
          <w:szCs w:val="28"/>
        </w:rPr>
        <w:t>，其中，汽车制造业，计算机、通信和其他电子设备制造业，医药制造业分别增长</w:t>
      </w:r>
      <w:r>
        <w:rPr>
          <w:rFonts w:ascii="Arial" w:eastAsia="仿宋_GB2312" w:hAnsi="Arial" w:cs="Arial" w:hint="eastAsia"/>
          <w:bCs/>
          <w:sz w:val="28"/>
          <w:szCs w:val="28"/>
        </w:rPr>
        <w:t>62.7%</w:t>
      </w:r>
      <w:r>
        <w:rPr>
          <w:rFonts w:ascii="Arial" w:eastAsia="仿宋_GB2312" w:hAnsi="Arial" w:cs="Arial" w:hint="eastAsia"/>
          <w:bCs/>
          <w:sz w:val="28"/>
          <w:szCs w:val="28"/>
        </w:rPr>
        <w:t>、</w:t>
      </w:r>
      <w:r>
        <w:rPr>
          <w:rFonts w:ascii="Arial" w:eastAsia="仿宋_GB2312" w:hAnsi="Arial" w:cs="Arial" w:hint="eastAsia"/>
          <w:bCs/>
          <w:sz w:val="28"/>
          <w:szCs w:val="28"/>
        </w:rPr>
        <w:t>21.8%</w:t>
      </w:r>
      <w:r>
        <w:rPr>
          <w:rFonts w:ascii="Arial" w:eastAsia="仿宋_GB2312" w:hAnsi="Arial" w:cs="Arial" w:hint="eastAsia"/>
          <w:bCs/>
          <w:sz w:val="28"/>
          <w:szCs w:val="28"/>
        </w:rPr>
        <w:t>和</w:t>
      </w:r>
      <w:r>
        <w:rPr>
          <w:rFonts w:ascii="Arial" w:eastAsia="仿宋_GB2312" w:hAnsi="Arial" w:cs="Arial" w:hint="eastAsia"/>
          <w:bCs/>
          <w:sz w:val="28"/>
          <w:szCs w:val="28"/>
        </w:rPr>
        <w:t>12.1%</w:t>
      </w:r>
      <w:r>
        <w:rPr>
          <w:rFonts w:ascii="Arial" w:eastAsia="仿宋_GB2312" w:hAnsi="Arial" w:cs="Arial" w:hint="eastAsia"/>
          <w:bCs/>
          <w:sz w:val="28"/>
          <w:szCs w:val="28"/>
        </w:rPr>
        <w:t>；高技术服务业投资增长</w:t>
      </w:r>
      <w:r>
        <w:rPr>
          <w:rFonts w:ascii="Arial" w:eastAsia="仿宋_GB2312" w:hAnsi="Arial" w:cs="Arial" w:hint="eastAsia"/>
          <w:bCs/>
          <w:sz w:val="28"/>
          <w:szCs w:val="28"/>
        </w:rPr>
        <w:t>42.6%</w:t>
      </w:r>
      <w:r>
        <w:rPr>
          <w:rFonts w:ascii="Arial" w:eastAsia="仿宋_GB2312" w:hAnsi="Arial" w:cs="Arial" w:hint="eastAsia"/>
          <w:bCs/>
          <w:sz w:val="28"/>
          <w:szCs w:val="28"/>
        </w:rPr>
        <w:t>，其中，科学研究和技术服务业、租赁和商务服务业分别增长</w:t>
      </w:r>
      <w:r>
        <w:rPr>
          <w:rFonts w:ascii="Arial" w:eastAsia="仿宋_GB2312" w:hAnsi="Arial" w:cs="Arial" w:hint="eastAsia"/>
          <w:bCs/>
          <w:sz w:val="28"/>
          <w:szCs w:val="28"/>
        </w:rPr>
        <w:t>1.6</w:t>
      </w:r>
      <w:r>
        <w:rPr>
          <w:rFonts w:ascii="Arial" w:eastAsia="仿宋_GB2312" w:hAnsi="Arial" w:cs="Arial" w:hint="eastAsia"/>
          <w:bCs/>
          <w:sz w:val="28"/>
          <w:szCs w:val="28"/>
        </w:rPr>
        <w:t>倍和</w:t>
      </w:r>
      <w:r>
        <w:rPr>
          <w:rFonts w:ascii="Arial" w:eastAsia="仿宋_GB2312" w:hAnsi="Arial" w:cs="Arial" w:hint="eastAsia"/>
          <w:bCs/>
          <w:sz w:val="28"/>
          <w:szCs w:val="28"/>
        </w:rPr>
        <w:t>18.8%</w:t>
      </w:r>
      <w:r>
        <w:rPr>
          <w:rFonts w:ascii="Arial" w:eastAsia="仿宋_GB2312" w:hAnsi="Arial" w:cs="Arial" w:hint="eastAsia"/>
          <w:bCs/>
          <w:sz w:val="28"/>
          <w:szCs w:val="28"/>
        </w:rPr>
        <w:t>。</w:t>
      </w:r>
    </w:p>
    <w:p w14:paraId="0F3DD251"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一季度，北京市房屋施工面积</w:t>
      </w:r>
      <w:r>
        <w:rPr>
          <w:rFonts w:ascii="Arial" w:eastAsia="仿宋_GB2312" w:hAnsi="Arial" w:cs="Arial" w:hint="eastAsia"/>
          <w:bCs/>
          <w:sz w:val="28"/>
          <w:szCs w:val="28"/>
        </w:rPr>
        <w:t>11642.1</w:t>
      </w:r>
      <w:r>
        <w:rPr>
          <w:rFonts w:ascii="Arial" w:eastAsia="仿宋_GB2312" w:hAnsi="Arial" w:cs="Arial" w:hint="eastAsia"/>
          <w:bCs/>
          <w:sz w:val="28"/>
          <w:szCs w:val="28"/>
        </w:rPr>
        <w:t>万平方米，同比下降</w:t>
      </w:r>
      <w:r>
        <w:rPr>
          <w:rFonts w:ascii="Arial" w:eastAsia="仿宋_GB2312" w:hAnsi="Arial" w:cs="Arial" w:hint="eastAsia"/>
          <w:bCs/>
          <w:sz w:val="28"/>
          <w:szCs w:val="28"/>
        </w:rPr>
        <w:t>1.1%</w:t>
      </w:r>
      <w:r>
        <w:rPr>
          <w:rFonts w:ascii="Arial" w:eastAsia="仿宋_GB2312" w:hAnsi="Arial" w:cs="Arial" w:hint="eastAsia"/>
          <w:bCs/>
          <w:sz w:val="28"/>
          <w:szCs w:val="28"/>
        </w:rPr>
        <w:t>，其中住宅施工面积</w:t>
      </w:r>
      <w:r>
        <w:rPr>
          <w:rFonts w:ascii="Arial" w:eastAsia="仿宋_GB2312" w:hAnsi="Arial" w:cs="Arial" w:hint="eastAsia"/>
          <w:bCs/>
          <w:sz w:val="28"/>
          <w:szCs w:val="28"/>
        </w:rPr>
        <w:t>5758.3</w:t>
      </w:r>
      <w:r>
        <w:rPr>
          <w:rFonts w:ascii="Arial" w:eastAsia="仿宋_GB2312" w:hAnsi="Arial" w:cs="Arial" w:hint="eastAsia"/>
          <w:bCs/>
          <w:sz w:val="28"/>
          <w:szCs w:val="28"/>
        </w:rPr>
        <w:t>万平方米，下降</w:t>
      </w:r>
      <w:r>
        <w:rPr>
          <w:rFonts w:ascii="Arial" w:eastAsia="仿宋_GB2312" w:hAnsi="Arial" w:cs="Arial" w:hint="eastAsia"/>
          <w:bCs/>
          <w:sz w:val="28"/>
          <w:szCs w:val="28"/>
        </w:rPr>
        <w:t>0.4%</w:t>
      </w:r>
      <w:r>
        <w:rPr>
          <w:rFonts w:ascii="Arial" w:eastAsia="仿宋_GB2312" w:hAnsi="Arial" w:cs="Arial" w:hint="eastAsia"/>
          <w:bCs/>
          <w:sz w:val="28"/>
          <w:szCs w:val="28"/>
        </w:rPr>
        <w:t>。全市商品房销售面积</w:t>
      </w:r>
      <w:r>
        <w:rPr>
          <w:rFonts w:ascii="Arial" w:eastAsia="仿宋_GB2312" w:hAnsi="Arial" w:cs="Arial" w:hint="eastAsia"/>
          <w:bCs/>
          <w:sz w:val="28"/>
          <w:szCs w:val="28"/>
        </w:rPr>
        <w:t>218.6</w:t>
      </w:r>
      <w:r>
        <w:rPr>
          <w:rFonts w:ascii="Arial" w:eastAsia="仿宋_GB2312" w:hAnsi="Arial" w:cs="Arial" w:hint="eastAsia"/>
          <w:bCs/>
          <w:sz w:val="28"/>
          <w:szCs w:val="28"/>
        </w:rPr>
        <w:t>万平方米，同比增长</w:t>
      </w:r>
      <w:r>
        <w:rPr>
          <w:rFonts w:ascii="Arial" w:eastAsia="仿宋_GB2312" w:hAnsi="Arial" w:cs="Arial" w:hint="eastAsia"/>
          <w:bCs/>
          <w:sz w:val="28"/>
          <w:szCs w:val="28"/>
        </w:rPr>
        <w:t>13.5%</w:t>
      </w:r>
      <w:r>
        <w:rPr>
          <w:rFonts w:ascii="Arial" w:eastAsia="仿宋_GB2312" w:hAnsi="Arial" w:cs="Arial" w:hint="eastAsia"/>
          <w:bCs/>
          <w:sz w:val="28"/>
          <w:szCs w:val="28"/>
        </w:rPr>
        <w:t>，其中住宅销售面积</w:t>
      </w:r>
      <w:r>
        <w:rPr>
          <w:rFonts w:ascii="Arial" w:eastAsia="仿宋_GB2312" w:hAnsi="Arial" w:cs="Arial" w:hint="eastAsia"/>
          <w:bCs/>
          <w:sz w:val="28"/>
          <w:szCs w:val="28"/>
        </w:rPr>
        <w:t>147.3</w:t>
      </w:r>
      <w:r>
        <w:rPr>
          <w:rFonts w:ascii="Arial" w:eastAsia="仿宋_GB2312" w:hAnsi="Arial" w:cs="Arial" w:hint="eastAsia"/>
          <w:bCs/>
          <w:sz w:val="28"/>
          <w:szCs w:val="28"/>
        </w:rPr>
        <w:t>万平方米，增长</w:t>
      </w:r>
      <w:r>
        <w:rPr>
          <w:rFonts w:ascii="Arial" w:eastAsia="仿宋_GB2312" w:hAnsi="Arial" w:cs="Arial" w:hint="eastAsia"/>
          <w:bCs/>
          <w:sz w:val="28"/>
          <w:szCs w:val="28"/>
        </w:rPr>
        <w:t>7.1%</w:t>
      </w:r>
      <w:r>
        <w:rPr>
          <w:rFonts w:ascii="Arial" w:eastAsia="仿宋_GB2312" w:hAnsi="Arial" w:cs="Arial" w:hint="eastAsia"/>
          <w:bCs/>
          <w:sz w:val="28"/>
          <w:szCs w:val="28"/>
        </w:rPr>
        <w:t>。</w:t>
      </w:r>
    </w:p>
    <w:p w14:paraId="51BA2732"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）市场消费持续恢复，升级类商品增长较快</w:t>
      </w:r>
    </w:p>
    <w:p w14:paraId="6D7E84B9"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一季度，北京市市场总消费额同比增长</w:t>
      </w:r>
      <w:r>
        <w:rPr>
          <w:rFonts w:ascii="Arial" w:eastAsia="仿宋_GB2312" w:hAnsi="Arial" w:cs="Arial" w:hint="eastAsia"/>
          <w:bCs/>
          <w:sz w:val="28"/>
          <w:szCs w:val="28"/>
        </w:rPr>
        <w:t>2.8%</w:t>
      </w:r>
      <w:r>
        <w:rPr>
          <w:rFonts w:ascii="Arial" w:eastAsia="仿宋_GB2312" w:hAnsi="Arial" w:cs="Arial" w:hint="eastAsia"/>
          <w:bCs/>
          <w:sz w:val="28"/>
          <w:szCs w:val="28"/>
        </w:rPr>
        <w:t>。其中，服务性消费额增长</w:t>
      </w:r>
      <w:r>
        <w:rPr>
          <w:rFonts w:ascii="Arial" w:eastAsia="仿宋_GB2312" w:hAnsi="Arial" w:cs="Arial" w:hint="eastAsia"/>
          <w:bCs/>
          <w:sz w:val="28"/>
          <w:szCs w:val="28"/>
        </w:rPr>
        <w:t>5.7%</w:t>
      </w:r>
      <w:r>
        <w:rPr>
          <w:rFonts w:ascii="Arial" w:eastAsia="仿宋_GB2312" w:hAnsi="Arial" w:cs="Arial" w:hint="eastAsia"/>
          <w:bCs/>
          <w:sz w:val="28"/>
          <w:szCs w:val="28"/>
        </w:rPr>
        <w:t>；实现社会消费品零售总额</w:t>
      </w:r>
      <w:r>
        <w:rPr>
          <w:rFonts w:ascii="Arial" w:eastAsia="仿宋_GB2312" w:hAnsi="Arial" w:cs="Arial" w:hint="eastAsia"/>
          <w:bCs/>
          <w:sz w:val="28"/>
          <w:szCs w:val="28"/>
        </w:rPr>
        <w:t>3558.0</w:t>
      </w:r>
      <w:r>
        <w:rPr>
          <w:rFonts w:ascii="Arial" w:eastAsia="仿宋_GB2312" w:hAnsi="Arial" w:cs="Arial" w:hint="eastAsia"/>
          <w:bCs/>
          <w:sz w:val="28"/>
          <w:szCs w:val="28"/>
        </w:rPr>
        <w:t>亿元，下降</w:t>
      </w:r>
      <w:r>
        <w:rPr>
          <w:rFonts w:ascii="Arial" w:eastAsia="仿宋_GB2312" w:hAnsi="Arial" w:cs="Arial" w:hint="eastAsia"/>
          <w:bCs/>
          <w:sz w:val="28"/>
          <w:szCs w:val="28"/>
        </w:rPr>
        <w:t>0.7%</w:t>
      </w:r>
      <w:r>
        <w:rPr>
          <w:rFonts w:ascii="Arial" w:eastAsia="仿宋_GB2312" w:hAnsi="Arial" w:cs="Arial" w:hint="eastAsia"/>
          <w:bCs/>
          <w:sz w:val="28"/>
          <w:szCs w:val="28"/>
        </w:rPr>
        <w:t>，其中</w:t>
      </w:r>
      <w:r>
        <w:rPr>
          <w:rFonts w:ascii="Arial" w:eastAsia="仿宋_GB2312" w:hAnsi="Arial" w:cs="Arial" w:hint="eastAsia"/>
          <w:bCs/>
          <w:sz w:val="28"/>
          <w:szCs w:val="28"/>
        </w:rPr>
        <w:t>3</w:t>
      </w:r>
      <w:r>
        <w:rPr>
          <w:rFonts w:ascii="Arial" w:eastAsia="仿宋_GB2312" w:hAnsi="Arial" w:cs="Arial" w:hint="eastAsia"/>
          <w:bCs/>
          <w:sz w:val="28"/>
          <w:szCs w:val="28"/>
        </w:rPr>
        <w:t>月份增长</w:t>
      </w:r>
      <w:r>
        <w:rPr>
          <w:rFonts w:ascii="Arial" w:eastAsia="仿宋_GB2312" w:hAnsi="Arial" w:cs="Arial" w:hint="eastAsia"/>
          <w:bCs/>
          <w:sz w:val="28"/>
          <w:szCs w:val="28"/>
        </w:rPr>
        <w:t>7.5%</w:t>
      </w:r>
      <w:r>
        <w:rPr>
          <w:rFonts w:ascii="Arial" w:eastAsia="仿宋_GB2312" w:hAnsi="Arial" w:cs="Arial" w:hint="eastAsia"/>
          <w:bCs/>
          <w:sz w:val="28"/>
          <w:szCs w:val="28"/>
        </w:rPr>
        <w:t>。社会消费品零售总额中，按消费形态分，商品零售</w:t>
      </w:r>
      <w:r>
        <w:rPr>
          <w:rFonts w:ascii="Arial" w:eastAsia="仿宋_GB2312" w:hAnsi="Arial" w:cs="Arial" w:hint="eastAsia"/>
          <w:bCs/>
          <w:sz w:val="28"/>
          <w:szCs w:val="28"/>
        </w:rPr>
        <w:t>3246.4</w:t>
      </w:r>
      <w:r>
        <w:rPr>
          <w:rFonts w:ascii="Arial" w:eastAsia="仿宋_GB2312" w:hAnsi="Arial" w:cs="Arial" w:hint="eastAsia"/>
          <w:bCs/>
          <w:sz w:val="28"/>
          <w:szCs w:val="28"/>
        </w:rPr>
        <w:t>亿元，下降</w:t>
      </w:r>
      <w:r>
        <w:rPr>
          <w:rFonts w:ascii="Arial" w:eastAsia="仿宋_GB2312" w:hAnsi="Arial" w:cs="Arial" w:hint="eastAsia"/>
          <w:bCs/>
          <w:sz w:val="28"/>
          <w:szCs w:val="28"/>
        </w:rPr>
        <w:t>1.9%</w:t>
      </w:r>
      <w:r>
        <w:rPr>
          <w:rFonts w:ascii="Arial" w:eastAsia="仿宋_GB2312" w:hAnsi="Arial" w:cs="Arial" w:hint="eastAsia"/>
          <w:bCs/>
          <w:sz w:val="28"/>
          <w:szCs w:val="28"/>
        </w:rPr>
        <w:t>，餐饮收入</w:t>
      </w:r>
      <w:r>
        <w:rPr>
          <w:rFonts w:ascii="Arial" w:eastAsia="仿宋_GB2312" w:hAnsi="Arial" w:cs="Arial" w:hint="eastAsia"/>
          <w:bCs/>
          <w:sz w:val="28"/>
          <w:szCs w:val="28"/>
        </w:rPr>
        <w:t>311.6</w:t>
      </w:r>
      <w:r>
        <w:rPr>
          <w:rFonts w:ascii="Arial" w:eastAsia="仿宋_GB2312" w:hAnsi="Arial" w:cs="Arial" w:hint="eastAsia"/>
          <w:bCs/>
          <w:sz w:val="28"/>
          <w:szCs w:val="28"/>
        </w:rPr>
        <w:t>亿元，增长</w:t>
      </w:r>
      <w:r>
        <w:rPr>
          <w:rFonts w:ascii="Arial" w:eastAsia="仿宋_GB2312" w:hAnsi="Arial" w:cs="Arial" w:hint="eastAsia"/>
          <w:bCs/>
          <w:sz w:val="28"/>
          <w:szCs w:val="28"/>
        </w:rPr>
        <w:t>13.5%</w:t>
      </w:r>
      <w:r>
        <w:rPr>
          <w:rFonts w:ascii="Arial" w:eastAsia="仿宋_GB2312" w:hAnsi="Arial" w:cs="Arial" w:hint="eastAsia"/>
          <w:bCs/>
          <w:sz w:val="28"/>
          <w:szCs w:val="28"/>
        </w:rPr>
        <w:t>。按商品类别分，限额以上批发和零售业中，与升级类消费相关的金银珠宝类、体育娱乐用品类、化妆品类商品零售额分别增长</w:t>
      </w:r>
      <w:r>
        <w:rPr>
          <w:rFonts w:ascii="Arial" w:eastAsia="仿宋_GB2312" w:hAnsi="Arial" w:cs="Arial" w:hint="eastAsia"/>
          <w:bCs/>
          <w:sz w:val="28"/>
          <w:szCs w:val="28"/>
        </w:rPr>
        <w:t>26.9%</w:t>
      </w:r>
      <w:r>
        <w:rPr>
          <w:rFonts w:ascii="Arial" w:eastAsia="仿宋_GB2312" w:hAnsi="Arial" w:cs="Arial" w:hint="eastAsia"/>
          <w:bCs/>
          <w:sz w:val="28"/>
          <w:szCs w:val="28"/>
        </w:rPr>
        <w:t>、</w:t>
      </w:r>
      <w:r>
        <w:rPr>
          <w:rFonts w:ascii="Arial" w:eastAsia="仿宋_GB2312" w:hAnsi="Arial" w:cs="Arial" w:hint="eastAsia"/>
          <w:bCs/>
          <w:sz w:val="28"/>
          <w:szCs w:val="28"/>
        </w:rPr>
        <w:t>21.1%</w:t>
      </w:r>
      <w:r>
        <w:rPr>
          <w:rFonts w:ascii="Arial" w:eastAsia="仿宋_GB2312" w:hAnsi="Arial" w:cs="Arial" w:hint="eastAsia"/>
          <w:bCs/>
          <w:sz w:val="28"/>
          <w:szCs w:val="28"/>
        </w:rPr>
        <w:t>和</w:t>
      </w:r>
      <w:r>
        <w:rPr>
          <w:rFonts w:ascii="Arial" w:eastAsia="仿宋_GB2312" w:hAnsi="Arial" w:cs="Arial" w:hint="eastAsia"/>
          <w:bCs/>
          <w:sz w:val="28"/>
          <w:szCs w:val="28"/>
        </w:rPr>
        <w:t>8.1%</w:t>
      </w:r>
      <w:r>
        <w:rPr>
          <w:rFonts w:ascii="Arial" w:eastAsia="仿宋_GB2312" w:hAnsi="Arial" w:cs="Arial" w:hint="eastAsia"/>
          <w:bCs/>
          <w:sz w:val="28"/>
          <w:szCs w:val="28"/>
        </w:rPr>
        <w:t>，汽车类商品零售额下降</w:t>
      </w:r>
      <w:r>
        <w:rPr>
          <w:rFonts w:ascii="Arial" w:eastAsia="仿宋_GB2312" w:hAnsi="Arial" w:cs="Arial" w:hint="eastAsia"/>
          <w:bCs/>
          <w:sz w:val="28"/>
          <w:szCs w:val="28"/>
        </w:rPr>
        <w:t>1.0%</w:t>
      </w:r>
      <w:r>
        <w:rPr>
          <w:rFonts w:ascii="Arial" w:eastAsia="仿宋_GB2312" w:hAnsi="Arial" w:cs="Arial" w:hint="eastAsia"/>
          <w:bCs/>
          <w:sz w:val="28"/>
          <w:szCs w:val="28"/>
        </w:rPr>
        <w:t>，其中新能源汽车增长</w:t>
      </w:r>
      <w:r>
        <w:rPr>
          <w:rFonts w:ascii="Arial" w:eastAsia="仿宋_GB2312" w:hAnsi="Arial" w:cs="Arial" w:hint="eastAsia"/>
          <w:bCs/>
          <w:sz w:val="28"/>
          <w:szCs w:val="28"/>
        </w:rPr>
        <w:t>36.9%</w:t>
      </w:r>
      <w:r>
        <w:rPr>
          <w:rFonts w:ascii="Arial" w:eastAsia="仿宋_GB2312" w:hAnsi="Arial" w:cs="Arial" w:hint="eastAsia"/>
          <w:bCs/>
          <w:sz w:val="28"/>
          <w:szCs w:val="28"/>
        </w:rPr>
        <w:t>。</w:t>
      </w:r>
    </w:p>
    <w:p w14:paraId="29B6AC10"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6</w:t>
      </w:r>
      <w:r>
        <w:rPr>
          <w:rFonts w:ascii="Arial" w:eastAsia="仿宋_GB2312" w:hAnsi="Arial" w:cs="Arial" w:hint="eastAsia"/>
          <w:bCs/>
          <w:sz w:val="28"/>
          <w:szCs w:val="28"/>
        </w:rPr>
        <w:t>）居民消费价格温和上涨，工业生产者出厂价格同比下降</w:t>
      </w:r>
    </w:p>
    <w:p w14:paraId="5FF3A938"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一季度，北京市居民消费价格同比上涨</w:t>
      </w:r>
      <w:r>
        <w:rPr>
          <w:rFonts w:ascii="Arial" w:eastAsia="仿宋_GB2312" w:hAnsi="Arial" w:cs="Arial" w:hint="eastAsia"/>
          <w:bCs/>
          <w:sz w:val="28"/>
          <w:szCs w:val="28"/>
        </w:rPr>
        <w:t>1.3%</w:t>
      </w:r>
      <w:r>
        <w:rPr>
          <w:rFonts w:ascii="Arial" w:eastAsia="仿宋_GB2312" w:hAnsi="Arial" w:cs="Arial" w:hint="eastAsia"/>
          <w:bCs/>
          <w:sz w:val="28"/>
          <w:szCs w:val="28"/>
        </w:rPr>
        <w:t>。其中，消费品价格上涨</w:t>
      </w:r>
      <w:r>
        <w:rPr>
          <w:rFonts w:ascii="Arial" w:eastAsia="仿宋_GB2312" w:hAnsi="Arial" w:cs="Arial" w:hint="eastAsia"/>
          <w:bCs/>
          <w:sz w:val="28"/>
          <w:szCs w:val="28"/>
        </w:rPr>
        <w:t>1.6%</w:t>
      </w:r>
      <w:r>
        <w:rPr>
          <w:rFonts w:ascii="Arial" w:eastAsia="仿宋_GB2312" w:hAnsi="Arial" w:cs="Arial" w:hint="eastAsia"/>
          <w:bCs/>
          <w:sz w:val="28"/>
          <w:szCs w:val="28"/>
        </w:rPr>
        <w:t>，服务价格上涨</w:t>
      </w:r>
      <w:r>
        <w:rPr>
          <w:rFonts w:ascii="Arial" w:eastAsia="仿宋_GB2312" w:hAnsi="Arial" w:cs="Arial" w:hint="eastAsia"/>
          <w:bCs/>
          <w:sz w:val="28"/>
          <w:szCs w:val="28"/>
        </w:rPr>
        <w:t>1.0%</w:t>
      </w:r>
      <w:r>
        <w:rPr>
          <w:rFonts w:ascii="Arial" w:eastAsia="仿宋_GB2312" w:hAnsi="Arial" w:cs="Arial" w:hint="eastAsia"/>
          <w:bCs/>
          <w:sz w:val="28"/>
          <w:szCs w:val="28"/>
        </w:rPr>
        <w:t>。八大类商品和服务项目中，食品烟酒类价格上涨</w:t>
      </w:r>
      <w:r>
        <w:rPr>
          <w:rFonts w:ascii="Arial" w:eastAsia="仿宋_GB2312" w:hAnsi="Arial" w:cs="Arial" w:hint="eastAsia"/>
          <w:bCs/>
          <w:sz w:val="28"/>
          <w:szCs w:val="28"/>
        </w:rPr>
        <w:t>3.1%</w:t>
      </w:r>
      <w:r>
        <w:rPr>
          <w:rFonts w:ascii="Arial" w:eastAsia="仿宋_GB2312" w:hAnsi="Arial" w:cs="Arial" w:hint="eastAsia"/>
          <w:bCs/>
          <w:sz w:val="28"/>
          <w:szCs w:val="28"/>
        </w:rPr>
        <w:t>，生活用品及服务类价格上涨</w:t>
      </w:r>
      <w:r>
        <w:rPr>
          <w:rFonts w:ascii="Arial" w:eastAsia="仿宋_GB2312" w:hAnsi="Arial" w:cs="Arial" w:hint="eastAsia"/>
          <w:bCs/>
          <w:sz w:val="28"/>
          <w:szCs w:val="28"/>
        </w:rPr>
        <w:t>2.9%</w:t>
      </w:r>
      <w:r>
        <w:rPr>
          <w:rFonts w:ascii="Arial" w:eastAsia="仿宋_GB2312" w:hAnsi="Arial" w:cs="Arial" w:hint="eastAsia"/>
          <w:bCs/>
          <w:sz w:val="28"/>
          <w:szCs w:val="28"/>
        </w:rPr>
        <w:t>，其他用品及服务类价格上涨</w:t>
      </w:r>
      <w:r>
        <w:rPr>
          <w:rFonts w:ascii="Arial" w:eastAsia="仿宋_GB2312" w:hAnsi="Arial" w:cs="Arial" w:hint="eastAsia"/>
          <w:bCs/>
          <w:sz w:val="28"/>
          <w:szCs w:val="28"/>
        </w:rPr>
        <w:t>2.4%</w:t>
      </w:r>
      <w:r>
        <w:rPr>
          <w:rFonts w:ascii="Arial" w:eastAsia="仿宋_GB2312" w:hAnsi="Arial" w:cs="Arial" w:hint="eastAsia"/>
          <w:bCs/>
          <w:sz w:val="28"/>
          <w:szCs w:val="28"/>
        </w:rPr>
        <w:t>，教育文化娱乐类价格上涨</w:t>
      </w:r>
      <w:r>
        <w:rPr>
          <w:rFonts w:ascii="Arial" w:eastAsia="仿宋_GB2312" w:hAnsi="Arial" w:cs="Arial" w:hint="eastAsia"/>
          <w:bCs/>
          <w:sz w:val="28"/>
          <w:szCs w:val="28"/>
        </w:rPr>
        <w:t>0.8%</w:t>
      </w:r>
      <w:r>
        <w:rPr>
          <w:rFonts w:ascii="Arial" w:eastAsia="仿宋_GB2312" w:hAnsi="Arial" w:cs="Arial" w:hint="eastAsia"/>
          <w:bCs/>
          <w:sz w:val="28"/>
          <w:szCs w:val="28"/>
        </w:rPr>
        <w:t>，交通通信类价格上涨</w:t>
      </w:r>
      <w:r>
        <w:rPr>
          <w:rFonts w:ascii="Arial" w:eastAsia="仿宋_GB2312" w:hAnsi="Arial" w:cs="Arial" w:hint="eastAsia"/>
          <w:bCs/>
          <w:sz w:val="28"/>
          <w:szCs w:val="28"/>
        </w:rPr>
        <w:t>0.7%</w:t>
      </w:r>
      <w:r>
        <w:rPr>
          <w:rFonts w:ascii="Arial" w:eastAsia="仿宋_GB2312" w:hAnsi="Arial" w:cs="Arial" w:hint="eastAsia"/>
          <w:bCs/>
          <w:sz w:val="28"/>
          <w:szCs w:val="28"/>
        </w:rPr>
        <w:t>，居住类、医疗保健类价格均上涨</w:t>
      </w:r>
      <w:r>
        <w:rPr>
          <w:rFonts w:ascii="Arial" w:eastAsia="仿宋_GB2312" w:hAnsi="Arial" w:cs="Arial" w:hint="eastAsia"/>
          <w:bCs/>
          <w:sz w:val="28"/>
          <w:szCs w:val="28"/>
        </w:rPr>
        <w:t>0.5%</w:t>
      </w:r>
      <w:r>
        <w:rPr>
          <w:rFonts w:ascii="Arial" w:eastAsia="仿宋_GB2312" w:hAnsi="Arial" w:cs="Arial" w:hint="eastAsia"/>
          <w:bCs/>
          <w:sz w:val="28"/>
          <w:szCs w:val="28"/>
        </w:rPr>
        <w:t>，衣着类价格下降</w:t>
      </w:r>
      <w:r>
        <w:rPr>
          <w:rFonts w:ascii="Arial" w:eastAsia="仿宋_GB2312" w:hAnsi="Arial" w:cs="Arial" w:hint="eastAsia"/>
          <w:bCs/>
          <w:sz w:val="28"/>
          <w:szCs w:val="28"/>
        </w:rPr>
        <w:t>0.2%</w:t>
      </w:r>
      <w:r>
        <w:rPr>
          <w:rFonts w:ascii="Arial" w:eastAsia="仿宋_GB2312" w:hAnsi="Arial" w:cs="Arial" w:hint="eastAsia"/>
          <w:bCs/>
          <w:sz w:val="28"/>
          <w:szCs w:val="28"/>
        </w:rPr>
        <w:t>。</w:t>
      </w:r>
    </w:p>
    <w:p w14:paraId="21AFA728"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一季度，北京市工业生产者出厂价格同比下降</w:t>
      </w:r>
      <w:r>
        <w:rPr>
          <w:rFonts w:ascii="Arial" w:eastAsia="仿宋_GB2312" w:hAnsi="Arial" w:cs="Arial" w:hint="eastAsia"/>
          <w:bCs/>
          <w:sz w:val="28"/>
          <w:szCs w:val="28"/>
        </w:rPr>
        <w:t>0.6%</w:t>
      </w:r>
      <w:r>
        <w:rPr>
          <w:rFonts w:ascii="Arial" w:eastAsia="仿宋_GB2312" w:hAnsi="Arial" w:cs="Arial" w:hint="eastAsia"/>
          <w:bCs/>
          <w:sz w:val="28"/>
          <w:szCs w:val="28"/>
        </w:rPr>
        <w:t>，购进价格同比上涨</w:t>
      </w:r>
      <w:r>
        <w:rPr>
          <w:rFonts w:ascii="Arial" w:eastAsia="仿宋_GB2312" w:hAnsi="Arial" w:cs="Arial" w:hint="eastAsia"/>
          <w:bCs/>
          <w:sz w:val="28"/>
          <w:szCs w:val="28"/>
        </w:rPr>
        <w:t>0.4%</w:t>
      </w: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月份，工业生产者出厂价格同比下降</w:t>
      </w:r>
      <w:r>
        <w:rPr>
          <w:rFonts w:ascii="Arial" w:eastAsia="仿宋_GB2312" w:hAnsi="Arial" w:cs="Arial" w:hint="eastAsia"/>
          <w:bCs/>
          <w:sz w:val="28"/>
          <w:szCs w:val="28"/>
        </w:rPr>
        <w:t>0.8%</w:t>
      </w:r>
      <w:r>
        <w:rPr>
          <w:rFonts w:ascii="Arial" w:eastAsia="仿宋_GB2312" w:hAnsi="Arial" w:cs="Arial" w:hint="eastAsia"/>
          <w:bCs/>
          <w:sz w:val="28"/>
          <w:szCs w:val="28"/>
        </w:rPr>
        <w:t>，环比上涨</w:t>
      </w:r>
      <w:r>
        <w:rPr>
          <w:rFonts w:ascii="Arial" w:eastAsia="仿宋_GB2312" w:hAnsi="Arial" w:cs="Arial" w:hint="eastAsia"/>
          <w:bCs/>
          <w:sz w:val="28"/>
          <w:szCs w:val="28"/>
        </w:rPr>
        <w:t>0.1%</w:t>
      </w:r>
      <w:r>
        <w:rPr>
          <w:rFonts w:ascii="Arial" w:eastAsia="仿宋_GB2312" w:hAnsi="Arial" w:cs="Arial" w:hint="eastAsia"/>
          <w:bCs/>
          <w:sz w:val="28"/>
          <w:szCs w:val="28"/>
        </w:rPr>
        <w:t>；购进价格同比下降</w:t>
      </w:r>
      <w:r>
        <w:rPr>
          <w:rFonts w:ascii="Arial" w:eastAsia="仿宋_GB2312" w:hAnsi="Arial" w:cs="Arial" w:hint="eastAsia"/>
          <w:bCs/>
          <w:sz w:val="28"/>
          <w:szCs w:val="28"/>
        </w:rPr>
        <w:t>0.1%</w:t>
      </w:r>
      <w:r>
        <w:rPr>
          <w:rFonts w:ascii="Arial" w:eastAsia="仿宋_GB2312" w:hAnsi="Arial" w:cs="Arial" w:hint="eastAsia"/>
          <w:bCs/>
          <w:sz w:val="28"/>
          <w:szCs w:val="28"/>
        </w:rPr>
        <w:t>，环比下降</w:t>
      </w:r>
      <w:r>
        <w:rPr>
          <w:rFonts w:ascii="Arial" w:eastAsia="仿宋_GB2312" w:hAnsi="Arial" w:cs="Arial" w:hint="eastAsia"/>
          <w:bCs/>
          <w:sz w:val="28"/>
          <w:szCs w:val="28"/>
        </w:rPr>
        <w:t>0.5%</w:t>
      </w:r>
      <w:r>
        <w:rPr>
          <w:rFonts w:ascii="Arial" w:eastAsia="仿宋_GB2312" w:hAnsi="Arial" w:cs="Arial" w:hint="eastAsia"/>
          <w:bCs/>
          <w:sz w:val="28"/>
          <w:szCs w:val="28"/>
        </w:rPr>
        <w:t>。</w:t>
      </w:r>
    </w:p>
    <w:p w14:paraId="6AAC6CE4"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7</w:t>
      </w:r>
      <w:r>
        <w:rPr>
          <w:rFonts w:ascii="Arial" w:eastAsia="仿宋_GB2312" w:hAnsi="Arial" w:cs="Arial" w:hint="eastAsia"/>
          <w:bCs/>
          <w:sz w:val="28"/>
          <w:szCs w:val="28"/>
        </w:rPr>
        <w:t>）就业形势总体稳定，居民收入稳步增加</w:t>
      </w:r>
    </w:p>
    <w:p w14:paraId="73DA4BFA"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一季度，北京市城镇调查失业率均值为</w:t>
      </w:r>
      <w:r>
        <w:rPr>
          <w:rFonts w:ascii="Arial" w:eastAsia="仿宋_GB2312" w:hAnsi="Arial" w:cs="Arial" w:hint="eastAsia"/>
          <w:bCs/>
          <w:sz w:val="28"/>
          <w:szCs w:val="28"/>
        </w:rPr>
        <w:t>4.6%</w:t>
      </w: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月份，全市城镇调查失业率为</w:t>
      </w:r>
      <w:r>
        <w:rPr>
          <w:rFonts w:ascii="Arial" w:eastAsia="仿宋_GB2312" w:hAnsi="Arial" w:cs="Arial" w:hint="eastAsia"/>
          <w:bCs/>
          <w:sz w:val="28"/>
          <w:szCs w:val="28"/>
        </w:rPr>
        <w:t>4.5%</w:t>
      </w:r>
      <w:r>
        <w:rPr>
          <w:rFonts w:ascii="Arial" w:eastAsia="仿宋_GB2312" w:hAnsi="Arial" w:cs="Arial" w:hint="eastAsia"/>
          <w:bCs/>
          <w:sz w:val="28"/>
          <w:szCs w:val="28"/>
        </w:rPr>
        <w:t>，环比回落</w:t>
      </w:r>
      <w:r>
        <w:rPr>
          <w:rFonts w:ascii="Arial" w:eastAsia="仿宋_GB2312" w:hAnsi="Arial" w:cs="Arial" w:hint="eastAsia"/>
          <w:bCs/>
          <w:sz w:val="28"/>
          <w:szCs w:val="28"/>
        </w:rPr>
        <w:t>0.3</w:t>
      </w:r>
      <w:r>
        <w:rPr>
          <w:rFonts w:ascii="Arial" w:eastAsia="仿宋_GB2312" w:hAnsi="Arial" w:cs="Arial" w:hint="eastAsia"/>
          <w:bCs/>
          <w:sz w:val="28"/>
          <w:szCs w:val="28"/>
        </w:rPr>
        <w:t>个百分点。</w:t>
      </w:r>
    </w:p>
    <w:p w14:paraId="18A1BE44"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一季度，北京市居民人均可支配收入</w:t>
      </w:r>
      <w:r>
        <w:rPr>
          <w:rFonts w:ascii="Arial" w:eastAsia="仿宋_GB2312" w:hAnsi="Arial" w:cs="Arial" w:hint="eastAsia"/>
          <w:bCs/>
          <w:sz w:val="28"/>
          <w:szCs w:val="28"/>
        </w:rPr>
        <w:t>21367</w:t>
      </w:r>
      <w:r>
        <w:rPr>
          <w:rFonts w:ascii="Arial" w:eastAsia="仿宋_GB2312" w:hAnsi="Arial" w:cs="Arial" w:hint="eastAsia"/>
          <w:bCs/>
          <w:sz w:val="28"/>
          <w:szCs w:val="28"/>
        </w:rPr>
        <w:t>元，同比增长</w:t>
      </w:r>
      <w:r>
        <w:rPr>
          <w:rFonts w:ascii="Arial" w:eastAsia="仿宋_GB2312" w:hAnsi="Arial" w:cs="Arial" w:hint="eastAsia"/>
          <w:bCs/>
          <w:sz w:val="28"/>
          <w:szCs w:val="28"/>
        </w:rPr>
        <w:t>3.6%</w:t>
      </w:r>
      <w:r>
        <w:rPr>
          <w:rFonts w:ascii="Arial" w:eastAsia="仿宋_GB2312" w:hAnsi="Arial" w:cs="Arial" w:hint="eastAsia"/>
          <w:bCs/>
          <w:sz w:val="28"/>
          <w:szCs w:val="28"/>
        </w:rPr>
        <w:t>，比</w:t>
      </w:r>
      <w:r>
        <w:rPr>
          <w:rFonts w:ascii="Arial" w:eastAsia="仿宋_GB2312" w:hAnsi="Arial" w:cs="Arial" w:hint="eastAsia"/>
          <w:bCs/>
          <w:sz w:val="28"/>
          <w:szCs w:val="28"/>
        </w:rPr>
        <w:lastRenderedPageBreak/>
        <w:t>上年全年提高</w:t>
      </w:r>
      <w:r>
        <w:rPr>
          <w:rFonts w:ascii="Arial" w:eastAsia="仿宋_GB2312" w:hAnsi="Arial" w:cs="Arial" w:hint="eastAsia"/>
          <w:bCs/>
          <w:sz w:val="28"/>
          <w:szCs w:val="28"/>
        </w:rPr>
        <w:t>0.4</w:t>
      </w:r>
      <w:r>
        <w:rPr>
          <w:rFonts w:ascii="Arial" w:eastAsia="仿宋_GB2312" w:hAnsi="Arial" w:cs="Arial" w:hint="eastAsia"/>
          <w:bCs/>
          <w:sz w:val="28"/>
          <w:szCs w:val="28"/>
        </w:rPr>
        <w:t>个百分点。其中，工资性收入增长</w:t>
      </w:r>
      <w:r>
        <w:rPr>
          <w:rFonts w:ascii="Arial" w:eastAsia="仿宋_GB2312" w:hAnsi="Arial" w:cs="Arial" w:hint="eastAsia"/>
          <w:bCs/>
          <w:sz w:val="28"/>
          <w:szCs w:val="28"/>
        </w:rPr>
        <w:t>5.0%</w:t>
      </w:r>
      <w:r>
        <w:rPr>
          <w:rFonts w:ascii="Arial" w:eastAsia="仿宋_GB2312" w:hAnsi="Arial" w:cs="Arial" w:hint="eastAsia"/>
          <w:bCs/>
          <w:sz w:val="28"/>
          <w:szCs w:val="28"/>
        </w:rPr>
        <w:t>，经营净收入增长</w:t>
      </w:r>
      <w:r>
        <w:rPr>
          <w:rFonts w:ascii="Arial" w:eastAsia="仿宋_GB2312" w:hAnsi="Arial" w:cs="Arial" w:hint="eastAsia"/>
          <w:bCs/>
          <w:sz w:val="28"/>
          <w:szCs w:val="28"/>
        </w:rPr>
        <w:t>3.8%</w:t>
      </w:r>
      <w:r>
        <w:rPr>
          <w:rFonts w:ascii="Arial" w:eastAsia="仿宋_GB2312" w:hAnsi="Arial" w:cs="Arial" w:hint="eastAsia"/>
          <w:bCs/>
          <w:sz w:val="28"/>
          <w:szCs w:val="28"/>
        </w:rPr>
        <w:t>，转移净收入增长</w:t>
      </w:r>
      <w:r>
        <w:rPr>
          <w:rFonts w:ascii="Arial" w:eastAsia="仿宋_GB2312" w:hAnsi="Arial" w:cs="Arial" w:hint="eastAsia"/>
          <w:bCs/>
          <w:sz w:val="28"/>
          <w:szCs w:val="28"/>
        </w:rPr>
        <w:t>3.2%</w:t>
      </w:r>
      <w:r>
        <w:rPr>
          <w:rFonts w:ascii="Arial" w:eastAsia="仿宋_GB2312" w:hAnsi="Arial" w:cs="Arial" w:hint="eastAsia"/>
          <w:bCs/>
          <w:sz w:val="28"/>
          <w:szCs w:val="28"/>
        </w:rPr>
        <w:t>，财产净收入下降</w:t>
      </w:r>
      <w:r>
        <w:rPr>
          <w:rFonts w:ascii="Arial" w:eastAsia="仿宋_GB2312" w:hAnsi="Arial" w:cs="Arial" w:hint="eastAsia"/>
          <w:bCs/>
          <w:sz w:val="28"/>
          <w:szCs w:val="28"/>
        </w:rPr>
        <w:t>1.9%</w:t>
      </w:r>
      <w:r>
        <w:rPr>
          <w:rFonts w:ascii="Arial" w:eastAsia="仿宋_GB2312" w:hAnsi="Arial" w:cs="Arial" w:hint="eastAsia"/>
          <w:bCs/>
          <w:sz w:val="28"/>
          <w:szCs w:val="28"/>
        </w:rPr>
        <w:t>。城镇居民人均可支配收入</w:t>
      </w:r>
      <w:r>
        <w:rPr>
          <w:rFonts w:ascii="Arial" w:eastAsia="仿宋_GB2312" w:hAnsi="Arial" w:cs="Arial" w:hint="eastAsia"/>
          <w:bCs/>
          <w:sz w:val="28"/>
          <w:szCs w:val="28"/>
        </w:rPr>
        <w:t>23047</w:t>
      </w:r>
      <w:r>
        <w:rPr>
          <w:rFonts w:ascii="Arial" w:eastAsia="仿宋_GB2312" w:hAnsi="Arial" w:cs="Arial" w:hint="eastAsia"/>
          <w:bCs/>
          <w:sz w:val="28"/>
          <w:szCs w:val="28"/>
        </w:rPr>
        <w:t>元，增长</w:t>
      </w:r>
      <w:r>
        <w:rPr>
          <w:rFonts w:ascii="Arial" w:eastAsia="仿宋_GB2312" w:hAnsi="Arial" w:cs="Arial" w:hint="eastAsia"/>
          <w:bCs/>
          <w:sz w:val="28"/>
          <w:szCs w:val="28"/>
        </w:rPr>
        <w:t>3.5%</w:t>
      </w:r>
      <w:r>
        <w:rPr>
          <w:rFonts w:ascii="Arial" w:eastAsia="仿宋_GB2312" w:hAnsi="Arial" w:cs="Arial" w:hint="eastAsia"/>
          <w:bCs/>
          <w:sz w:val="28"/>
          <w:szCs w:val="28"/>
        </w:rPr>
        <w:t>；农村居民人均可支配收入</w:t>
      </w:r>
      <w:r>
        <w:rPr>
          <w:rFonts w:ascii="Arial" w:eastAsia="仿宋_GB2312" w:hAnsi="Arial" w:cs="Arial" w:hint="eastAsia"/>
          <w:bCs/>
          <w:sz w:val="28"/>
          <w:szCs w:val="28"/>
        </w:rPr>
        <w:t>10551</w:t>
      </w:r>
      <w:r>
        <w:rPr>
          <w:rFonts w:ascii="Arial" w:eastAsia="仿宋_GB2312" w:hAnsi="Arial" w:cs="Arial" w:hint="eastAsia"/>
          <w:bCs/>
          <w:sz w:val="28"/>
          <w:szCs w:val="28"/>
        </w:rPr>
        <w:t>元，增长</w:t>
      </w:r>
      <w:r>
        <w:rPr>
          <w:rFonts w:ascii="Arial" w:eastAsia="仿宋_GB2312" w:hAnsi="Arial" w:cs="Arial" w:hint="eastAsia"/>
          <w:bCs/>
          <w:sz w:val="28"/>
          <w:szCs w:val="28"/>
        </w:rPr>
        <w:t>5.3%</w:t>
      </w:r>
      <w:r>
        <w:rPr>
          <w:rFonts w:ascii="Arial" w:eastAsia="仿宋_GB2312" w:hAnsi="Arial" w:cs="Arial" w:hint="eastAsia"/>
          <w:bCs/>
          <w:sz w:val="28"/>
          <w:szCs w:val="28"/>
        </w:rPr>
        <w:t>。</w:t>
      </w:r>
    </w:p>
    <w:p w14:paraId="100D07B4"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一季度，北京市居民人均消费支出</w:t>
      </w:r>
      <w:r>
        <w:rPr>
          <w:rFonts w:ascii="Arial" w:eastAsia="仿宋_GB2312" w:hAnsi="Arial" w:cs="Arial" w:hint="eastAsia"/>
          <w:bCs/>
          <w:sz w:val="28"/>
          <w:szCs w:val="28"/>
        </w:rPr>
        <w:t>12045</w:t>
      </w:r>
      <w:r>
        <w:rPr>
          <w:rFonts w:ascii="Arial" w:eastAsia="仿宋_GB2312" w:hAnsi="Arial" w:cs="Arial" w:hint="eastAsia"/>
          <w:bCs/>
          <w:sz w:val="28"/>
          <w:szCs w:val="28"/>
        </w:rPr>
        <w:t>元，同比增长</w:t>
      </w:r>
      <w:r>
        <w:rPr>
          <w:rFonts w:ascii="Arial" w:eastAsia="仿宋_GB2312" w:hAnsi="Arial" w:cs="Arial" w:hint="eastAsia"/>
          <w:bCs/>
          <w:sz w:val="28"/>
          <w:szCs w:val="28"/>
        </w:rPr>
        <w:t>6.3%,</w:t>
      </w:r>
      <w:r>
        <w:rPr>
          <w:rFonts w:ascii="Arial" w:eastAsia="仿宋_GB2312" w:hAnsi="Arial" w:cs="Arial" w:hint="eastAsia"/>
          <w:bCs/>
          <w:sz w:val="28"/>
          <w:szCs w:val="28"/>
        </w:rPr>
        <w:t>其中，城镇居民人均消费支出</w:t>
      </w:r>
      <w:r>
        <w:rPr>
          <w:rFonts w:ascii="Arial" w:eastAsia="仿宋_GB2312" w:hAnsi="Arial" w:cs="Arial" w:hint="eastAsia"/>
          <w:bCs/>
          <w:sz w:val="28"/>
          <w:szCs w:val="28"/>
        </w:rPr>
        <w:t>12875</w:t>
      </w:r>
      <w:r>
        <w:rPr>
          <w:rFonts w:ascii="Arial" w:eastAsia="仿宋_GB2312" w:hAnsi="Arial" w:cs="Arial" w:hint="eastAsia"/>
          <w:bCs/>
          <w:sz w:val="28"/>
          <w:szCs w:val="28"/>
        </w:rPr>
        <w:t>元，增长</w:t>
      </w:r>
      <w:r>
        <w:rPr>
          <w:rFonts w:ascii="Arial" w:eastAsia="仿宋_GB2312" w:hAnsi="Arial" w:cs="Arial" w:hint="eastAsia"/>
          <w:bCs/>
          <w:sz w:val="28"/>
          <w:szCs w:val="28"/>
        </w:rPr>
        <w:t>6.4%</w:t>
      </w:r>
      <w:r>
        <w:rPr>
          <w:rFonts w:ascii="Arial" w:eastAsia="仿宋_GB2312" w:hAnsi="Arial" w:cs="Arial" w:hint="eastAsia"/>
          <w:bCs/>
          <w:sz w:val="28"/>
          <w:szCs w:val="28"/>
        </w:rPr>
        <w:t>；农村居民人均消费支出</w:t>
      </w:r>
      <w:r>
        <w:rPr>
          <w:rFonts w:ascii="Arial" w:eastAsia="仿宋_GB2312" w:hAnsi="Arial" w:cs="Arial" w:hint="eastAsia"/>
          <w:bCs/>
          <w:sz w:val="28"/>
          <w:szCs w:val="28"/>
        </w:rPr>
        <w:t>6706</w:t>
      </w:r>
      <w:r>
        <w:rPr>
          <w:rFonts w:ascii="Arial" w:eastAsia="仿宋_GB2312" w:hAnsi="Arial" w:cs="Arial" w:hint="eastAsia"/>
          <w:bCs/>
          <w:sz w:val="28"/>
          <w:szCs w:val="28"/>
        </w:rPr>
        <w:t>元，增长</w:t>
      </w:r>
      <w:r>
        <w:rPr>
          <w:rFonts w:ascii="Arial" w:eastAsia="仿宋_GB2312" w:hAnsi="Arial" w:cs="Arial" w:hint="eastAsia"/>
          <w:bCs/>
          <w:sz w:val="28"/>
          <w:szCs w:val="28"/>
        </w:rPr>
        <w:t>5.2%</w:t>
      </w:r>
      <w:r>
        <w:rPr>
          <w:rFonts w:ascii="Arial" w:eastAsia="仿宋_GB2312" w:hAnsi="Arial" w:cs="Arial" w:hint="eastAsia"/>
          <w:bCs/>
          <w:sz w:val="28"/>
          <w:szCs w:val="28"/>
        </w:rPr>
        <w:t>。</w:t>
      </w:r>
    </w:p>
    <w:p w14:paraId="5EED456D" w14:textId="77777777" w:rsidR="0062768B" w:rsidRDefault="00136729">
      <w:pPr>
        <w:overflowPunct w:val="0"/>
        <w:adjustRightInd/>
        <w:spacing w:line="300" w:lineRule="auto"/>
        <w:ind w:firstLineChars="200" w:firstLine="560"/>
        <w:jc w:val="both"/>
        <w:rPr>
          <w:rFonts w:ascii="仿宋_GB2312" w:eastAsia="仿宋_GB2312"/>
          <w:bCs/>
          <w:i/>
          <w:sz w:val="28"/>
          <w:szCs w:val="28"/>
        </w:rPr>
      </w:pPr>
      <w:r>
        <w:rPr>
          <w:rFonts w:ascii="Arial" w:eastAsia="仿宋_GB2312" w:hAnsi="Arial" w:cs="Arial" w:hint="eastAsia"/>
          <w:bCs/>
          <w:sz w:val="28"/>
          <w:szCs w:val="28"/>
        </w:rPr>
        <w:t>总的来看，一季度北京市经济呈现回升向好态势，社会民生保障有力，发展质量继续提升。</w:t>
      </w:r>
    </w:p>
    <w:p w14:paraId="4F8D59E9" w14:textId="77777777" w:rsidR="0062768B" w:rsidRDefault="00136729">
      <w:pPr>
        <w:adjustRightInd/>
        <w:spacing w:line="300" w:lineRule="auto"/>
        <w:jc w:val="both"/>
        <w:rPr>
          <w:rFonts w:ascii="Arial" w:eastAsia="仿宋" w:hAnsi="Arial" w:cs="Arial"/>
          <w:sz w:val="28"/>
          <w:szCs w:val="28"/>
        </w:rPr>
      </w:pPr>
      <w:r>
        <w:rPr>
          <w:rFonts w:ascii="Arial" w:eastAsia="仿宋" w:hAnsi="Arial" w:cs="Arial"/>
          <w:sz w:val="28"/>
          <w:szCs w:val="28"/>
        </w:rPr>
        <w:t>（二）区域因素</w:t>
      </w:r>
    </w:p>
    <w:p w14:paraId="7CBF2E63"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区域概况</w:t>
      </w:r>
    </w:p>
    <w:p w14:paraId="4D6377A3" w14:textId="77777777" w:rsidR="0062768B" w:rsidRDefault="00136729">
      <w:pPr>
        <w:widowControl/>
        <w:adjustRightInd/>
        <w:spacing w:line="300" w:lineRule="auto"/>
        <w:ind w:firstLineChars="200" w:firstLine="560"/>
        <w:rPr>
          <w:rFonts w:ascii="Arial" w:eastAsia="仿宋" w:hAnsi="Arial" w:cs="Arial"/>
          <w:sz w:val="28"/>
          <w:szCs w:val="28"/>
          <w:lang w:bidi="ar"/>
        </w:rPr>
      </w:pPr>
      <w:bookmarkStart w:id="154" w:name="ref_[1]_1244149"/>
      <w:r>
        <w:rPr>
          <w:rFonts w:ascii="Arial" w:eastAsia="仿宋" w:hAnsi="Arial" w:cs="Arial"/>
          <w:sz w:val="28"/>
          <w:szCs w:val="28"/>
          <w:lang w:bidi="ar"/>
        </w:rPr>
        <w:t>顺义区位于北京市东北部，距市区</w:t>
      </w:r>
      <w:r>
        <w:rPr>
          <w:rFonts w:ascii="Arial" w:eastAsia="仿宋" w:hAnsi="Arial" w:cs="Arial"/>
          <w:sz w:val="28"/>
          <w:szCs w:val="28"/>
          <w:lang w:bidi="ar"/>
        </w:rPr>
        <w:t>30</w:t>
      </w:r>
      <w:r>
        <w:rPr>
          <w:rFonts w:ascii="Arial" w:eastAsia="仿宋" w:hAnsi="Arial" w:cs="Arial"/>
          <w:sz w:val="28"/>
          <w:szCs w:val="28"/>
          <w:lang w:bidi="ar"/>
        </w:rPr>
        <w:t>公里，毗邻北京城市副中心，是首都国际机场所在地，北邻</w:t>
      </w:r>
      <w:r>
        <w:rPr>
          <w:rFonts w:ascii="Arial" w:eastAsia="仿宋" w:hAnsi="Arial" w:cs="Arial"/>
          <w:sz w:val="28"/>
          <w:szCs w:val="28"/>
        </w:rPr>
        <w:fldChar w:fldCharType="begin"/>
      </w:r>
      <w:r>
        <w:rPr>
          <w:rFonts w:ascii="Arial" w:eastAsia="仿宋" w:hAnsi="Arial" w:cs="Arial"/>
          <w:sz w:val="28"/>
          <w:szCs w:val="28"/>
        </w:rPr>
        <w:instrText xml:space="preserve"> HYPERLINK "https://baike.baidu.com/item/%E6%80%80%E6%9F%94%E5%8C%BA/5105451?fromModule=lemma_inlink" \t "/Users/liuning/Documents\x/_blank" </w:instrText>
      </w:r>
      <w:r>
        <w:rPr>
          <w:rFonts w:ascii="Arial" w:eastAsia="仿宋" w:hAnsi="Arial" w:cs="Arial"/>
          <w:sz w:val="28"/>
          <w:szCs w:val="28"/>
        </w:rPr>
        <w:fldChar w:fldCharType="separate"/>
      </w:r>
      <w:r>
        <w:rPr>
          <w:rFonts w:ascii="Arial" w:eastAsia="仿宋" w:hAnsi="Arial" w:cs="Arial"/>
          <w:sz w:val="28"/>
          <w:szCs w:val="28"/>
          <w:lang w:bidi="ar"/>
        </w:rPr>
        <w:t>怀柔区</w:t>
      </w:r>
      <w:r>
        <w:rPr>
          <w:rFonts w:ascii="Arial" w:eastAsia="仿宋" w:hAnsi="Arial" w:cs="Arial"/>
          <w:sz w:val="28"/>
          <w:szCs w:val="28"/>
          <w:lang w:bidi="ar"/>
        </w:rPr>
        <w:fldChar w:fldCharType="end"/>
      </w:r>
      <w:r>
        <w:rPr>
          <w:rFonts w:ascii="Arial" w:eastAsia="仿宋" w:hAnsi="Arial" w:cs="Arial"/>
          <w:sz w:val="28"/>
          <w:szCs w:val="28"/>
          <w:lang w:bidi="ar"/>
        </w:rPr>
        <w:t>、</w:t>
      </w:r>
      <w:hyperlink r:id="rId42" w:tgtFrame="/Users/liuning/Documentsx/_blank" w:history="1">
        <w:r>
          <w:rPr>
            <w:rFonts w:ascii="Arial" w:eastAsia="仿宋" w:hAnsi="Arial" w:cs="Arial"/>
            <w:sz w:val="28"/>
            <w:szCs w:val="28"/>
            <w:lang w:bidi="ar"/>
          </w:rPr>
          <w:t>密云区</w:t>
        </w:r>
      </w:hyperlink>
      <w:r>
        <w:rPr>
          <w:rFonts w:ascii="Arial" w:eastAsia="仿宋" w:hAnsi="Arial" w:cs="Arial"/>
          <w:sz w:val="28"/>
          <w:szCs w:val="28"/>
          <w:lang w:bidi="ar"/>
        </w:rPr>
        <w:t>，东界</w:t>
      </w:r>
      <w:hyperlink r:id="rId43" w:tgtFrame="/Users/liuning/Documentsx/_blank" w:history="1">
        <w:proofErr w:type="gramStart"/>
        <w:r>
          <w:rPr>
            <w:rFonts w:ascii="Arial" w:eastAsia="仿宋" w:hAnsi="Arial" w:cs="Arial"/>
            <w:sz w:val="28"/>
            <w:szCs w:val="28"/>
            <w:lang w:bidi="ar"/>
          </w:rPr>
          <w:t>平谷区</w:t>
        </w:r>
        <w:proofErr w:type="gramEnd"/>
      </w:hyperlink>
      <w:r>
        <w:rPr>
          <w:rFonts w:ascii="Arial" w:eastAsia="仿宋" w:hAnsi="Arial" w:cs="Arial"/>
          <w:sz w:val="28"/>
          <w:szCs w:val="28"/>
          <w:lang w:bidi="ar"/>
        </w:rPr>
        <w:t>，南与</w:t>
      </w:r>
      <w:hyperlink r:id="rId44" w:tgtFrame="/Users/liuning/Documentsx/_blank" w:history="1">
        <w:r>
          <w:rPr>
            <w:rFonts w:ascii="Arial" w:eastAsia="仿宋" w:hAnsi="Arial" w:cs="Arial"/>
            <w:sz w:val="28"/>
            <w:szCs w:val="28"/>
            <w:lang w:bidi="ar"/>
          </w:rPr>
          <w:t>通州区</w:t>
        </w:r>
      </w:hyperlink>
      <w:r>
        <w:rPr>
          <w:rFonts w:ascii="Arial" w:eastAsia="仿宋" w:hAnsi="Arial" w:cs="Arial"/>
          <w:sz w:val="28"/>
          <w:szCs w:val="28"/>
          <w:lang w:bidi="ar"/>
        </w:rPr>
        <w:t>、河北省廊坊市三河市接壤，西南、西与</w:t>
      </w:r>
      <w:hyperlink r:id="rId45" w:tgtFrame="/Users/liuning/Documentsx/_blank" w:history="1">
        <w:proofErr w:type="gramStart"/>
        <w:r>
          <w:rPr>
            <w:rFonts w:ascii="Arial" w:eastAsia="仿宋" w:hAnsi="Arial" w:cs="Arial"/>
            <w:sz w:val="28"/>
            <w:szCs w:val="28"/>
            <w:lang w:bidi="ar"/>
          </w:rPr>
          <w:t>昌平区</w:t>
        </w:r>
        <w:proofErr w:type="gramEnd"/>
      </w:hyperlink>
      <w:r>
        <w:rPr>
          <w:rFonts w:ascii="Arial" w:eastAsia="仿宋" w:hAnsi="Arial" w:cs="Arial"/>
          <w:sz w:val="28"/>
          <w:szCs w:val="28"/>
          <w:lang w:bidi="ar"/>
        </w:rPr>
        <w:t>、</w:t>
      </w:r>
      <w:hyperlink r:id="rId46" w:tgtFrame="/Users/liuning/Documentsx/_blank" w:history="1">
        <w:r>
          <w:rPr>
            <w:rFonts w:ascii="Arial" w:eastAsia="仿宋" w:hAnsi="Arial" w:cs="Arial"/>
            <w:sz w:val="28"/>
            <w:szCs w:val="28"/>
            <w:lang w:bidi="ar"/>
          </w:rPr>
          <w:t>朝阳区</w:t>
        </w:r>
      </w:hyperlink>
      <w:r>
        <w:rPr>
          <w:rFonts w:ascii="Arial" w:eastAsia="仿宋" w:hAnsi="Arial" w:cs="Arial"/>
          <w:sz w:val="28"/>
          <w:szCs w:val="28"/>
          <w:lang w:bidi="ar"/>
        </w:rPr>
        <w:t>隔温榆河为界。总面积</w:t>
      </w:r>
      <w:r>
        <w:rPr>
          <w:rFonts w:ascii="Arial" w:eastAsia="仿宋" w:hAnsi="Arial" w:cs="Arial"/>
          <w:sz w:val="28"/>
          <w:szCs w:val="28"/>
          <w:lang w:bidi="ar"/>
        </w:rPr>
        <w:t>1021</w:t>
      </w:r>
      <w:r>
        <w:rPr>
          <w:rFonts w:ascii="Arial" w:eastAsia="仿宋" w:hAnsi="Arial" w:cs="Arial"/>
          <w:sz w:val="28"/>
          <w:szCs w:val="28"/>
          <w:lang w:bidi="ar"/>
        </w:rPr>
        <w:t>平方公里，其中平原面积占</w:t>
      </w:r>
      <w:r>
        <w:rPr>
          <w:rFonts w:ascii="Arial" w:eastAsia="仿宋" w:hAnsi="Arial" w:cs="Arial"/>
          <w:sz w:val="28"/>
          <w:szCs w:val="28"/>
          <w:lang w:bidi="ar"/>
        </w:rPr>
        <w:t>95.7%</w:t>
      </w:r>
      <w:r>
        <w:rPr>
          <w:rFonts w:ascii="Arial" w:eastAsia="仿宋" w:hAnsi="Arial" w:cs="Arial"/>
          <w:sz w:val="28"/>
          <w:szCs w:val="28"/>
          <w:lang w:bidi="ar"/>
        </w:rPr>
        <w:t>。全区常住人口</w:t>
      </w:r>
      <w:r>
        <w:rPr>
          <w:rFonts w:ascii="Arial" w:eastAsia="仿宋" w:hAnsi="Arial" w:cs="Arial"/>
          <w:sz w:val="28"/>
          <w:szCs w:val="28"/>
          <w:lang w:bidi="ar"/>
        </w:rPr>
        <w:t>132.5</w:t>
      </w:r>
      <w:r>
        <w:rPr>
          <w:rFonts w:ascii="Arial" w:eastAsia="仿宋" w:hAnsi="Arial" w:cs="Arial"/>
          <w:sz w:val="28"/>
          <w:szCs w:val="28"/>
          <w:lang w:bidi="ar"/>
        </w:rPr>
        <w:t>万人，下辖</w:t>
      </w:r>
      <w:r>
        <w:rPr>
          <w:rFonts w:ascii="Arial" w:eastAsia="仿宋" w:hAnsi="Arial" w:cs="Arial"/>
          <w:sz w:val="28"/>
          <w:szCs w:val="28"/>
          <w:lang w:bidi="ar"/>
        </w:rPr>
        <w:t>19</w:t>
      </w:r>
      <w:r>
        <w:rPr>
          <w:rFonts w:ascii="Arial" w:eastAsia="仿宋" w:hAnsi="Arial" w:cs="Arial"/>
          <w:sz w:val="28"/>
          <w:szCs w:val="28"/>
          <w:lang w:bidi="ar"/>
        </w:rPr>
        <w:t>个建制镇和</w:t>
      </w:r>
      <w:r>
        <w:rPr>
          <w:rFonts w:ascii="Arial" w:eastAsia="仿宋" w:hAnsi="Arial" w:cs="Arial"/>
          <w:sz w:val="28"/>
          <w:szCs w:val="28"/>
          <w:lang w:bidi="ar"/>
        </w:rPr>
        <w:t>6</w:t>
      </w:r>
      <w:r>
        <w:rPr>
          <w:rFonts w:ascii="Arial" w:eastAsia="仿宋" w:hAnsi="Arial" w:cs="Arial"/>
          <w:sz w:val="28"/>
          <w:szCs w:val="28"/>
          <w:lang w:bidi="ar"/>
        </w:rPr>
        <w:t>个街道办事处。按照新版北京城市总体规划，顺义区是北京市</w:t>
      </w:r>
      <w:r>
        <w:rPr>
          <w:rFonts w:ascii="Arial" w:eastAsia="仿宋" w:hAnsi="Arial" w:cs="Arial"/>
          <w:sz w:val="28"/>
          <w:szCs w:val="28"/>
          <w:lang w:bidi="ar"/>
        </w:rPr>
        <w:t>“</w:t>
      </w:r>
      <w:proofErr w:type="gramStart"/>
      <w:r>
        <w:rPr>
          <w:rFonts w:ascii="Arial" w:eastAsia="仿宋" w:hAnsi="Arial" w:cs="Arial"/>
          <w:sz w:val="28"/>
          <w:szCs w:val="28"/>
          <w:lang w:bidi="ar"/>
        </w:rPr>
        <w:t>一</w:t>
      </w:r>
      <w:proofErr w:type="gramEnd"/>
      <w:r>
        <w:rPr>
          <w:rFonts w:ascii="Arial" w:eastAsia="仿宋" w:hAnsi="Arial" w:cs="Arial"/>
          <w:sz w:val="28"/>
          <w:szCs w:val="28"/>
          <w:lang w:bidi="ar"/>
        </w:rPr>
        <w:t>核一主一副、两轴多点一区</w:t>
      </w:r>
      <w:r>
        <w:rPr>
          <w:rFonts w:ascii="Arial" w:eastAsia="仿宋" w:hAnsi="Arial" w:cs="Arial"/>
          <w:sz w:val="28"/>
          <w:szCs w:val="28"/>
          <w:lang w:bidi="ar"/>
        </w:rPr>
        <w:t>”</w:t>
      </w:r>
      <w:r>
        <w:rPr>
          <w:rFonts w:ascii="Arial" w:eastAsia="仿宋" w:hAnsi="Arial" w:cs="Arial"/>
          <w:sz w:val="28"/>
          <w:szCs w:val="28"/>
          <w:lang w:bidi="ar"/>
        </w:rPr>
        <w:t>城市空间结构中的</w:t>
      </w:r>
      <w:r>
        <w:rPr>
          <w:rFonts w:ascii="Arial" w:eastAsia="仿宋" w:hAnsi="Arial" w:cs="Arial"/>
          <w:sz w:val="28"/>
          <w:szCs w:val="28"/>
          <w:lang w:bidi="ar"/>
        </w:rPr>
        <w:t>“</w:t>
      </w:r>
      <w:r>
        <w:rPr>
          <w:rFonts w:ascii="Arial" w:eastAsia="仿宋" w:hAnsi="Arial" w:cs="Arial"/>
          <w:sz w:val="28"/>
          <w:szCs w:val="28"/>
          <w:lang w:bidi="ar"/>
        </w:rPr>
        <w:t>多点</w:t>
      </w:r>
      <w:r>
        <w:rPr>
          <w:rFonts w:ascii="Arial" w:eastAsia="仿宋" w:hAnsi="Arial" w:cs="Arial"/>
          <w:sz w:val="28"/>
          <w:szCs w:val="28"/>
          <w:lang w:bidi="ar"/>
        </w:rPr>
        <w:t>”</w:t>
      </w:r>
      <w:r>
        <w:rPr>
          <w:rFonts w:ascii="Arial" w:eastAsia="仿宋" w:hAnsi="Arial" w:cs="Arial"/>
          <w:sz w:val="28"/>
          <w:szCs w:val="28"/>
          <w:lang w:bidi="ar"/>
        </w:rPr>
        <w:t>之一，也是</w:t>
      </w:r>
      <w:r>
        <w:rPr>
          <w:rFonts w:ascii="Arial" w:eastAsia="仿宋" w:hAnsi="Arial" w:cs="Arial"/>
          <w:sz w:val="28"/>
          <w:szCs w:val="28"/>
          <w:lang w:bidi="ar"/>
        </w:rPr>
        <w:t>“</w:t>
      </w:r>
      <w:r>
        <w:rPr>
          <w:rFonts w:ascii="Arial" w:eastAsia="仿宋" w:hAnsi="Arial" w:cs="Arial"/>
          <w:sz w:val="28"/>
          <w:szCs w:val="28"/>
          <w:lang w:bidi="ar"/>
        </w:rPr>
        <w:t>国门</w:t>
      </w:r>
      <w:r>
        <w:rPr>
          <w:rFonts w:ascii="Arial" w:eastAsia="仿宋" w:hAnsi="Arial" w:cs="Arial"/>
          <w:sz w:val="28"/>
          <w:szCs w:val="28"/>
          <w:lang w:bidi="ar"/>
        </w:rPr>
        <w:t>”</w:t>
      </w:r>
      <w:r>
        <w:rPr>
          <w:rFonts w:ascii="Arial" w:eastAsia="仿宋" w:hAnsi="Arial" w:cs="Arial"/>
          <w:sz w:val="28"/>
          <w:szCs w:val="28"/>
          <w:lang w:bidi="ar"/>
        </w:rPr>
        <w:t>所在地、首都重点平原新城、中心城区适宜功能产业的重要承接地，正在建设</w:t>
      </w:r>
      <w:r>
        <w:rPr>
          <w:rFonts w:ascii="Arial" w:eastAsia="仿宋" w:hAnsi="Arial" w:cs="Arial"/>
          <w:sz w:val="28"/>
          <w:szCs w:val="28"/>
          <w:lang w:bidi="ar"/>
        </w:rPr>
        <w:t>“</w:t>
      </w:r>
      <w:r>
        <w:rPr>
          <w:rFonts w:ascii="Arial" w:eastAsia="仿宋" w:hAnsi="Arial" w:cs="Arial"/>
          <w:sz w:val="28"/>
          <w:szCs w:val="28"/>
          <w:lang w:bidi="ar"/>
        </w:rPr>
        <w:t>港城融合的国际航空中心核心区，创新引领的区域经济提升发展先行区，城乡协调的首都和谐宜居示范区</w:t>
      </w:r>
      <w:r>
        <w:rPr>
          <w:rFonts w:ascii="Arial" w:eastAsia="仿宋" w:hAnsi="Arial" w:cs="Arial"/>
          <w:sz w:val="28"/>
          <w:szCs w:val="28"/>
          <w:lang w:bidi="ar"/>
        </w:rPr>
        <w:t>”</w:t>
      </w:r>
      <w:r>
        <w:rPr>
          <w:rFonts w:ascii="Arial" w:eastAsia="仿宋" w:hAnsi="Arial" w:cs="Arial"/>
          <w:sz w:val="28"/>
          <w:szCs w:val="28"/>
          <w:lang w:bidi="ar"/>
        </w:rPr>
        <w:t>。</w:t>
      </w:r>
      <w:bookmarkEnd w:id="154"/>
    </w:p>
    <w:p w14:paraId="7BF182CD" w14:textId="77777777" w:rsidR="0062768B" w:rsidRDefault="00136729">
      <w:pPr>
        <w:widowControl/>
        <w:adjustRightInd/>
        <w:spacing w:line="300" w:lineRule="auto"/>
        <w:ind w:firstLineChars="200" w:firstLine="560"/>
        <w:rPr>
          <w:rFonts w:ascii="Arial" w:eastAsia="仿宋" w:hAnsi="Arial" w:cs="Arial"/>
          <w:sz w:val="28"/>
          <w:szCs w:val="28"/>
          <w:lang w:bidi="ar"/>
        </w:rPr>
      </w:pPr>
      <w:r>
        <w:rPr>
          <w:rFonts w:ascii="Arial" w:eastAsia="仿宋" w:hAnsi="Arial" w:cs="Arial"/>
          <w:sz w:val="28"/>
          <w:szCs w:val="28"/>
          <w:lang w:bidi="ar"/>
        </w:rPr>
        <w:t>顺义区地势北高南低，东北边界屏障燕山，境内平原为河流洪水携带沉积物质造成，表面堆积物主要是砂、亚砂土，面积占</w:t>
      </w:r>
      <w:r>
        <w:rPr>
          <w:rFonts w:ascii="Arial" w:eastAsia="仿宋" w:hAnsi="Arial" w:cs="Arial"/>
          <w:sz w:val="28"/>
          <w:szCs w:val="28"/>
          <w:lang w:bidi="ar"/>
        </w:rPr>
        <w:t>95.7%</w:t>
      </w:r>
      <w:r>
        <w:rPr>
          <w:rFonts w:ascii="Arial" w:eastAsia="仿宋" w:hAnsi="Arial" w:cs="Arial"/>
          <w:sz w:val="28"/>
          <w:szCs w:val="28"/>
          <w:lang w:bidi="ar"/>
        </w:rPr>
        <w:t>。北部山地最高点海拔为</w:t>
      </w:r>
      <w:r>
        <w:rPr>
          <w:rFonts w:ascii="Arial" w:eastAsia="仿宋" w:hAnsi="Arial" w:cs="Arial"/>
          <w:sz w:val="28"/>
          <w:szCs w:val="28"/>
          <w:lang w:bidi="ar"/>
        </w:rPr>
        <w:t>637</w:t>
      </w:r>
      <w:r>
        <w:rPr>
          <w:rFonts w:ascii="Arial" w:eastAsia="仿宋" w:hAnsi="Arial" w:cs="Arial"/>
          <w:sz w:val="28"/>
          <w:szCs w:val="28"/>
          <w:lang w:bidi="ar"/>
        </w:rPr>
        <w:t>米，境内最低点海拔为</w:t>
      </w:r>
      <w:r>
        <w:rPr>
          <w:rFonts w:ascii="Arial" w:eastAsia="仿宋" w:hAnsi="Arial" w:cs="Arial"/>
          <w:sz w:val="28"/>
          <w:szCs w:val="28"/>
          <w:lang w:bidi="ar"/>
        </w:rPr>
        <w:t>24</w:t>
      </w:r>
      <w:r>
        <w:rPr>
          <w:rFonts w:ascii="Arial" w:eastAsia="仿宋" w:hAnsi="Arial" w:cs="Arial"/>
          <w:sz w:val="28"/>
          <w:szCs w:val="28"/>
          <w:lang w:bidi="ar"/>
        </w:rPr>
        <w:t>米，平均海拔</w:t>
      </w:r>
      <w:r>
        <w:rPr>
          <w:rFonts w:ascii="Arial" w:eastAsia="仿宋" w:hAnsi="Arial" w:cs="Arial"/>
          <w:sz w:val="28"/>
          <w:szCs w:val="28"/>
          <w:lang w:bidi="ar"/>
        </w:rPr>
        <w:t>35</w:t>
      </w:r>
      <w:r>
        <w:rPr>
          <w:rFonts w:ascii="Arial" w:eastAsia="仿宋" w:hAnsi="Arial" w:cs="Arial"/>
          <w:sz w:val="28"/>
          <w:szCs w:val="28"/>
          <w:lang w:bidi="ar"/>
        </w:rPr>
        <w:t>米。顺义区境内有大小河流</w:t>
      </w:r>
      <w:r>
        <w:rPr>
          <w:rFonts w:ascii="Arial" w:eastAsia="仿宋" w:hAnsi="Arial" w:cs="Arial"/>
          <w:sz w:val="28"/>
          <w:szCs w:val="28"/>
          <w:lang w:bidi="ar"/>
        </w:rPr>
        <w:t>20</w:t>
      </w:r>
      <w:r>
        <w:rPr>
          <w:rFonts w:ascii="Arial" w:eastAsia="仿宋" w:hAnsi="Arial" w:cs="Arial"/>
          <w:sz w:val="28"/>
          <w:szCs w:val="28"/>
          <w:lang w:bidi="ar"/>
        </w:rPr>
        <w:t>余条，潮白河等河流分流其间，均呈南北走向，分属北运河、潮白河、</w:t>
      </w:r>
      <w:proofErr w:type="gramStart"/>
      <w:r>
        <w:rPr>
          <w:rFonts w:ascii="Arial" w:eastAsia="仿宋" w:hAnsi="Arial" w:cs="Arial"/>
          <w:sz w:val="28"/>
          <w:szCs w:val="28"/>
          <w:lang w:bidi="ar"/>
        </w:rPr>
        <w:t>蓟</w:t>
      </w:r>
      <w:proofErr w:type="gramEnd"/>
      <w:r>
        <w:rPr>
          <w:rFonts w:ascii="Arial" w:eastAsia="仿宋" w:hAnsi="Arial" w:cs="Arial"/>
          <w:sz w:val="28"/>
          <w:szCs w:val="28"/>
          <w:lang w:bidi="ar"/>
        </w:rPr>
        <w:t>运河</w:t>
      </w:r>
      <w:r>
        <w:rPr>
          <w:rFonts w:ascii="Arial" w:eastAsia="仿宋" w:hAnsi="Arial" w:cs="Arial"/>
          <w:sz w:val="28"/>
          <w:szCs w:val="28"/>
          <w:lang w:bidi="ar"/>
        </w:rPr>
        <w:t>3</w:t>
      </w:r>
      <w:r>
        <w:rPr>
          <w:rFonts w:ascii="Arial" w:eastAsia="仿宋" w:hAnsi="Arial" w:cs="Arial"/>
          <w:sz w:val="28"/>
          <w:szCs w:val="28"/>
          <w:lang w:bidi="ar"/>
        </w:rPr>
        <w:t>个水系。河道总长</w:t>
      </w:r>
      <w:r>
        <w:rPr>
          <w:rFonts w:ascii="Arial" w:eastAsia="仿宋" w:hAnsi="Arial" w:cs="Arial"/>
          <w:sz w:val="28"/>
          <w:szCs w:val="28"/>
          <w:lang w:bidi="ar"/>
        </w:rPr>
        <w:t>232</w:t>
      </w:r>
      <w:r>
        <w:rPr>
          <w:rFonts w:ascii="Arial" w:eastAsia="仿宋" w:hAnsi="Arial" w:cs="Arial"/>
          <w:sz w:val="28"/>
          <w:szCs w:val="28"/>
          <w:lang w:bidi="ar"/>
        </w:rPr>
        <w:t>千米，径流总量</w:t>
      </w:r>
      <w:r>
        <w:rPr>
          <w:rFonts w:ascii="Arial" w:eastAsia="仿宋" w:hAnsi="Arial" w:cs="Arial"/>
          <w:sz w:val="28"/>
          <w:szCs w:val="28"/>
          <w:lang w:bidi="ar"/>
        </w:rPr>
        <w:t>1.7</w:t>
      </w:r>
      <w:r>
        <w:rPr>
          <w:rFonts w:ascii="Arial" w:eastAsia="仿宋" w:hAnsi="Arial" w:cs="Arial"/>
          <w:sz w:val="28"/>
          <w:szCs w:val="28"/>
          <w:lang w:bidi="ar"/>
        </w:rPr>
        <w:t>亿立方米。</w:t>
      </w:r>
    </w:p>
    <w:p w14:paraId="7B33E376" w14:textId="77777777" w:rsidR="0062768B" w:rsidRDefault="00136729">
      <w:pPr>
        <w:adjustRightInd/>
        <w:spacing w:line="300" w:lineRule="auto"/>
        <w:ind w:firstLineChars="200" w:firstLine="560"/>
        <w:jc w:val="both"/>
        <w:rPr>
          <w:rFonts w:ascii="Arial" w:eastAsia="仿宋" w:hAnsi="Arial" w:cs="Arial"/>
          <w:i/>
          <w:sz w:val="28"/>
          <w:szCs w:val="28"/>
        </w:rPr>
      </w:pPr>
      <w:r>
        <w:rPr>
          <w:rFonts w:ascii="Arial" w:eastAsia="仿宋" w:hAnsi="Arial" w:cs="Arial"/>
          <w:sz w:val="28"/>
          <w:szCs w:val="28"/>
          <w:lang w:bidi="ar"/>
        </w:rPr>
        <w:t>顺义区公路已形成机场高速、京承高速、机场北线高速、京平高速、机场南线高速、六环路等高速公路为龙头，京密路、顺平路等国、市道主干线路网为骨架，县乡公路为支脉，</w:t>
      </w:r>
      <w:r>
        <w:rPr>
          <w:rFonts w:ascii="Arial" w:eastAsia="仿宋" w:hAnsi="Arial" w:cs="Arial"/>
          <w:sz w:val="28"/>
          <w:szCs w:val="28"/>
          <w:lang w:bidi="ar"/>
        </w:rPr>
        <w:t>“</w:t>
      </w:r>
      <w:r>
        <w:rPr>
          <w:rFonts w:ascii="Arial" w:eastAsia="仿宋" w:hAnsi="Arial" w:cs="Arial"/>
          <w:sz w:val="28"/>
          <w:szCs w:val="28"/>
          <w:lang w:bidi="ar"/>
        </w:rPr>
        <w:t>六横</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十四纵</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二放射</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六高速</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棋盘</w:t>
      </w:r>
      <w:r>
        <w:rPr>
          <w:rFonts w:ascii="Arial" w:eastAsia="仿宋" w:hAnsi="Arial" w:cs="Arial"/>
          <w:sz w:val="28"/>
          <w:szCs w:val="28"/>
          <w:lang w:bidi="ar"/>
        </w:rPr>
        <w:t>+</w:t>
      </w:r>
      <w:r>
        <w:rPr>
          <w:rFonts w:ascii="Arial" w:eastAsia="仿宋" w:hAnsi="Arial" w:cs="Arial"/>
          <w:sz w:val="28"/>
          <w:szCs w:val="28"/>
          <w:lang w:bidi="ar"/>
        </w:rPr>
        <w:t>网格</w:t>
      </w:r>
      <w:r>
        <w:rPr>
          <w:rFonts w:ascii="Arial" w:eastAsia="仿宋" w:hAnsi="Arial" w:cs="Arial"/>
          <w:sz w:val="28"/>
          <w:szCs w:val="28"/>
          <w:lang w:bidi="ar"/>
        </w:rPr>
        <w:t>+</w:t>
      </w:r>
      <w:r>
        <w:rPr>
          <w:rFonts w:ascii="Arial" w:eastAsia="仿宋" w:hAnsi="Arial" w:cs="Arial"/>
          <w:sz w:val="28"/>
          <w:szCs w:val="28"/>
          <w:lang w:bidi="ar"/>
        </w:rPr>
        <w:t>环线</w:t>
      </w:r>
      <w:r>
        <w:rPr>
          <w:rFonts w:ascii="Arial" w:eastAsia="仿宋" w:hAnsi="Arial" w:cs="Arial"/>
          <w:sz w:val="28"/>
          <w:szCs w:val="28"/>
          <w:lang w:bidi="ar"/>
        </w:rPr>
        <w:t>”</w:t>
      </w:r>
      <w:r>
        <w:rPr>
          <w:rFonts w:ascii="Arial" w:eastAsia="仿宋" w:hAnsi="Arial" w:cs="Arial"/>
          <w:sz w:val="28"/>
          <w:szCs w:val="28"/>
          <w:lang w:bidi="ar"/>
        </w:rPr>
        <w:t>纵横交错、四通八达的公路网体系。</w:t>
      </w:r>
    </w:p>
    <w:p w14:paraId="10AA22C7"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交通条件</w:t>
      </w:r>
    </w:p>
    <w:p w14:paraId="6A04D7F9" w14:textId="77777777" w:rsidR="0062768B" w:rsidRDefault="00136729">
      <w:pPr>
        <w:adjustRightInd/>
        <w:spacing w:line="300" w:lineRule="auto"/>
        <w:ind w:firstLineChars="200" w:firstLine="560"/>
        <w:jc w:val="both"/>
        <w:rPr>
          <w:rFonts w:ascii="Arial" w:eastAsia="仿宋" w:hAnsi="Arial" w:cs="Arial"/>
          <w:sz w:val="28"/>
          <w:szCs w:val="28"/>
          <w:lang w:bidi="ar"/>
        </w:rPr>
      </w:pPr>
      <w:r>
        <w:rPr>
          <w:rFonts w:ascii="Arial" w:eastAsia="仿宋" w:hAnsi="Arial" w:cs="Arial"/>
          <w:sz w:val="28"/>
          <w:szCs w:val="28"/>
          <w:lang w:bidi="ar"/>
        </w:rPr>
        <w:lastRenderedPageBreak/>
        <w:t>估价对象属于北京市顺义区高丽营镇夏县营村，估价对象紧</w:t>
      </w:r>
      <w:proofErr w:type="gramStart"/>
      <w:r>
        <w:rPr>
          <w:rFonts w:ascii="Arial" w:eastAsia="仿宋" w:hAnsi="Arial" w:cs="Arial"/>
          <w:sz w:val="28"/>
          <w:szCs w:val="28"/>
          <w:lang w:bidi="ar"/>
        </w:rPr>
        <w:t>临城市</w:t>
      </w:r>
      <w:proofErr w:type="gramEnd"/>
      <w:r>
        <w:rPr>
          <w:rFonts w:ascii="Arial" w:eastAsia="仿宋" w:hAnsi="Arial" w:cs="Arial"/>
          <w:sz w:val="28"/>
          <w:szCs w:val="28"/>
          <w:lang w:bidi="ar"/>
        </w:rPr>
        <w:t>主干道</w:t>
      </w:r>
      <w:r>
        <w:rPr>
          <w:rFonts w:ascii="Arial" w:eastAsia="仿宋" w:hAnsi="Arial" w:cs="Arial"/>
          <w:sz w:val="28"/>
          <w:szCs w:val="28"/>
          <w:lang w:bidi="ar"/>
        </w:rPr>
        <w:t>——</w:t>
      </w:r>
      <w:proofErr w:type="gramStart"/>
      <w:r>
        <w:rPr>
          <w:rFonts w:ascii="Arial" w:eastAsia="仿宋" w:hAnsi="Arial" w:cs="Arial"/>
          <w:sz w:val="28"/>
          <w:szCs w:val="28"/>
          <w:lang w:bidi="ar"/>
        </w:rPr>
        <w:t>火寺路</w:t>
      </w:r>
      <w:proofErr w:type="gramEnd"/>
      <w:r>
        <w:rPr>
          <w:rFonts w:ascii="Arial" w:eastAsia="仿宋" w:hAnsi="Arial" w:cs="Arial"/>
          <w:sz w:val="28"/>
          <w:szCs w:val="28"/>
          <w:lang w:bidi="ar"/>
        </w:rPr>
        <w:t>、周边</w:t>
      </w:r>
      <w:r>
        <w:rPr>
          <w:rFonts w:ascii="Arial" w:eastAsia="仿宋" w:hAnsi="Arial" w:cs="Arial"/>
          <w:sz w:val="28"/>
          <w:szCs w:val="28"/>
          <w:lang w:bidi="ar"/>
        </w:rPr>
        <w:t>1</w:t>
      </w:r>
      <w:r>
        <w:rPr>
          <w:rFonts w:ascii="Arial" w:eastAsia="仿宋" w:hAnsi="Arial" w:cs="Arial"/>
          <w:sz w:val="28"/>
          <w:szCs w:val="28"/>
          <w:lang w:bidi="ar"/>
        </w:rPr>
        <w:t>公里范围内有顺</w:t>
      </w:r>
      <w:r>
        <w:rPr>
          <w:rFonts w:ascii="Arial" w:eastAsia="仿宋" w:hAnsi="Arial" w:cs="Arial"/>
          <w:sz w:val="28"/>
          <w:szCs w:val="28"/>
          <w:lang w:bidi="ar"/>
        </w:rPr>
        <w:t>25</w:t>
      </w:r>
      <w:r>
        <w:rPr>
          <w:rFonts w:ascii="Arial" w:eastAsia="仿宋" w:hAnsi="Arial" w:cs="Arial"/>
          <w:sz w:val="28"/>
          <w:szCs w:val="28"/>
          <w:lang w:bidi="ar"/>
        </w:rPr>
        <w:t>路、顺</w:t>
      </w:r>
      <w:r>
        <w:rPr>
          <w:rFonts w:ascii="Arial" w:eastAsia="仿宋" w:hAnsi="Arial" w:cs="Arial"/>
          <w:sz w:val="28"/>
          <w:szCs w:val="28"/>
          <w:lang w:bidi="ar"/>
        </w:rPr>
        <w:t>42</w:t>
      </w:r>
      <w:r>
        <w:rPr>
          <w:rFonts w:ascii="Arial" w:eastAsia="仿宋" w:hAnsi="Arial" w:cs="Arial"/>
          <w:sz w:val="28"/>
          <w:szCs w:val="28"/>
          <w:lang w:bidi="ar"/>
        </w:rPr>
        <w:t>路、顺</w:t>
      </w:r>
      <w:r>
        <w:rPr>
          <w:rFonts w:ascii="Arial" w:eastAsia="仿宋" w:hAnsi="Arial" w:cs="Arial"/>
          <w:sz w:val="28"/>
          <w:szCs w:val="28"/>
          <w:lang w:bidi="ar"/>
        </w:rPr>
        <w:t>49</w:t>
      </w:r>
      <w:r>
        <w:rPr>
          <w:rFonts w:ascii="Arial" w:eastAsia="仿宋" w:hAnsi="Arial" w:cs="Arial"/>
          <w:sz w:val="28"/>
          <w:szCs w:val="28"/>
          <w:lang w:bidi="ar"/>
        </w:rPr>
        <w:t>路、顺</w:t>
      </w:r>
      <w:r>
        <w:rPr>
          <w:rFonts w:ascii="Arial" w:eastAsia="仿宋" w:hAnsi="Arial" w:cs="Arial"/>
          <w:sz w:val="28"/>
          <w:szCs w:val="28"/>
          <w:lang w:bidi="ar"/>
        </w:rPr>
        <w:t>69</w:t>
      </w:r>
      <w:r>
        <w:rPr>
          <w:rFonts w:ascii="Arial" w:eastAsia="仿宋" w:hAnsi="Arial" w:cs="Arial"/>
          <w:sz w:val="28"/>
          <w:szCs w:val="28"/>
          <w:lang w:bidi="ar"/>
        </w:rPr>
        <w:t>路等公交线路，区域内交通一般，区域间通达性较差，综合评价交通便捷度较差。</w:t>
      </w:r>
    </w:p>
    <w:p w14:paraId="56DE67B0"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环境条件</w:t>
      </w:r>
    </w:p>
    <w:p w14:paraId="2D3CAAEC" w14:textId="77777777" w:rsidR="0062768B" w:rsidRDefault="00136729">
      <w:pPr>
        <w:adjustRightInd/>
        <w:spacing w:line="300" w:lineRule="auto"/>
        <w:ind w:firstLineChars="200" w:firstLine="560"/>
        <w:jc w:val="both"/>
        <w:rPr>
          <w:rFonts w:ascii="Arial" w:eastAsia="仿宋" w:hAnsi="Arial" w:cs="Arial"/>
          <w:sz w:val="28"/>
          <w:szCs w:val="28"/>
          <w:lang w:bidi="ar"/>
        </w:rPr>
      </w:pPr>
      <w:r>
        <w:rPr>
          <w:rFonts w:ascii="Arial" w:eastAsia="仿宋" w:hAnsi="Arial" w:cs="Arial"/>
          <w:sz w:val="28"/>
          <w:szCs w:val="28"/>
          <w:lang w:bidi="ar"/>
        </w:rPr>
        <w:t>估价对位于北京市顺义区高丽营镇夏县营村，周边</w:t>
      </w:r>
      <w:r>
        <w:rPr>
          <w:rFonts w:ascii="Arial" w:eastAsia="仿宋" w:hAnsi="Arial" w:cs="Arial"/>
          <w:sz w:val="28"/>
          <w:szCs w:val="28"/>
          <w:lang w:bidi="ar"/>
        </w:rPr>
        <w:t>2</w:t>
      </w:r>
      <w:r>
        <w:rPr>
          <w:rFonts w:ascii="Arial" w:eastAsia="仿宋" w:hAnsi="Arial" w:cs="Arial"/>
          <w:sz w:val="28"/>
          <w:szCs w:val="28"/>
          <w:lang w:bidi="ar"/>
        </w:rPr>
        <w:t>公里范围内有南郎中休闲公园、口袋公园、方氏渠等自然环境；无人文环境；综合评价环境状况一般。</w:t>
      </w:r>
    </w:p>
    <w:p w14:paraId="0B75ED5D" w14:textId="77777777" w:rsidR="0062768B" w:rsidRDefault="00136729">
      <w:pPr>
        <w:adjustRightInd/>
        <w:spacing w:line="300" w:lineRule="auto"/>
        <w:ind w:firstLineChars="200" w:firstLine="560"/>
        <w:jc w:val="both"/>
        <w:rPr>
          <w:rFonts w:ascii="Arial" w:eastAsia="仿宋" w:hAnsi="Arial" w:cs="Arial"/>
          <w:i/>
          <w:sz w:val="28"/>
          <w:szCs w:val="28"/>
        </w:rPr>
      </w:pPr>
      <w:r>
        <w:rPr>
          <w:rFonts w:ascii="Arial" w:eastAsia="仿宋" w:hAnsi="Arial" w:cs="Arial"/>
          <w:sz w:val="28"/>
          <w:szCs w:val="28"/>
        </w:rPr>
        <w:t>4.</w:t>
      </w:r>
      <w:r>
        <w:rPr>
          <w:rFonts w:ascii="Arial" w:eastAsia="仿宋" w:hAnsi="Arial" w:cs="Arial"/>
          <w:sz w:val="28"/>
          <w:szCs w:val="28"/>
        </w:rPr>
        <w:t>基础</w:t>
      </w:r>
      <w:proofErr w:type="gramStart"/>
      <w:r>
        <w:rPr>
          <w:rFonts w:ascii="Arial" w:eastAsia="仿宋" w:hAnsi="Arial" w:cs="Arial"/>
          <w:sz w:val="28"/>
          <w:szCs w:val="28"/>
        </w:rPr>
        <w:t>设施设施</w:t>
      </w:r>
      <w:proofErr w:type="gramEnd"/>
      <w:r>
        <w:rPr>
          <w:rFonts w:ascii="Arial" w:eastAsia="仿宋" w:hAnsi="Arial" w:cs="Arial"/>
          <w:sz w:val="28"/>
          <w:szCs w:val="28"/>
        </w:rPr>
        <w:t>条件</w:t>
      </w:r>
    </w:p>
    <w:p w14:paraId="461FC327"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估价对象所在区域内基础设施配套条件达到</w:t>
      </w:r>
      <w:r>
        <w:rPr>
          <w:rFonts w:ascii="Arial" w:eastAsia="仿宋" w:hAnsi="Arial" w:cs="Arial"/>
          <w:sz w:val="28"/>
          <w:szCs w:val="28"/>
        </w:rPr>
        <w:t>“</w:t>
      </w:r>
      <w:r>
        <w:rPr>
          <w:rFonts w:ascii="Arial" w:eastAsia="仿宋" w:hAnsi="Arial" w:cs="Arial"/>
          <w:sz w:val="28"/>
          <w:szCs w:val="28"/>
        </w:rPr>
        <w:t>七通</w:t>
      </w:r>
      <w:r>
        <w:rPr>
          <w:rFonts w:ascii="Arial" w:eastAsia="仿宋" w:hAnsi="Arial" w:cs="Arial"/>
          <w:sz w:val="28"/>
          <w:szCs w:val="28"/>
        </w:rPr>
        <w:t>”</w:t>
      </w:r>
      <w:r>
        <w:rPr>
          <w:rFonts w:ascii="Arial" w:eastAsia="仿宋" w:hAnsi="Arial" w:cs="Arial"/>
          <w:sz w:val="28"/>
          <w:szCs w:val="28"/>
        </w:rPr>
        <w:t>（即通路、通上水、通下水、通电、通讯、通燃气、通热力），能够保证工作、生产需要，基础设施配套完善度好。</w:t>
      </w:r>
    </w:p>
    <w:p w14:paraId="4B8E9C1D"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 w:hAnsi="Arial" w:cs="Arial"/>
          <w:sz w:val="28"/>
          <w:szCs w:val="28"/>
        </w:rPr>
        <w:t>公共服务设施状况</w:t>
      </w:r>
    </w:p>
    <w:p w14:paraId="3907E26C"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估价对象周边</w:t>
      </w:r>
      <w:r>
        <w:rPr>
          <w:rFonts w:ascii="Arial" w:eastAsia="仿宋" w:hAnsi="Arial" w:cs="Arial"/>
          <w:sz w:val="28"/>
          <w:szCs w:val="28"/>
          <w:lang w:bidi="ar"/>
        </w:rPr>
        <w:t>约</w:t>
      </w:r>
      <w:r>
        <w:rPr>
          <w:rFonts w:ascii="Arial" w:eastAsia="仿宋" w:hAnsi="Arial" w:cs="Arial"/>
          <w:sz w:val="28"/>
          <w:szCs w:val="28"/>
        </w:rPr>
        <w:t>2</w:t>
      </w:r>
      <w:r>
        <w:rPr>
          <w:rFonts w:ascii="Arial" w:eastAsia="仿宋" w:hAnsi="Arial" w:cs="Arial"/>
          <w:sz w:val="28"/>
          <w:szCs w:val="28"/>
        </w:rPr>
        <w:t>公里范围内有北京超天商贸中心、</w:t>
      </w:r>
      <w:proofErr w:type="gramStart"/>
      <w:r>
        <w:rPr>
          <w:rFonts w:ascii="Arial" w:eastAsia="仿宋" w:hAnsi="Arial" w:cs="Arial"/>
          <w:sz w:val="28"/>
          <w:szCs w:val="28"/>
        </w:rPr>
        <w:t>隆华购物中心</w:t>
      </w:r>
      <w:proofErr w:type="gramEnd"/>
      <w:r>
        <w:rPr>
          <w:rFonts w:ascii="Arial" w:eastAsia="仿宋" w:hAnsi="Arial" w:cs="Arial"/>
          <w:sz w:val="28"/>
          <w:szCs w:val="28"/>
        </w:rPr>
        <w:t>、社区商业街、</w:t>
      </w:r>
      <w:proofErr w:type="gramStart"/>
      <w:r>
        <w:rPr>
          <w:rFonts w:ascii="Arial" w:eastAsia="仿宋" w:hAnsi="Arial" w:cs="Arial"/>
          <w:sz w:val="28"/>
          <w:szCs w:val="28"/>
        </w:rPr>
        <w:t>世纪华</w:t>
      </w:r>
      <w:proofErr w:type="gramEnd"/>
      <w:r>
        <w:rPr>
          <w:rFonts w:ascii="Arial" w:eastAsia="仿宋" w:hAnsi="Arial" w:cs="Arial"/>
          <w:sz w:val="28"/>
          <w:szCs w:val="28"/>
        </w:rPr>
        <w:t>联超市等商业服务设施；北京农商银行张喜庄分理处、北京</w:t>
      </w:r>
      <w:proofErr w:type="gramStart"/>
      <w:r>
        <w:rPr>
          <w:rFonts w:ascii="Arial" w:eastAsia="仿宋" w:hAnsi="Arial" w:cs="Arial"/>
          <w:sz w:val="28"/>
          <w:szCs w:val="28"/>
        </w:rPr>
        <w:t>顺义银</w:t>
      </w:r>
      <w:proofErr w:type="gramEnd"/>
      <w:r>
        <w:rPr>
          <w:rFonts w:ascii="Arial" w:eastAsia="仿宋" w:hAnsi="Arial" w:cs="Arial"/>
          <w:sz w:val="28"/>
          <w:szCs w:val="28"/>
        </w:rPr>
        <w:t>座村镇银行高丽营支行、中国邮政储蓄银行</w:t>
      </w:r>
      <w:proofErr w:type="gramStart"/>
      <w:r>
        <w:rPr>
          <w:rFonts w:ascii="Arial" w:eastAsia="仿宋" w:hAnsi="Arial" w:cs="Arial"/>
          <w:sz w:val="28"/>
          <w:szCs w:val="28"/>
        </w:rPr>
        <w:t>张喜庄邮政储蓄</w:t>
      </w:r>
      <w:proofErr w:type="gramEnd"/>
      <w:r>
        <w:rPr>
          <w:rFonts w:ascii="Arial" w:eastAsia="仿宋" w:hAnsi="Arial" w:cs="Arial"/>
          <w:sz w:val="28"/>
          <w:szCs w:val="28"/>
        </w:rPr>
        <w:t>等金融机构；高丽营第一幼儿园、高丽营第二小学、高丽营第二中学等教育资源；北京顺义天苑医院、北京市顺义区高丽营镇</w:t>
      </w:r>
      <w:proofErr w:type="gramStart"/>
      <w:r>
        <w:rPr>
          <w:rFonts w:ascii="Arial" w:eastAsia="仿宋" w:hAnsi="Arial" w:cs="Arial"/>
          <w:sz w:val="28"/>
          <w:szCs w:val="28"/>
        </w:rPr>
        <w:t>张喜庄卫生院</w:t>
      </w:r>
      <w:proofErr w:type="gramEnd"/>
      <w:r>
        <w:rPr>
          <w:rFonts w:ascii="Arial" w:eastAsia="仿宋" w:hAnsi="Arial" w:cs="Arial"/>
          <w:sz w:val="28"/>
          <w:szCs w:val="28"/>
        </w:rPr>
        <w:t>、北京市顺义区高丽营镇河津营村卫生室等医疗设施，公共配套设施齐备情况一般。</w:t>
      </w:r>
    </w:p>
    <w:p w14:paraId="7E86138F"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 w:hAnsi="Arial" w:cs="Arial"/>
          <w:sz w:val="28"/>
          <w:szCs w:val="28"/>
          <w:lang w:eastAsia="zh-Hans"/>
        </w:rPr>
        <w:t>.</w:t>
      </w:r>
      <w:r>
        <w:rPr>
          <w:rFonts w:ascii="Arial" w:eastAsia="仿宋" w:hAnsi="Arial" w:cs="Arial"/>
          <w:sz w:val="28"/>
          <w:szCs w:val="28"/>
        </w:rPr>
        <w:t>居住社区成熟度</w:t>
      </w:r>
    </w:p>
    <w:p w14:paraId="78A95C57"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w:t>
      </w:r>
      <w:r>
        <w:rPr>
          <w:rFonts w:ascii="Arial" w:eastAsia="仿宋" w:hAnsi="Arial" w:cs="Arial"/>
          <w:sz w:val="28"/>
          <w:szCs w:val="28"/>
          <w:lang w:bidi="ar"/>
        </w:rPr>
        <w:t>北京市顺义区高丽营镇夏县营村</w:t>
      </w:r>
      <w:r>
        <w:rPr>
          <w:rFonts w:ascii="Arial" w:eastAsia="仿宋" w:hAnsi="Arial" w:cs="Arial"/>
          <w:sz w:val="28"/>
          <w:szCs w:val="28"/>
        </w:rPr>
        <w:t>，周边</w:t>
      </w:r>
      <w:r>
        <w:rPr>
          <w:rFonts w:ascii="Arial" w:eastAsia="仿宋" w:hAnsi="Arial" w:cs="Arial"/>
          <w:sz w:val="28"/>
          <w:szCs w:val="28"/>
          <w:lang w:bidi="ar"/>
        </w:rPr>
        <w:t>约</w:t>
      </w:r>
      <w:r>
        <w:rPr>
          <w:rFonts w:ascii="Arial" w:eastAsia="仿宋" w:hAnsi="Arial" w:cs="Arial"/>
          <w:sz w:val="28"/>
          <w:szCs w:val="28"/>
        </w:rPr>
        <w:t>2</w:t>
      </w:r>
      <w:r>
        <w:rPr>
          <w:rFonts w:ascii="Arial" w:eastAsia="仿宋" w:hAnsi="Arial" w:cs="Arial"/>
          <w:sz w:val="28"/>
          <w:szCs w:val="28"/>
        </w:rPr>
        <w:t>公里范围内</w:t>
      </w:r>
      <w:proofErr w:type="gramStart"/>
      <w:r>
        <w:rPr>
          <w:rFonts w:ascii="Arial" w:eastAsia="仿宋" w:hAnsi="Arial" w:cs="Arial"/>
          <w:sz w:val="28"/>
          <w:szCs w:val="28"/>
        </w:rPr>
        <w:t>有丽喜花园</w:t>
      </w:r>
      <w:proofErr w:type="gramEnd"/>
      <w:r>
        <w:rPr>
          <w:rFonts w:ascii="Arial" w:eastAsia="仿宋" w:hAnsi="Arial" w:cs="Arial"/>
          <w:sz w:val="28"/>
          <w:szCs w:val="28"/>
        </w:rPr>
        <w:t>、东君府、</w:t>
      </w:r>
      <w:proofErr w:type="spellStart"/>
      <w:r>
        <w:rPr>
          <w:rFonts w:ascii="Arial" w:eastAsia="仿宋" w:hAnsi="Arial" w:cs="Arial"/>
          <w:sz w:val="28"/>
          <w:szCs w:val="28"/>
        </w:rPr>
        <w:t>moma</w:t>
      </w:r>
      <w:proofErr w:type="spellEnd"/>
      <w:r>
        <w:rPr>
          <w:rFonts w:ascii="Arial" w:eastAsia="仿宋" w:hAnsi="Arial" w:cs="Arial"/>
          <w:sz w:val="28"/>
          <w:szCs w:val="28"/>
        </w:rPr>
        <w:t>万万树、壹号</w:t>
      </w:r>
      <w:proofErr w:type="gramStart"/>
      <w:r>
        <w:rPr>
          <w:rFonts w:ascii="Arial" w:eastAsia="仿宋" w:hAnsi="Arial" w:cs="Arial"/>
          <w:sz w:val="28"/>
          <w:szCs w:val="28"/>
        </w:rPr>
        <w:t>东临院等</w:t>
      </w:r>
      <w:proofErr w:type="gramEnd"/>
      <w:r>
        <w:rPr>
          <w:rFonts w:ascii="Arial" w:eastAsia="仿宋" w:hAnsi="Arial" w:cs="Arial"/>
          <w:sz w:val="28"/>
          <w:szCs w:val="28"/>
        </w:rPr>
        <w:t>社区，居住小区规模和社区发展完善程度较完善，综合评价居住社区成熟度一般。</w:t>
      </w:r>
    </w:p>
    <w:p w14:paraId="14487E81"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商服繁华程度</w:t>
      </w:r>
    </w:p>
    <w:p w14:paraId="3C29C8F2" w14:textId="77777777" w:rsidR="0062768B" w:rsidRDefault="00136729">
      <w:pPr>
        <w:adjustRightInd/>
        <w:spacing w:line="300" w:lineRule="auto"/>
        <w:ind w:firstLineChars="200" w:firstLine="560"/>
        <w:jc w:val="both"/>
        <w:rPr>
          <w:rFonts w:ascii="Arial" w:eastAsia="仿宋" w:hAnsi="Arial" w:cs="Arial"/>
          <w:sz w:val="28"/>
          <w:szCs w:val="28"/>
          <w:lang w:eastAsia="zh-Hans"/>
        </w:rPr>
      </w:pPr>
      <w:r>
        <w:rPr>
          <w:rFonts w:ascii="Arial" w:eastAsia="仿宋" w:hAnsi="Arial" w:cs="Arial"/>
          <w:sz w:val="28"/>
          <w:szCs w:val="28"/>
        </w:rPr>
        <w:t>估价对象位于</w:t>
      </w:r>
      <w:r>
        <w:rPr>
          <w:rFonts w:ascii="Arial" w:eastAsia="仿宋" w:hAnsi="Arial" w:cs="Arial"/>
          <w:sz w:val="28"/>
          <w:szCs w:val="28"/>
          <w:lang w:bidi="ar"/>
        </w:rPr>
        <w:t>北京市顺义区高丽营镇夏县营村</w:t>
      </w:r>
      <w:r>
        <w:rPr>
          <w:rFonts w:ascii="Arial" w:eastAsia="仿宋" w:hAnsi="Arial" w:cs="Arial"/>
          <w:sz w:val="28"/>
          <w:szCs w:val="28"/>
        </w:rPr>
        <w:t>，周边</w:t>
      </w:r>
      <w:r>
        <w:rPr>
          <w:rFonts w:ascii="Arial" w:eastAsia="仿宋" w:hAnsi="Arial" w:cs="Arial"/>
          <w:sz w:val="28"/>
          <w:szCs w:val="28"/>
          <w:lang w:bidi="ar"/>
        </w:rPr>
        <w:t>约</w:t>
      </w:r>
      <w:r>
        <w:rPr>
          <w:rFonts w:ascii="Arial" w:eastAsia="仿宋" w:hAnsi="Arial" w:cs="Arial"/>
          <w:sz w:val="28"/>
          <w:szCs w:val="28"/>
        </w:rPr>
        <w:t>2</w:t>
      </w:r>
      <w:r>
        <w:rPr>
          <w:rFonts w:ascii="Arial" w:eastAsia="仿宋" w:hAnsi="Arial" w:cs="Arial"/>
          <w:sz w:val="28"/>
          <w:szCs w:val="28"/>
        </w:rPr>
        <w:t>公里范围内有社区商业街，北京超天商贸中心、</w:t>
      </w:r>
      <w:proofErr w:type="gramStart"/>
      <w:r>
        <w:rPr>
          <w:rFonts w:ascii="Arial" w:eastAsia="仿宋" w:hAnsi="Arial" w:cs="Arial"/>
          <w:sz w:val="28"/>
          <w:szCs w:val="28"/>
        </w:rPr>
        <w:t>隆华购物中心</w:t>
      </w:r>
      <w:proofErr w:type="gramEnd"/>
      <w:r>
        <w:rPr>
          <w:rFonts w:ascii="Arial" w:eastAsia="仿宋" w:hAnsi="Arial" w:cs="Arial"/>
          <w:sz w:val="28"/>
          <w:szCs w:val="28"/>
        </w:rPr>
        <w:t>以及零星临街商铺，无大型购物中心，商业繁华度较差。</w:t>
      </w:r>
    </w:p>
    <w:p w14:paraId="2A0EBA97" w14:textId="77777777" w:rsidR="0062768B" w:rsidRDefault="00136729">
      <w:pPr>
        <w:adjustRightInd/>
        <w:spacing w:line="300" w:lineRule="auto"/>
        <w:ind w:firstLineChars="200" w:firstLine="560"/>
        <w:jc w:val="both"/>
        <w:rPr>
          <w:rFonts w:ascii="Arial" w:eastAsia="仿宋" w:hAnsi="Arial" w:cs="Arial"/>
          <w:sz w:val="28"/>
          <w:szCs w:val="28"/>
          <w:lang w:eastAsia="zh-Hans"/>
        </w:rPr>
      </w:pPr>
      <w:r>
        <w:rPr>
          <w:rFonts w:ascii="Arial" w:eastAsia="仿宋" w:hAnsi="Arial" w:cs="Arial"/>
          <w:sz w:val="28"/>
          <w:szCs w:val="28"/>
          <w:lang w:eastAsia="zh-Hans"/>
        </w:rPr>
        <w:t>8.</w:t>
      </w:r>
      <w:r>
        <w:rPr>
          <w:rFonts w:ascii="Arial" w:eastAsia="仿宋" w:hAnsi="Arial" w:cs="Arial"/>
          <w:sz w:val="28"/>
          <w:szCs w:val="28"/>
          <w:lang w:eastAsia="zh-Hans"/>
        </w:rPr>
        <w:t>物业集聚程度</w:t>
      </w:r>
    </w:p>
    <w:p w14:paraId="1219020F" w14:textId="77777777" w:rsidR="0062768B" w:rsidRDefault="00136729">
      <w:pPr>
        <w:adjustRightInd/>
        <w:spacing w:line="300" w:lineRule="auto"/>
        <w:ind w:firstLineChars="200" w:firstLine="560"/>
        <w:jc w:val="both"/>
        <w:rPr>
          <w:rFonts w:ascii="Arial" w:eastAsia="仿宋" w:hAnsi="Arial" w:cs="Arial"/>
          <w:sz w:val="28"/>
          <w:szCs w:val="28"/>
          <w:lang w:eastAsia="zh-Hans"/>
        </w:rPr>
      </w:pPr>
      <w:r>
        <w:rPr>
          <w:rFonts w:ascii="Arial" w:eastAsia="仿宋" w:hAnsi="Arial" w:cs="Arial"/>
          <w:sz w:val="28"/>
          <w:szCs w:val="28"/>
        </w:rPr>
        <w:t>估价对象位于</w:t>
      </w:r>
      <w:r>
        <w:rPr>
          <w:rFonts w:ascii="Arial" w:eastAsia="仿宋" w:hAnsi="Arial" w:cs="Arial"/>
          <w:sz w:val="28"/>
          <w:szCs w:val="28"/>
          <w:lang w:bidi="ar"/>
        </w:rPr>
        <w:t>北京市顺义区高丽营镇夏县营村</w:t>
      </w:r>
      <w:r>
        <w:rPr>
          <w:rFonts w:ascii="Arial" w:eastAsia="仿宋" w:hAnsi="Arial" w:cs="Arial"/>
          <w:sz w:val="28"/>
          <w:szCs w:val="28"/>
        </w:rPr>
        <w:t>，</w:t>
      </w:r>
      <w:r>
        <w:rPr>
          <w:rFonts w:ascii="Arial" w:eastAsia="仿宋" w:hAnsi="Arial" w:cs="Arial"/>
          <w:sz w:val="28"/>
          <w:szCs w:val="28"/>
          <w:lang w:eastAsia="zh-Hans"/>
        </w:rPr>
        <w:t>周边</w:t>
      </w:r>
      <w:r>
        <w:rPr>
          <w:rFonts w:ascii="Arial" w:eastAsia="仿宋" w:hAnsi="Arial" w:cs="Arial"/>
          <w:sz w:val="28"/>
          <w:szCs w:val="28"/>
          <w:lang w:bidi="ar"/>
        </w:rPr>
        <w:t>约</w:t>
      </w:r>
      <w:r>
        <w:rPr>
          <w:rFonts w:ascii="Arial" w:eastAsia="仿宋" w:hAnsi="Arial" w:cs="Arial"/>
          <w:sz w:val="28"/>
          <w:szCs w:val="28"/>
          <w:lang w:eastAsia="zh-Hans"/>
        </w:rPr>
        <w:t>2</w:t>
      </w:r>
      <w:r>
        <w:rPr>
          <w:rFonts w:ascii="Arial" w:eastAsia="仿宋" w:hAnsi="Arial" w:cs="Arial"/>
          <w:sz w:val="28"/>
          <w:szCs w:val="28"/>
          <w:lang w:eastAsia="zh-Hans"/>
        </w:rPr>
        <w:t>公里范围内</w:t>
      </w:r>
      <w:proofErr w:type="gramStart"/>
      <w:r>
        <w:rPr>
          <w:rFonts w:ascii="Arial" w:eastAsia="仿宋" w:hAnsi="Arial" w:cs="Arial"/>
          <w:sz w:val="28"/>
          <w:szCs w:val="28"/>
          <w:lang w:eastAsia="zh-Hans"/>
        </w:rPr>
        <w:t>有双悦大楼</w:t>
      </w:r>
      <w:proofErr w:type="gramEnd"/>
      <w:r>
        <w:rPr>
          <w:rFonts w:ascii="Arial" w:eastAsia="仿宋" w:hAnsi="Arial" w:cs="Arial"/>
          <w:sz w:val="28"/>
          <w:szCs w:val="28"/>
          <w:lang w:eastAsia="zh-Hans"/>
        </w:rPr>
        <w:t>、智慧谷商务中心等办公项目，周边公共服务物业数量较少，物业集聚程度较差。</w:t>
      </w:r>
    </w:p>
    <w:p w14:paraId="6470ACB3"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9.</w:t>
      </w:r>
      <w:r>
        <w:rPr>
          <w:rFonts w:ascii="Arial" w:eastAsia="仿宋" w:hAnsi="Arial" w:cs="Arial"/>
          <w:sz w:val="28"/>
          <w:szCs w:val="28"/>
        </w:rPr>
        <w:t>规划限制</w:t>
      </w:r>
    </w:p>
    <w:p w14:paraId="519E3228"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w:t>
      </w:r>
      <w:r>
        <w:rPr>
          <w:rFonts w:ascii="Arial" w:eastAsia="仿宋" w:hAnsi="Arial" w:cs="Arial"/>
          <w:sz w:val="28"/>
          <w:szCs w:val="28"/>
          <w:lang w:bidi="ar"/>
        </w:rPr>
        <w:t>北京市顺义区高丽营镇夏县营村</w:t>
      </w:r>
      <w:r>
        <w:rPr>
          <w:rFonts w:ascii="Arial" w:eastAsia="仿宋" w:hAnsi="Arial" w:cs="Arial"/>
          <w:sz w:val="28"/>
          <w:szCs w:val="28"/>
        </w:rPr>
        <w:t>，无特别规划限制，对估价对象土地发展利用无不利影响。</w:t>
      </w:r>
    </w:p>
    <w:p w14:paraId="3CF70E49"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综上所述，估价对象所处区域</w:t>
      </w:r>
      <w:r>
        <w:rPr>
          <w:rFonts w:ascii="Arial" w:eastAsia="仿宋" w:hAnsi="Arial" w:cs="Arial"/>
          <w:iCs/>
          <w:sz w:val="28"/>
          <w:szCs w:val="28"/>
        </w:rPr>
        <w:t>地理位置条件</w:t>
      </w:r>
      <w:r>
        <w:rPr>
          <w:rFonts w:ascii="Arial" w:eastAsia="仿宋" w:hAnsi="Arial" w:cs="Arial"/>
          <w:iCs/>
          <w:sz w:val="28"/>
          <w:szCs w:val="28"/>
          <w:lang w:eastAsia="zh-Hans"/>
        </w:rPr>
        <w:t>较差</w:t>
      </w:r>
      <w:r>
        <w:rPr>
          <w:rFonts w:ascii="Arial" w:eastAsia="仿宋" w:hAnsi="Arial" w:cs="Arial"/>
          <w:iCs/>
          <w:sz w:val="28"/>
          <w:szCs w:val="28"/>
        </w:rPr>
        <w:t>、交通条件</w:t>
      </w:r>
      <w:r>
        <w:rPr>
          <w:rFonts w:ascii="Arial" w:eastAsia="仿宋" w:hAnsi="Arial" w:cs="Arial"/>
          <w:iCs/>
          <w:sz w:val="28"/>
          <w:szCs w:val="28"/>
          <w:lang w:eastAsia="zh-Hans"/>
        </w:rPr>
        <w:t>较差</w:t>
      </w:r>
      <w:r>
        <w:rPr>
          <w:rFonts w:ascii="Arial" w:eastAsia="仿宋" w:hAnsi="Arial" w:cs="Arial"/>
          <w:iCs/>
          <w:sz w:val="28"/>
          <w:szCs w:val="28"/>
        </w:rPr>
        <w:t>，公用设施一般，基础设施水平好，环境条件</w:t>
      </w:r>
      <w:r>
        <w:rPr>
          <w:rFonts w:ascii="Arial" w:eastAsia="仿宋" w:hAnsi="Arial" w:cs="Arial"/>
          <w:iCs/>
          <w:sz w:val="28"/>
          <w:szCs w:val="28"/>
          <w:lang w:eastAsia="zh-Hans"/>
        </w:rPr>
        <w:t>一般</w:t>
      </w:r>
      <w:r>
        <w:rPr>
          <w:rFonts w:ascii="Arial" w:eastAsia="仿宋" w:hAnsi="Arial" w:cs="Arial"/>
          <w:iCs/>
          <w:sz w:val="28"/>
          <w:szCs w:val="28"/>
        </w:rPr>
        <w:t>，</w:t>
      </w:r>
      <w:r>
        <w:rPr>
          <w:rFonts w:ascii="Arial" w:eastAsia="仿宋" w:hAnsi="Arial" w:cs="Arial"/>
          <w:iCs/>
          <w:sz w:val="28"/>
          <w:szCs w:val="28"/>
          <w:lang w:eastAsia="zh-Hans"/>
        </w:rPr>
        <w:t>居住社区成熟度一般，商业繁华程度较差，</w:t>
      </w:r>
      <w:r>
        <w:rPr>
          <w:rFonts w:ascii="Arial" w:eastAsia="仿宋" w:hAnsi="Arial" w:cs="Arial"/>
          <w:sz w:val="28"/>
          <w:szCs w:val="28"/>
          <w:lang w:eastAsia="zh-Hans"/>
        </w:rPr>
        <w:t>物业集聚程度</w:t>
      </w:r>
      <w:r>
        <w:rPr>
          <w:rFonts w:ascii="Arial" w:eastAsia="仿宋" w:hAnsi="Arial" w:cs="Arial"/>
          <w:iCs/>
          <w:sz w:val="28"/>
          <w:szCs w:val="28"/>
          <w:lang w:eastAsia="zh-Hans"/>
        </w:rPr>
        <w:t>较差</w:t>
      </w:r>
      <w:r>
        <w:rPr>
          <w:rFonts w:ascii="Arial" w:eastAsia="仿宋" w:hAnsi="Arial" w:cs="Arial"/>
          <w:iCs/>
          <w:sz w:val="28"/>
          <w:szCs w:val="28"/>
        </w:rPr>
        <w:t>。综合区域发展空间进行综合评价，</w:t>
      </w:r>
      <w:r>
        <w:rPr>
          <w:rFonts w:ascii="Arial" w:eastAsia="仿宋" w:hAnsi="Arial" w:cs="Arial"/>
          <w:sz w:val="28"/>
          <w:szCs w:val="28"/>
        </w:rPr>
        <w:t>总体评价影响估价对象的区域因素</w:t>
      </w:r>
      <w:r>
        <w:rPr>
          <w:rFonts w:ascii="Arial" w:eastAsia="仿宋" w:hAnsi="Arial" w:cs="Arial"/>
          <w:iCs/>
          <w:sz w:val="28"/>
          <w:szCs w:val="28"/>
          <w:lang w:eastAsia="zh-Hans"/>
        </w:rPr>
        <w:t>较差</w:t>
      </w:r>
      <w:r>
        <w:rPr>
          <w:rFonts w:ascii="Arial" w:eastAsia="仿宋" w:hAnsi="Arial" w:cs="Arial"/>
          <w:sz w:val="28"/>
          <w:szCs w:val="28"/>
        </w:rPr>
        <w:t>。</w:t>
      </w:r>
    </w:p>
    <w:p w14:paraId="6CEBD39E" w14:textId="77777777" w:rsidR="0062768B" w:rsidRDefault="00136729">
      <w:pPr>
        <w:adjustRightInd/>
        <w:spacing w:line="300" w:lineRule="auto"/>
        <w:jc w:val="both"/>
        <w:rPr>
          <w:rFonts w:ascii="Arial" w:eastAsia="仿宋" w:hAnsi="Arial" w:cs="Arial"/>
          <w:sz w:val="28"/>
          <w:szCs w:val="28"/>
        </w:rPr>
      </w:pPr>
      <w:r>
        <w:rPr>
          <w:rFonts w:ascii="Arial" w:eastAsia="仿宋" w:hAnsi="Arial" w:cs="Arial"/>
          <w:sz w:val="28"/>
          <w:szCs w:val="28"/>
        </w:rPr>
        <w:t>（三）个别因素</w:t>
      </w:r>
    </w:p>
    <w:p w14:paraId="2E225115"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w:t>
      </w:r>
      <w:r>
        <w:rPr>
          <w:rFonts w:ascii="Arial" w:eastAsia="仿宋" w:hAnsi="Arial" w:cs="Arial"/>
          <w:sz w:val="28"/>
          <w:szCs w:val="28"/>
          <w:lang w:bidi="ar"/>
        </w:rPr>
        <w:t>北京市顺义区高丽营镇夏县营村</w:t>
      </w:r>
      <w:r>
        <w:rPr>
          <w:rFonts w:ascii="Arial" w:eastAsia="仿宋" w:hAnsi="Arial" w:cs="Arial"/>
          <w:sz w:val="28"/>
          <w:szCs w:val="28"/>
        </w:rPr>
        <w:t>，为北京市顺义区高丽营镇夏县营村</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地块</w:t>
      </w:r>
      <w:r>
        <w:rPr>
          <w:rFonts w:ascii="Arial" w:eastAsia="仿宋" w:hAnsi="Arial" w:cs="Arial"/>
          <w:sz w:val="28"/>
          <w:szCs w:val="28"/>
        </w:rPr>
        <w:t>R2</w:t>
      </w:r>
      <w:proofErr w:type="gramStart"/>
      <w:r>
        <w:rPr>
          <w:rFonts w:ascii="Arial" w:eastAsia="仿宋" w:hAnsi="Arial" w:cs="Arial"/>
          <w:sz w:val="28"/>
          <w:szCs w:val="28"/>
        </w:rPr>
        <w:t>二</w:t>
      </w:r>
      <w:proofErr w:type="gramEnd"/>
      <w:r>
        <w:rPr>
          <w:rFonts w:ascii="Arial" w:eastAsia="仿宋" w:hAnsi="Arial" w:cs="Arial"/>
          <w:sz w:val="28"/>
          <w:szCs w:val="28"/>
        </w:rPr>
        <w:t>类居住用地及</w:t>
      </w:r>
      <w:r>
        <w:rPr>
          <w:rFonts w:ascii="Arial" w:eastAsia="仿宋" w:hAnsi="Arial" w:cs="Arial"/>
          <w:sz w:val="28"/>
          <w:szCs w:val="28"/>
        </w:rPr>
        <w:t>01-020</w:t>
      </w:r>
      <w:r>
        <w:rPr>
          <w:rFonts w:ascii="Arial" w:eastAsia="仿宋" w:hAnsi="Arial" w:cs="Arial"/>
          <w:sz w:val="28"/>
          <w:szCs w:val="28"/>
        </w:rPr>
        <w:t>地块</w:t>
      </w:r>
      <w:r>
        <w:rPr>
          <w:rFonts w:ascii="Arial" w:eastAsia="仿宋" w:hAnsi="Arial" w:cs="Arial"/>
          <w:sz w:val="28"/>
          <w:szCs w:val="28"/>
        </w:rPr>
        <w:t>A334</w:t>
      </w:r>
      <w:r>
        <w:rPr>
          <w:rFonts w:ascii="Arial" w:eastAsia="仿宋" w:hAnsi="Arial" w:cs="Arial"/>
          <w:sz w:val="28"/>
          <w:szCs w:val="28"/>
        </w:rPr>
        <w:t>托幼用地项目。根据《北京市人民政府关于更新出让国有建设用地使用权基准地价的通知》（京政发（</w:t>
      </w:r>
      <w:r>
        <w:rPr>
          <w:rFonts w:ascii="Arial" w:eastAsia="仿宋" w:hAnsi="Arial" w:cs="Arial"/>
          <w:sz w:val="28"/>
          <w:szCs w:val="28"/>
        </w:rPr>
        <w:t>2022</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号）的规定，估价对象属于住宅类九级</w:t>
      </w:r>
      <w:r>
        <w:rPr>
          <w:rFonts w:ascii="Arial" w:eastAsia="仿宋" w:hAnsi="Arial" w:cs="Arial"/>
          <w:sz w:val="28"/>
          <w:szCs w:val="28"/>
        </w:rPr>
        <w:t>IX-</w:t>
      </w:r>
      <w:r>
        <w:rPr>
          <w:rFonts w:ascii="Arial" w:eastAsia="仿宋" w:hAnsi="Arial" w:cs="Arial"/>
          <w:sz w:val="28"/>
          <w:szCs w:val="28"/>
        </w:rPr>
        <w:t>顺</w:t>
      </w:r>
      <w:r>
        <w:rPr>
          <w:rFonts w:ascii="Arial" w:eastAsia="仿宋" w:hAnsi="Arial" w:cs="Arial"/>
          <w:sz w:val="28"/>
          <w:szCs w:val="28"/>
        </w:rPr>
        <w:t>5</w:t>
      </w:r>
      <w:r>
        <w:rPr>
          <w:rFonts w:ascii="Arial" w:eastAsia="仿宋" w:hAnsi="Arial" w:cs="Arial"/>
          <w:sz w:val="28"/>
          <w:szCs w:val="28"/>
        </w:rPr>
        <w:t>区片、</w:t>
      </w:r>
      <w:proofErr w:type="gramStart"/>
      <w:r>
        <w:rPr>
          <w:rFonts w:ascii="Arial" w:eastAsia="仿宋" w:hAnsi="Arial" w:cs="Arial"/>
          <w:sz w:val="28"/>
          <w:szCs w:val="28"/>
        </w:rPr>
        <w:t>商服类九级</w:t>
      </w:r>
      <w:proofErr w:type="gramEnd"/>
      <w:r>
        <w:rPr>
          <w:rFonts w:ascii="Arial" w:eastAsia="仿宋" w:hAnsi="Arial" w:cs="Arial"/>
          <w:sz w:val="28"/>
          <w:szCs w:val="28"/>
        </w:rPr>
        <w:t>IX-</w:t>
      </w:r>
      <w:r>
        <w:rPr>
          <w:rFonts w:ascii="Arial" w:eastAsia="仿宋" w:hAnsi="Arial" w:cs="Arial"/>
          <w:sz w:val="28"/>
          <w:szCs w:val="28"/>
        </w:rPr>
        <w:t>顺</w:t>
      </w:r>
      <w:r>
        <w:rPr>
          <w:rFonts w:ascii="Arial" w:eastAsia="仿宋" w:hAnsi="Arial" w:cs="Arial"/>
          <w:sz w:val="28"/>
          <w:szCs w:val="28"/>
        </w:rPr>
        <w:t>5</w:t>
      </w:r>
      <w:r>
        <w:rPr>
          <w:rFonts w:ascii="Arial" w:eastAsia="仿宋" w:hAnsi="Arial" w:cs="Arial"/>
          <w:sz w:val="28"/>
          <w:szCs w:val="28"/>
        </w:rPr>
        <w:t>区片、公共服务类九级</w:t>
      </w:r>
      <w:r>
        <w:rPr>
          <w:rFonts w:ascii="Arial" w:eastAsia="仿宋" w:hAnsi="Arial" w:cs="Arial"/>
          <w:sz w:val="28"/>
          <w:szCs w:val="28"/>
        </w:rPr>
        <w:t>IX-</w:t>
      </w:r>
      <w:r>
        <w:rPr>
          <w:rFonts w:ascii="Arial" w:eastAsia="仿宋" w:hAnsi="Arial" w:cs="Arial"/>
          <w:sz w:val="28"/>
          <w:szCs w:val="28"/>
        </w:rPr>
        <w:t>顺</w:t>
      </w:r>
      <w:r>
        <w:rPr>
          <w:rFonts w:ascii="Arial" w:eastAsia="仿宋" w:hAnsi="Arial" w:cs="Arial"/>
          <w:sz w:val="28"/>
          <w:szCs w:val="28"/>
        </w:rPr>
        <w:t>5</w:t>
      </w:r>
      <w:r>
        <w:rPr>
          <w:rFonts w:ascii="Arial" w:eastAsia="仿宋" w:hAnsi="Arial" w:cs="Arial"/>
          <w:sz w:val="28"/>
          <w:szCs w:val="28"/>
        </w:rPr>
        <w:t>区</w:t>
      </w:r>
      <w:proofErr w:type="gramStart"/>
      <w:r>
        <w:rPr>
          <w:rFonts w:ascii="Arial" w:eastAsia="仿宋" w:hAnsi="Arial" w:cs="Arial"/>
          <w:sz w:val="28"/>
          <w:szCs w:val="28"/>
        </w:rPr>
        <w:t>片范围</w:t>
      </w:r>
      <w:proofErr w:type="gramEnd"/>
      <w:r>
        <w:rPr>
          <w:rFonts w:ascii="Arial" w:eastAsia="仿宋" w:hAnsi="Arial" w:cs="Arial"/>
          <w:sz w:val="28"/>
          <w:szCs w:val="28"/>
        </w:rPr>
        <w:t>内。</w:t>
      </w:r>
    </w:p>
    <w:p w14:paraId="758D4FB1"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临街道路状况</w:t>
      </w:r>
    </w:p>
    <w:p w14:paraId="49373AED"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bCs/>
          <w:sz w:val="28"/>
          <w:szCs w:val="28"/>
        </w:rPr>
        <w:t>估价对象紧邻城市主干道</w:t>
      </w:r>
      <w:r>
        <w:rPr>
          <w:rFonts w:ascii="Arial" w:eastAsia="仿宋" w:hAnsi="Arial" w:cs="Arial"/>
          <w:bCs/>
          <w:sz w:val="28"/>
          <w:szCs w:val="28"/>
        </w:rPr>
        <w:t>——</w:t>
      </w:r>
      <w:proofErr w:type="gramStart"/>
      <w:r>
        <w:rPr>
          <w:rFonts w:ascii="Arial" w:eastAsia="仿宋" w:hAnsi="Arial" w:cs="Arial"/>
          <w:sz w:val="28"/>
          <w:szCs w:val="28"/>
        </w:rPr>
        <w:t>火寺路</w:t>
      </w:r>
      <w:proofErr w:type="gramEnd"/>
      <w:r>
        <w:rPr>
          <w:rFonts w:ascii="Arial" w:eastAsia="仿宋" w:hAnsi="Arial" w:cs="Arial"/>
          <w:bCs/>
          <w:sz w:val="28"/>
          <w:szCs w:val="28"/>
        </w:rPr>
        <w:t>。</w:t>
      </w:r>
      <w:r>
        <w:rPr>
          <w:rFonts w:ascii="Arial" w:eastAsia="仿宋" w:hAnsi="Arial" w:cs="Arial"/>
          <w:sz w:val="28"/>
          <w:szCs w:val="28"/>
        </w:rPr>
        <w:t>道路状况较好。</w:t>
      </w:r>
    </w:p>
    <w:p w14:paraId="66DC793A"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临街宽度和深度</w:t>
      </w:r>
    </w:p>
    <w:p w14:paraId="33238BD3"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经土地估价专业评估师实地查勘，估价对象临街宽度与深度比例值较适合于住宅项目的开发，临街宽度和深度条件一般。</w:t>
      </w:r>
    </w:p>
    <w:p w14:paraId="75B7EAC0"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宗地形状及可利用程度</w:t>
      </w:r>
    </w:p>
    <w:p w14:paraId="2BB5C46F"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宗地形状规则，对宗地利用无不利影响</w:t>
      </w:r>
      <w:r>
        <w:rPr>
          <w:rFonts w:ascii="Arial" w:eastAsia="仿宋" w:hAnsi="Arial" w:cs="Arial"/>
          <w:sz w:val="28"/>
          <w:szCs w:val="28"/>
        </w:rPr>
        <w:t xml:space="preserve"> </w:t>
      </w:r>
      <w:r>
        <w:rPr>
          <w:rFonts w:ascii="Arial" w:eastAsia="仿宋" w:hAnsi="Arial" w:cs="Arial"/>
          <w:sz w:val="28"/>
          <w:szCs w:val="28"/>
        </w:rPr>
        <w:t>宗地形状及可利用程度好。</w:t>
      </w:r>
    </w:p>
    <w:p w14:paraId="773D9363"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地形、地质条件</w:t>
      </w:r>
    </w:p>
    <w:p w14:paraId="104C3E98"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估价对象地形平坦，地基承载力基本满足建筑要求。</w:t>
      </w:r>
    </w:p>
    <w:p w14:paraId="580A09FC"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 w:hAnsi="Arial" w:cs="Arial"/>
          <w:sz w:val="28"/>
          <w:szCs w:val="28"/>
        </w:rPr>
        <w:t>容积率</w:t>
      </w:r>
    </w:p>
    <w:p w14:paraId="142DEE4D"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估价对象容积率设定为</w:t>
      </w:r>
      <w:r>
        <w:rPr>
          <w:rFonts w:ascii="Arial" w:eastAsia="仿宋" w:hAnsi="Arial" w:cs="Arial"/>
          <w:sz w:val="28"/>
          <w:szCs w:val="28"/>
        </w:rPr>
        <w:t>1.2</w:t>
      </w:r>
      <w:r>
        <w:rPr>
          <w:rFonts w:ascii="Arial" w:eastAsia="仿宋" w:hAnsi="Arial" w:cs="Arial"/>
          <w:sz w:val="28"/>
          <w:szCs w:val="28"/>
        </w:rPr>
        <w:t>。</w:t>
      </w:r>
    </w:p>
    <w:p w14:paraId="411BCD13"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 w:hAnsi="Arial" w:cs="Arial"/>
          <w:sz w:val="28"/>
          <w:szCs w:val="28"/>
        </w:rPr>
        <w:t>土地开发程度</w:t>
      </w:r>
    </w:p>
    <w:p w14:paraId="62972838" w14:textId="2284D7F5"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本次评估设定的估价对象土地开发程度为</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sidR="00835791">
        <w:rPr>
          <w:rFonts w:ascii="Arial" w:eastAsia="仿宋" w:hAnsi="Arial" w:cs="Arial"/>
          <w:sz w:val="28"/>
          <w:szCs w:val="28"/>
        </w:rPr>
        <w:t>（通路、通上水（自来水、中水）、通下水（雨水、污水）、通电、通燃气、通热力）</w:t>
      </w:r>
      <w:r>
        <w:rPr>
          <w:rFonts w:ascii="Arial" w:eastAsia="仿宋" w:hAnsi="Arial" w:cs="Arial"/>
          <w:sz w:val="28"/>
          <w:szCs w:val="28"/>
        </w:rPr>
        <w:t>。</w:t>
      </w:r>
    </w:p>
    <w:p w14:paraId="5BEECFC6"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规划条件</w:t>
      </w:r>
    </w:p>
    <w:p w14:paraId="73A5BA31" w14:textId="77777777" w:rsidR="0062768B" w:rsidRDefault="00136729">
      <w:pPr>
        <w:adjustRightInd/>
        <w:spacing w:line="300" w:lineRule="auto"/>
        <w:ind w:firstLineChars="200" w:firstLine="560"/>
        <w:jc w:val="both"/>
        <w:rPr>
          <w:rFonts w:ascii="Arial" w:eastAsia="仿宋" w:hAnsi="Arial" w:cs="Arial"/>
          <w:sz w:val="28"/>
          <w:szCs w:val="28"/>
        </w:rPr>
      </w:pPr>
      <w:bookmarkStart w:id="155" w:name="_Toc531701569"/>
      <w:r>
        <w:rPr>
          <w:rFonts w:ascii="Arial" w:eastAsia="仿宋" w:hAnsi="Arial" w:cs="Arial"/>
          <w:sz w:val="28"/>
          <w:szCs w:val="28"/>
        </w:rPr>
        <w:t>根据《北京市规划和自然资源委员会顺义分局关于顺义区高丽营镇夏县营村棚户区改造土地开发项目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01-015-1</w:t>
      </w:r>
      <w:r>
        <w:rPr>
          <w:rFonts w:ascii="Arial" w:eastAsia="仿宋" w:hAnsi="Arial" w:cs="Arial"/>
          <w:sz w:val="28"/>
          <w:szCs w:val="28"/>
        </w:rPr>
        <w:t>、</w:t>
      </w:r>
      <w:r>
        <w:rPr>
          <w:rFonts w:ascii="Arial" w:eastAsia="仿宋" w:hAnsi="Arial" w:cs="Arial"/>
          <w:sz w:val="28"/>
          <w:szCs w:val="28"/>
        </w:rPr>
        <w:t>01-015-2</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lastRenderedPageBreak/>
        <w:t>01-020</w:t>
      </w:r>
      <w:r>
        <w:rPr>
          <w:rFonts w:ascii="Arial" w:eastAsia="仿宋" w:hAnsi="Arial" w:cs="Arial"/>
          <w:sz w:val="28"/>
          <w:szCs w:val="28"/>
        </w:rPr>
        <w:t>、</w:t>
      </w:r>
      <w:r>
        <w:rPr>
          <w:rFonts w:ascii="Arial" w:eastAsia="仿宋" w:hAnsi="Arial" w:cs="Arial"/>
          <w:sz w:val="28"/>
          <w:szCs w:val="28"/>
        </w:rPr>
        <w:t>01-025</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等二类居住用地、托幼用地、商业用地地块</w:t>
      </w:r>
      <w:r>
        <w:rPr>
          <w:rFonts w:ascii="Arial" w:eastAsia="仿宋" w:hAnsi="Arial" w:cs="Arial"/>
          <w:sz w:val="28"/>
          <w:szCs w:val="28"/>
        </w:rPr>
        <w:t>“</w:t>
      </w:r>
      <w:r>
        <w:rPr>
          <w:rFonts w:ascii="Arial" w:eastAsia="仿宋" w:hAnsi="Arial" w:cs="Arial"/>
          <w:sz w:val="28"/>
          <w:szCs w:val="28"/>
        </w:rPr>
        <w:t>多规合一</w:t>
      </w:r>
      <w:r>
        <w:rPr>
          <w:rFonts w:ascii="Arial" w:eastAsia="仿宋" w:hAnsi="Arial" w:cs="Arial"/>
          <w:sz w:val="28"/>
          <w:szCs w:val="28"/>
        </w:rPr>
        <w:t>”</w:t>
      </w:r>
      <w:r>
        <w:rPr>
          <w:rFonts w:ascii="Arial" w:eastAsia="仿宋" w:hAnsi="Arial" w:cs="Arial"/>
          <w:sz w:val="28"/>
          <w:szCs w:val="28"/>
        </w:rPr>
        <w:t>协同平台供地审核意见的函》（京</w:t>
      </w:r>
      <w:proofErr w:type="gramStart"/>
      <w:r>
        <w:rPr>
          <w:rFonts w:ascii="Arial" w:eastAsia="仿宋" w:hAnsi="Arial" w:cs="Arial"/>
          <w:sz w:val="28"/>
          <w:szCs w:val="28"/>
        </w:rPr>
        <w:t>规</w:t>
      </w:r>
      <w:proofErr w:type="gramEnd"/>
      <w:r>
        <w:rPr>
          <w:rFonts w:ascii="Arial" w:eastAsia="仿宋" w:hAnsi="Arial" w:cs="Arial"/>
          <w:sz w:val="28"/>
          <w:szCs w:val="28"/>
        </w:rPr>
        <w:t>自（顺）</w:t>
      </w:r>
      <w:proofErr w:type="gramStart"/>
      <w:r>
        <w:rPr>
          <w:rFonts w:ascii="Arial" w:eastAsia="仿宋" w:hAnsi="Arial" w:cs="Arial"/>
          <w:sz w:val="28"/>
          <w:szCs w:val="28"/>
        </w:rPr>
        <w:t>供审函</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0004</w:t>
      </w:r>
      <w:r>
        <w:rPr>
          <w:rFonts w:ascii="Arial" w:eastAsia="仿宋" w:hAnsi="Arial" w:cs="Arial"/>
          <w:sz w:val="28"/>
          <w:szCs w:val="28"/>
        </w:rPr>
        <w:t>号），本次估价对象</w:t>
      </w:r>
      <w:r>
        <w:rPr>
          <w:rFonts w:ascii="Arial" w:eastAsia="仿宋" w:hAnsi="Arial" w:cs="Arial"/>
          <w:sz w:val="28"/>
          <w:szCs w:val="28"/>
        </w:rPr>
        <w:t>01-008</w:t>
      </w:r>
      <w:r>
        <w:rPr>
          <w:rFonts w:ascii="Arial" w:eastAsia="仿宋" w:hAnsi="Arial" w:cs="Arial"/>
          <w:sz w:val="28"/>
          <w:szCs w:val="28"/>
        </w:rPr>
        <w:t>等地块共</w:t>
      </w:r>
      <w:r>
        <w:rPr>
          <w:rFonts w:ascii="Arial" w:eastAsia="仿宋" w:hAnsi="Arial" w:cs="Arial"/>
          <w:sz w:val="28"/>
          <w:szCs w:val="28"/>
        </w:rPr>
        <w:t>4</w:t>
      </w:r>
      <w:r>
        <w:rPr>
          <w:rFonts w:ascii="Arial" w:eastAsia="仿宋" w:hAnsi="Arial" w:cs="Arial"/>
          <w:sz w:val="28"/>
          <w:szCs w:val="28"/>
        </w:rPr>
        <w:t>宗地，用地规模合计为</w:t>
      </w:r>
      <w:r>
        <w:rPr>
          <w:rFonts w:ascii="Arial" w:eastAsia="仿宋" w:hAnsi="Arial" w:cs="Arial"/>
          <w:sz w:val="28"/>
          <w:szCs w:val="28"/>
        </w:rPr>
        <w:t>60990.43</w:t>
      </w:r>
      <w:r>
        <w:rPr>
          <w:rFonts w:ascii="Arial" w:eastAsia="仿宋" w:hAnsi="Arial" w:cs="Arial"/>
          <w:sz w:val="28"/>
          <w:szCs w:val="28"/>
        </w:rPr>
        <w:t>平方米，全部为建设用地，建筑规模合计为</w:t>
      </w:r>
      <w:r>
        <w:rPr>
          <w:rFonts w:ascii="Arial" w:eastAsia="仿宋" w:hAnsi="Arial" w:cs="Arial"/>
          <w:sz w:val="28"/>
          <w:szCs w:val="28"/>
        </w:rPr>
        <w:t>71508.52</w:t>
      </w:r>
      <w:r>
        <w:rPr>
          <w:rFonts w:ascii="Arial" w:eastAsia="仿宋" w:hAnsi="Arial" w:cs="Arial"/>
          <w:sz w:val="28"/>
          <w:szCs w:val="28"/>
        </w:rPr>
        <w:t>平方米。其中，估价对象</w:t>
      </w:r>
      <w:r>
        <w:rPr>
          <w:rFonts w:ascii="Arial" w:eastAsia="仿宋" w:hAnsi="Arial" w:cs="Arial"/>
          <w:sz w:val="28"/>
          <w:szCs w:val="28"/>
        </w:rPr>
        <w:t>01-008</w:t>
      </w:r>
      <w:r>
        <w:rPr>
          <w:rFonts w:ascii="Arial" w:eastAsia="仿宋" w:hAnsi="Arial" w:cs="Arial"/>
          <w:sz w:val="28"/>
          <w:szCs w:val="28"/>
        </w:rPr>
        <w:t>地块（</w:t>
      </w:r>
      <w:r>
        <w:rPr>
          <w:rFonts w:ascii="Arial" w:eastAsia="仿宋" w:hAnsi="Arial" w:cs="Arial"/>
          <w:sz w:val="28"/>
          <w:szCs w:val="28"/>
        </w:rPr>
        <w:t>R2</w:t>
      </w:r>
      <w:proofErr w:type="gramStart"/>
      <w:r>
        <w:rPr>
          <w:rFonts w:ascii="Arial" w:eastAsia="仿宋" w:hAnsi="Arial" w:cs="Arial"/>
          <w:sz w:val="28"/>
          <w:szCs w:val="28"/>
        </w:rPr>
        <w:t>二</w:t>
      </w:r>
      <w:proofErr w:type="gramEnd"/>
      <w:r>
        <w:rPr>
          <w:rFonts w:ascii="Arial" w:eastAsia="仿宋" w:hAnsi="Arial" w:cs="Arial"/>
          <w:sz w:val="28"/>
          <w:szCs w:val="28"/>
        </w:rPr>
        <w:t>类居住用地）建设用地规模为</w:t>
      </w:r>
      <w:r>
        <w:rPr>
          <w:rFonts w:ascii="Arial" w:eastAsia="仿宋" w:hAnsi="Arial" w:cs="Arial"/>
          <w:sz w:val="28"/>
          <w:szCs w:val="28"/>
        </w:rPr>
        <w:t>24804.85</w:t>
      </w:r>
      <w:r>
        <w:rPr>
          <w:rFonts w:ascii="Arial" w:eastAsia="仿宋" w:hAnsi="Arial" w:cs="Arial"/>
          <w:sz w:val="28"/>
          <w:szCs w:val="28"/>
        </w:rPr>
        <w:t>平方米，地上建筑规模为</w:t>
      </w:r>
      <w:r>
        <w:rPr>
          <w:rFonts w:ascii="Arial" w:eastAsia="仿宋" w:hAnsi="Arial" w:cs="Arial"/>
          <w:sz w:val="28"/>
          <w:szCs w:val="28"/>
        </w:rPr>
        <w:t>29765.82</w:t>
      </w:r>
      <w:r>
        <w:rPr>
          <w:rFonts w:ascii="Arial" w:eastAsia="仿宋" w:hAnsi="Arial" w:cs="Arial"/>
          <w:sz w:val="28"/>
          <w:szCs w:val="28"/>
        </w:rPr>
        <w:t>平方米，容积率为</w:t>
      </w:r>
      <w:r>
        <w:rPr>
          <w:rFonts w:ascii="Arial" w:eastAsia="仿宋" w:hAnsi="Arial" w:cs="Arial"/>
          <w:sz w:val="28"/>
          <w:szCs w:val="28"/>
        </w:rPr>
        <w:t>1.2</w:t>
      </w:r>
      <w:r>
        <w:rPr>
          <w:rFonts w:ascii="Arial" w:eastAsia="仿宋" w:hAnsi="Arial" w:cs="Arial"/>
          <w:sz w:val="28"/>
          <w:szCs w:val="28"/>
        </w:rPr>
        <w:t>；估价对象</w:t>
      </w:r>
      <w:r>
        <w:rPr>
          <w:rFonts w:ascii="Arial" w:eastAsia="仿宋" w:hAnsi="Arial" w:cs="Arial"/>
          <w:sz w:val="28"/>
          <w:szCs w:val="28"/>
        </w:rPr>
        <w:t>01-016</w:t>
      </w:r>
      <w:r>
        <w:rPr>
          <w:rFonts w:ascii="Arial" w:eastAsia="仿宋" w:hAnsi="Arial" w:cs="Arial"/>
          <w:sz w:val="28"/>
          <w:szCs w:val="28"/>
        </w:rPr>
        <w:t>地块（</w:t>
      </w:r>
      <w:r>
        <w:rPr>
          <w:rFonts w:ascii="Arial" w:eastAsia="仿宋" w:hAnsi="Arial" w:cs="Arial"/>
          <w:sz w:val="28"/>
          <w:szCs w:val="28"/>
        </w:rPr>
        <w:t>R2</w:t>
      </w:r>
      <w:proofErr w:type="gramStart"/>
      <w:r>
        <w:rPr>
          <w:rFonts w:ascii="Arial" w:eastAsia="仿宋" w:hAnsi="Arial" w:cs="Arial"/>
          <w:sz w:val="28"/>
          <w:szCs w:val="28"/>
        </w:rPr>
        <w:t>二</w:t>
      </w:r>
      <w:proofErr w:type="gramEnd"/>
      <w:r>
        <w:rPr>
          <w:rFonts w:ascii="Arial" w:eastAsia="仿宋" w:hAnsi="Arial" w:cs="Arial"/>
          <w:sz w:val="28"/>
          <w:szCs w:val="28"/>
        </w:rPr>
        <w:t>类居住用地）建设用地规模为</w:t>
      </w:r>
      <w:r>
        <w:rPr>
          <w:rFonts w:ascii="Arial" w:eastAsia="仿宋" w:hAnsi="Arial" w:cs="Arial"/>
          <w:sz w:val="28"/>
          <w:szCs w:val="28"/>
        </w:rPr>
        <w:t>23103.85</w:t>
      </w:r>
      <w:r>
        <w:rPr>
          <w:rFonts w:ascii="Arial" w:eastAsia="仿宋" w:hAnsi="Arial" w:cs="Arial"/>
          <w:sz w:val="28"/>
          <w:szCs w:val="28"/>
        </w:rPr>
        <w:t>平方米，地上建筑规模为</w:t>
      </w:r>
      <w:r>
        <w:rPr>
          <w:rFonts w:ascii="Arial" w:eastAsia="仿宋" w:hAnsi="Arial" w:cs="Arial"/>
          <w:sz w:val="28"/>
          <w:szCs w:val="28"/>
        </w:rPr>
        <w:t>27724.62</w:t>
      </w:r>
      <w:r>
        <w:rPr>
          <w:rFonts w:ascii="Arial" w:eastAsia="仿宋" w:hAnsi="Arial" w:cs="Arial"/>
          <w:sz w:val="28"/>
          <w:szCs w:val="28"/>
        </w:rPr>
        <w:t>平方米，容积率为</w:t>
      </w:r>
      <w:r>
        <w:rPr>
          <w:rFonts w:ascii="Arial" w:eastAsia="仿宋" w:hAnsi="Arial" w:cs="Arial"/>
          <w:sz w:val="28"/>
          <w:szCs w:val="28"/>
        </w:rPr>
        <w:t>1.2</w:t>
      </w:r>
      <w:r>
        <w:rPr>
          <w:rFonts w:ascii="Arial" w:eastAsia="仿宋" w:hAnsi="Arial" w:cs="Arial"/>
          <w:sz w:val="28"/>
          <w:szCs w:val="28"/>
        </w:rPr>
        <w:t>；</w:t>
      </w:r>
      <w:r>
        <w:rPr>
          <w:rFonts w:ascii="Arial" w:eastAsia="仿宋" w:hAnsi="Arial" w:cs="Arial"/>
          <w:sz w:val="28"/>
          <w:szCs w:val="28"/>
        </w:rPr>
        <w:t xml:space="preserve"> </w:t>
      </w:r>
      <w:r>
        <w:rPr>
          <w:rFonts w:ascii="Arial" w:eastAsia="仿宋" w:hAnsi="Arial" w:cs="Arial"/>
          <w:sz w:val="28"/>
          <w:szCs w:val="28"/>
        </w:rPr>
        <w:t>估价对象</w:t>
      </w:r>
      <w:r>
        <w:rPr>
          <w:rFonts w:ascii="Arial" w:eastAsia="仿宋" w:hAnsi="Arial" w:cs="Arial"/>
          <w:sz w:val="28"/>
          <w:szCs w:val="28"/>
        </w:rPr>
        <w:t>01-026-1</w:t>
      </w:r>
      <w:r>
        <w:rPr>
          <w:rFonts w:ascii="Arial" w:eastAsia="仿宋" w:hAnsi="Arial" w:cs="Arial"/>
          <w:sz w:val="28"/>
          <w:szCs w:val="28"/>
        </w:rPr>
        <w:t>地块（</w:t>
      </w:r>
      <w:r>
        <w:rPr>
          <w:rFonts w:ascii="Arial" w:eastAsia="仿宋" w:hAnsi="Arial" w:cs="Arial"/>
          <w:sz w:val="28"/>
          <w:szCs w:val="28"/>
        </w:rPr>
        <w:t>R2</w:t>
      </w:r>
      <w:proofErr w:type="gramStart"/>
      <w:r>
        <w:rPr>
          <w:rFonts w:ascii="Arial" w:eastAsia="仿宋" w:hAnsi="Arial" w:cs="Arial"/>
          <w:sz w:val="28"/>
          <w:szCs w:val="28"/>
        </w:rPr>
        <w:t>二</w:t>
      </w:r>
      <w:proofErr w:type="gramEnd"/>
      <w:r>
        <w:rPr>
          <w:rFonts w:ascii="Arial" w:eastAsia="仿宋" w:hAnsi="Arial" w:cs="Arial"/>
          <w:sz w:val="28"/>
          <w:szCs w:val="28"/>
        </w:rPr>
        <w:t>类居住用地）建设用地规模为</w:t>
      </w:r>
      <w:r>
        <w:rPr>
          <w:rFonts w:ascii="Arial" w:eastAsia="仿宋" w:hAnsi="Arial" w:cs="Arial"/>
          <w:sz w:val="28"/>
          <w:szCs w:val="28"/>
        </w:rPr>
        <w:t>8881.75</w:t>
      </w:r>
      <w:r>
        <w:rPr>
          <w:rFonts w:ascii="Arial" w:eastAsia="仿宋" w:hAnsi="Arial" w:cs="Arial"/>
          <w:sz w:val="28"/>
          <w:szCs w:val="28"/>
        </w:rPr>
        <w:t>平方米，地上建筑规模为</w:t>
      </w:r>
      <w:r>
        <w:rPr>
          <w:rFonts w:ascii="Arial" w:eastAsia="仿宋" w:hAnsi="Arial" w:cs="Arial"/>
          <w:sz w:val="28"/>
          <w:szCs w:val="28"/>
        </w:rPr>
        <w:t>10658.10</w:t>
      </w:r>
      <w:r>
        <w:rPr>
          <w:rFonts w:ascii="Arial" w:eastAsia="仿宋" w:hAnsi="Arial" w:cs="Arial"/>
          <w:sz w:val="28"/>
          <w:szCs w:val="28"/>
        </w:rPr>
        <w:t>平方米，容积率为</w:t>
      </w:r>
      <w:r>
        <w:rPr>
          <w:rFonts w:ascii="Arial" w:eastAsia="仿宋" w:hAnsi="Arial" w:cs="Arial"/>
          <w:sz w:val="28"/>
          <w:szCs w:val="28"/>
        </w:rPr>
        <w:t>1.2</w:t>
      </w:r>
      <w:r>
        <w:rPr>
          <w:rFonts w:ascii="Arial" w:eastAsia="仿宋" w:hAnsi="Arial" w:cs="Arial"/>
          <w:sz w:val="28"/>
          <w:szCs w:val="28"/>
        </w:rPr>
        <w:t>；另有估价对象</w:t>
      </w:r>
      <w:r>
        <w:rPr>
          <w:rFonts w:ascii="Arial" w:eastAsia="仿宋" w:hAnsi="Arial" w:cs="Arial"/>
          <w:sz w:val="28"/>
          <w:szCs w:val="28"/>
        </w:rPr>
        <w:t>01-020</w:t>
      </w:r>
      <w:r>
        <w:rPr>
          <w:rFonts w:ascii="Arial" w:eastAsia="仿宋" w:hAnsi="Arial" w:cs="Arial"/>
          <w:sz w:val="28"/>
          <w:szCs w:val="28"/>
        </w:rPr>
        <w:t>地块（</w:t>
      </w:r>
      <w:r>
        <w:rPr>
          <w:rFonts w:ascii="Arial" w:eastAsia="仿宋" w:hAnsi="Arial" w:cs="Arial"/>
          <w:sz w:val="28"/>
          <w:szCs w:val="28"/>
        </w:rPr>
        <w:t>A334</w:t>
      </w:r>
      <w:r>
        <w:rPr>
          <w:rFonts w:ascii="Arial" w:eastAsia="仿宋" w:hAnsi="Arial" w:cs="Arial"/>
          <w:sz w:val="28"/>
          <w:szCs w:val="28"/>
        </w:rPr>
        <w:t>托幼用地，不出让）建设用地规模为</w:t>
      </w:r>
      <w:r>
        <w:rPr>
          <w:rFonts w:ascii="Arial" w:eastAsia="仿宋" w:hAnsi="Arial" w:cs="Arial"/>
          <w:sz w:val="28"/>
          <w:szCs w:val="28"/>
        </w:rPr>
        <w:t>4199.98</w:t>
      </w:r>
      <w:r>
        <w:rPr>
          <w:rFonts w:ascii="Arial" w:eastAsia="仿宋" w:hAnsi="Arial" w:cs="Arial"/>
          <w:sz w:val="28"/>
          <w:szCs w:val="28"/>
        </w:rPr>
        <w:t>平方米，地上建筑规模为</w:t>
      </w:r>
      <w:r>
        <w:rPr>
          <w:rFonts w:ascii="Arial" w:eastAsia="仿宋" w:hAnsi="Arial" w:cs="Arial"/>
          <w:sz w:val="28"/>
          <w:szCs w:val="28"/>
        </w:rPr>
        <w:t>3359.98</w:t>
      </w:r>
      <w:r>
        <w:rPr>
          <w:rFonts w:ascii="Arial" w:eastAsia="仿宋" w:hAnsi="Arial" w:cs="Arial"/>
          <w:sz w:val="28"/>
          <w:szCs w:val="28"/>
        </w:rPr>
        <w:t>平方米，容积率为</w:t>
      </w:r>
      <w:r>
        <w:rPr>
          <w:rFonts w:ascii="Arial" w:eastAsia="仿宋" w:hAnsi="Arial" w:cs="Arial"/>
          <w:sz w:val="28"/>
          <w:szCs w:val="28"/>
        </w:rPr>
        <w:t>0.8</w:t>
      </w:r>
      <w:r>
        <w:rPr>
          <w:rFonts w:ascii="Arial" w:eastAsia="仿宋" w:hAnsi="Arial" w:cs="Arial"/>
          <w:sz w:val="28"/>
          <w:szCs w:val="28"/>
        </w:rPr>
        <w:t>。根据《北京市人民政府关于更新出让国有建设用地使用权基准地价的通知》（京政发（</w:t>
      </w:r>
      <w:r>
        <w:rPr>
          <w:rFonts w:ascii="Arial" w:eastAsia="仿宋" w:hAnsi="Arial" w:cs="Arial"/>
          <w:sz w:val="28"/>
          <w:szCs w:val="28"/>
        </w:rPr>
        <w:t>2022</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号）中的相关规定，本次评估</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地块（</w:t>
      </w:r>
      <w:r>
        <w:rPr>
          <w:rFonts w:ascii="Arial" w:eastAsia="仿宋" w:hAnsi="Arial" w:cs="Arial"/>
          <w:sz w:val="28"/>
          <w:szCs w:val="28"/>
        </w:rPr>
        <w:t>R2</w:t>
      </w:r>
      <w:proofErr w:type="gramStart"/>
      <w:r>
        <w:rPr>
          <w:rFonts w:ascii="Arial" w:eastAsia="仿宋" w:hAnsi="Arial" w:cs="Arial"/>
          <w:sz w:val="28"/>
          <w:szCs w:val="28"/>
        </w:rPr>
        <w:t>二</w:t>
      </w:r>
      <w:proofErr w:type="gramEnd"/>
      <w:r>
        <w:rPr>
          <w:rFonts w:ascii="Arial" w:eastAsia="仿宋" w:hAnsi="Arial" w:cs="Arial"/>
          <w:sz w:val="28"/>
          <w:szCs w:val="28"/>
        </w:rPr>
        <w:t>类居住用地）容积率为</w:t>
      </w:r>
      <w:r>
        <w:rPr>
          <w:rFonts w:ascii="Arial" w:eastAsia="仿宋" w:hAnsi="Arial" w:cs="Arial"/>
          <w:sz w:val="28"/>
          <w:szCs w:val="28"/>
        </w:rPr>
        <w:t>1.2</w:t>
      </w:r>
      <w:r>
        <w:rPr>
          <w:rFonts w:ascii="Arial" w:eastAsia="仿宋" w:hAnsi="Arial" w:cs="Arial"/>
          <w:sz w:val="28"/>
          <w:szCs w:val="28"/>
        </w:rPr>
        <w:t>。</w:t>
      </w:r>
    </w:p>
    <w:p w14:paraId="37E4CCC8"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本次拟出让建设用地规模为</w:t>
      </w:r>
      <w:r>
        <w:rPr>
          <w:rFonts w:ascii="Arial" w:eastAsia="仿宋" w:hAnsi="Arial" w:cs="Arial"/>
          <w:sz w:val="28"/>
          <w:szCs w:val="28"/>
        </w:rPr>
        <w:t>56790.45</w:t>
      </w:r>
      <w:r>
        <w:rPr>
          <w:rFonts w:ascii="Arial" w:eastAsia="仿宋" w:hAnsi="Arial" w:cs="Arial"/>
          <w:sz w:val="28"/>
          <w:szCs w:val="28"/>
        </w:rPr>
        <w:t>平方米，具体规划主要技术经济指标详见下表：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443"/>
        <w:gridCol w:w="1119"/>
        <w:gridCol w:w="1248"/>
        <w:gridCol w:w="1586"/>
        <w:gridCol w:w="862"/>
        <w:gridCol w:w="1671"/>
        <w:gridCol w:w="1294"/>
        <w:gridCol w:w="849"/>
      </w:tblGrid>
      <w:tr w:rsidR="0062768B" w14:paraId="0AA89FC5" w14:textId="77777777">
        <w:trPr>
          <w:cantSplit/>
          <w:jc w:val="center"/>
        </w:trPr>
        <w:tc>
          <w:tcPr>
            <w:tcW w:w="244" w:type="pct"/>
            <w:vAlign w:val="center"/>
          </w:tcPr>
          <w:p w14:paraId="5F90EC8C"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序号</w:t>
            </w:r>
          </w:p>
        </w:tc>
        <w:tc>
          <w:tcPr>
            <w:tcW w:w="617" w:type="pct"/>
            <w:vAlign w:val="center"/>
          </w:tcPr>
          <w:p w14:paraId="55CF932C"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规划地块编号</w:t>
            </w:r>
          </w:p>
        </w:tc>
        <w:tc>
          <w:tcPr>
            <w:tcW w:w="688" w:type="pct"/>
            <w:vAlign w:val="center"/>
          </w:tcPr>
          <w:p w14:paraId="174DD06F"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用地性质</w:t>
            </w:r>
          </w:p>
        </w:tc>
        <w:tc>
          <w:tcPr>
            <w:tcW w:w="874" w:type="pct"/>
            <w:vAlign w:val="center"/>
          </w:tcPr>
          <w:p w14:paraId="1F41F6D0"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建设用地规模</w:t>
            </w:r>
          </w:p>
          <w:p w14:paraId="40A63DCA"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（平方米）</w:t>
            </w:r>
          </w:p>
        </w:tc>
        <w:tc>
          <w:tcPr>
            <w:tcW w:w="475" w:type="pct"/>
            <w:vAlign w:val="center"/>
          </w:tcPr>
          <w:p w14:paraId="449D3903"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容积率</w:t>
            </w:r>
          </w:p>
        </w:tc>
        <w:tc>
          <w:tcPr>
            <w:tcW w:w="921" w:type="pct"/>
            <w:vAlign w:val="center"/>
          </w:tcPr>
          <w:p w14:paraId="5EA0FEA1"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地上建筑规模</w:t>
            </w:r>
          </w:p>
          <w:p w14:paraId="61555ED2"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（平方米）</w:t>
            </w:r>
          </w:p>
        </w:tc>
        <w:tc>
          <w:tcPr>
            <w:tcW w:w="713" w:type="pct"/>
            <w:vAlign w:val="center"/>
          </w:tcPr>
          <w:p w14:paraId="2323938E" w14:textId="77777777" w:rsidR="0062768B" w:rsidRDefault="00136729">
            <w:pPr>
              <w:widowControl/>
              <w:adjustRightInd/>
              <w:spacing w:line="240" w:lineRule="exact"/>
              <w:jc w:val="center"/>
              <w:textAlignment w:val="auto"/>
              <w:rPr>
                <w:rFonts w:ascii="Arial" w:eastAsia="仿宋" w:hAnsi="Arial" w:cs="Arial"/>
                <w:sz w:val="18"/>
                <w:szCs w:val="18"/>
              </w:rPr>
            </w:pPr>
            <w:r>
              <w:rPr>
                <w:rFonts w:ascii="Arial" w:eastAsia="仿宋" w:hAnsi="Arial" w:cs="Arial"/>
                <w:sz w:val="18"/>
                <w:szCs w:val="18"/>
              </w:rPr>
              <w:t>控制高度（</w:t>
            </w:r>
            <w:r>
              <w:rPr>
                <w:rFonts w:ascii="Arial" w:eastAsia="仿宋" w:hAnsi="Arial" w:cs="Arial"/>
                <w:sz w:val="18"/>
                <w:szCs w:val="18"/>
              </w:rPr>
              <w:t>m</w:t>
            </w:r>
            <w:r>
              <w:rPr>
                <w:rFonts w:ascii="Arial" w:eastAsia="仿宋" w:hAnsi="Arial" w:cs="Arial"/>
                <w:sz w:val="18"/>
                <w:szCs w:val="18"/>
              </w:rPr>
              <w:t>）</w:t>
            </w:r>
          </w:p>
        </w:tc>
        <w:tc>
          <w:tcPr>
            <w:tcW w:w="468" w:type="pct"/>
            <w:vAlign w:val="center"/>
          </w:tcPr>
          <w:p w14:paraId="26E06C54"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是否出让</w:t>
            </w:r>
          </w:p>
        </w:tc>
      </w:tr>
      <w:tr w:rsidR="0062768B" w14:paraId="4F9F4041" w14:textId="77777777">
        <w:trPr>
          <w:cantSplit/>
          <w:jc w:val="center"/>
        </w:trPr>
        <w:tc>
          <w:tcPr>
            <w:tcW w:w="244" w:type="pct"/>
            <w:vAlign w:val="center"/>
          </w:tcPr>
          <w:p w14:paraId="0206067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w:t>
            </w:r>
          </w:p>
        </w:tc>
        <w:tc>
          <w:tcPr>
            <w:tcW w:w="617" w:type="pct"/>
            <w:vAlign w:val="center"/>
          </w:tcPr>
          <w:p w14:paraId="3C3291B1"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01-008</w:t>
            </w:r>
          </w:p>
        </w:tc>
        <w:tc>
          <w:tcPr>
            <w:tcW w:w="688" w:type="pct"/>
            <w:vMerge w:val="restart"/>
            <w:vAlign w:val="center"/>
          </w:tcPr>
          <w:p w14:paraId="7B0C0F50"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p>
        </w:tc>
        <w:tc>
          <w:tcPr>
            <w:tcW w:w="874" w:type="pct"/>
            <w:vAlign w:val="center"/>
          </w:tcPr>
          <w:p w14:paraId="18B46301"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24804.85</w:t>
            </w:r>
          </w:p>
        </w:tc>
        <w:tc>
          <w:tcPr>
            <w:tcW w:w="475" w:type="pct"/>
            <w:vMerge w:val="restart"/>
            <w:vAlign w:val="center"/>
          </w:tcPr>
          <w:p w14:paraId="5B46E96A"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1.2</w:t>
            </w:r>
          </w:p>
        </w:tc>
        <w:tc>
          <w:tcPr>
            <w:tcW w:w="921" w:type="pct"/>
            <w:vAlign w:val="center"/>
          </w:tcPr>
          <w:p w14:paraId="4A756F5C"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29765.82</w:t>
            </w:r>
          </w:p>
        </w:tc>
        <w:tc>
          <w:tcPr>
            <w:tcW w:w="713" w:type="pct"/>
            <w:vMerge w:val="restart"/>
            <w:vAlign w:val="center"/>
          </w:tcPr>
          <w:p w14:paraId="163DECD3"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30</w:t>
            </w:r>
          </w:p>
        </w:tc>
        <w:tc>
          <w:tcPr>
            <w:tcW w:w="468" w:type="pct"/>
            <w:vMerge w:val="restart"/>
            <w:vAlign w:val="center"/>
          </w:tcPr>
          <w:p w14:paraId="60B30A4E"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出让</w:t>
            </w:r>
          </w:p>
        </w:tc>
      </w:tr>
      <w:tr w:rsidR="0062768B" w14:paraId="2E790E35" w14:textId="77777777">
        <w:trPr>
          <w:cantSplit/>
          <w:jc w:val="center"/>
        </w:trPr>
        <w:tc>
          <w:tcPr>
            <w:tcW w:w="244" w:type="pct"/>
            <w:vAlign w:val="center"/>
          </w:tcPr>
          <w:p w14:paraId="2B70E95D"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w:t>
            </w:r>
          </w:p>
        </w:tc>
        <w:tc>
          <w:tcPr>
            <w:tcW w:w="617" w:type="pct"/>
            <w:vAlign w:val="center"/>
          </w:tcPr>
          <w:p w14:paraId="25B54FE8"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01-016</w:t>
            </w:r>
          </w:p>
        </w:tc>
        <w:tc>
          <w:tcPr>
            <w:tcW w:w="688" w:type="pct"/>
            <w:vMerge/>
            <w:vAlign w:val="center"/>
          </w:tcPr>
          <w:p w14:paraId="37C736D2" w14:textId="77777777" w:rsidR="0062768B" w:rsidRDefault="0062768B">
            <w:pPr>
              <w:adjustRightInd/>
              <w:spacing w:line="240" w:lineRule="exact"/>
              <w:jc w:val="center"/>
              <w:rPr>
                <w:rFonts w:ascii="Arial" w:eastAsia="仿宋" w:hAnsi="Arial" w:cs="Arial"/>
                <w:sz w:val="18"/>
                <w:szCs w:val="18"/>
              </w:rPr>
            </w:pPr>
          </w:p>
        </w:tc>
        <w:tc>
          <w:tcPr>
            <w:tcW w:w="874" w:type="pct"/>
            <w:vAlign w:val="center"/>
          </w:tcPr>
          <w:p w14:paraId="708EF153"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23103.85</w:t>
            </w:r>
          </w:p>
        </w:tc>
        <w:tc>
          <w:tcPr>
            <w:tcW w:w="475" w:type="pct"/>
            <w:vMerge/>
            <w:vAlign w:val="center"/>
          </w:tcPr>
          <w:p w14:paraId="36CCF198" w14:textId="77777777" w:rsidR="0062768B" w:rsidRDefault="0062768B">
            <w:pPr>
              <w:adjustRightInd/>
              <w:spacing w:line="240" w:lineRule="exact"/>
              <w:jc w:val="center"/>
              <w:rPr>
                <w:rFonts w:ascii="Arial" w:eastAsia="仿宋" w:hAnsi="Arial" w:cs="Arial"/>
                <w:sz w:val="18"/>
                <w:szCs w:val="18"/>
              </w:rPr>
            </w:pPr>
          </w:p>
        </w:tc>
        <w:tc>
          <w:tcPr>
            <w:tcW w:w="921" w:type="pct"/>
            <w:vAlign w:val="center"/>
          </w:tcPr>
          <w:p w14:paraId="6F5D122F"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27724.62</w:t>
            </w:r>
          </w:p>
        </w:tc>
        <w:tc>
          <w:tcPr>
            <w:tcW w:w="713" w:type="pct"/>
            <w:vMerge/>
            <w:vAlign w:val="center"/>
          </w:tcPr>
          <w:p w14:paraId="608F773B" w14:textId="77777777" w:rsidR="0062768B" w:rsidRDefault="0062768B">
            <w:pPr>
              <w:adjustRightInd/>
              <w:spacing w:line="240" w:lineRule="exact"/>
              <w:jc w:val="center"/>
              <w:rPr>
                <w:rFonts w:ascii="Arial" w:eastAsia="仿宋" w:hAnsi="Arial" w:cs="Arial"/>
                <w:sz w:val="18"/>
                <w:szCs w:val="18"/>
              </w:rPr>
            </w:pPr>
          </w:p>
        </w:tc>
        <w:tc>
          <w:tcPr>
            <w:tcW w:w="468" w:type="pct"/>
            <w:vMerge/>
            <w:vAlign w:val="center"/>
          </w:tcPr>
          <w:p w14:paraId="7ADDEA79" w14:textId="77777777" w:rsidR="0062768B" w:rsidRDefault="0062768B">
            <w:pPr>
              <w:adjustRightInd/>
              <w:spacing w:line="240" w:lineRule="exact"/>
              <w:jc w:val="center"/>
              <w:rPr>
                <w:rFonts w:ascii="Arial" w:eastAsia="仿宋" w:hAnsi="Arial" w:cs="Arial"/>
                <w:sz w:val="18"/>
                <w:szCs w:val="18"/>
              </w:rPr>
            </w:pPr>
          </w:p>
        </w:tc>
      </w:tr>
      <w:tr w:rsidR="0062768B" w14:paraId="3692994E" w14:textId="77777777">
        <w:trPr>
          <w:cantSplit/>
          <w:jc w:val="center"/>
        </w:trPr>
        <w:tc>
          <w:tcPr>
            <w:tcW w:w="244" w:type="pct"/>
            <w:vAlign w:val="center"/>
          </w:tcPr>
          <w:p w14:paraId="7522D09B"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3</w:t>
            </w:r>
          </w:p>
        </w:tc>
        <w:tc>
          <w:tcPr>
            <w:tcW w:w="617" w:type="pct"/>
            <w:vAlign w:val="center"/>
          </w:tcPr>
          <w:p w14:paraId="53A9C3D7"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01-026-1</w:t>
            </w:r>
          </w:p>
        </w:tc>
        <w:tc>
          <w:tcPr>
            <w:tcW w:w="688" w:type="pct"/>
            <w:vMerge/>
            <w:vAlign w:val="center"/>
          </w:tcPr>
          <w:p w14:paraId="32CB00EC" w14:textId="77777777" w:rsidR="0062768B" w:rsidRDefault="0062768B">
            <w:pPr>
              <w:adjustRightInd/>
              <w:spacing w:line="240" w:lineRule="exact"/>
              <w:jc w:val="center"/>
              <w:rPr>
                <w:rFonts w:ascii="Arial" w:eastAsia="仿宋" w:hAnsi="Arial" w:cs="Arial"/>
                <w:sz w:val="18"/>
                <w:szCs w:val="18"/>
              </w:rPr>
            </w:pPr>
          </w:p>
        </w:tc>
        <w:tc>
          <w:tcPr>
            <w:tcW w:w="874" w:type="pct"/>
            <w:vAlign w:val="center"/>
          </w:tcPr>
          <w:p w14:paraId="30EF3434"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8881.75</w:t>
            </w:r>
          </w:p>
        </w:tc>
        <w:tc>
          <w:tcPr>
            <w:tcW w:w="475" w:type="pct"/>
            <w:vMerge/>
            <w:vAlign w:val="center"/>
          </w:tcPr>
          <w:p w14:paraId="63B279E4" w14:textId="77777777" w:rsidR="0062768B" w:rsidRDefault="0062768B">
            <w:pPr>
              <w:adjustRightInd/>
              <w:spacing w:line="240" w:lineRule="exact"/>
              <w:jc w:val="center"/>
              <w:rPr>
                <w:rFonts w:ascii="Arial" w:eastAsia="仿宋" w:hAnsi="Arial" w:cs="Arial"/>
                <w:sz w:val="18"/>
                <w:szCs w:val="18"/>
              </w:rPr>
            </w:pPr>
          </w:p>
        </w:tc>
        <w:tc>
          <w:tcPr>
            <w:tcW w:w="921" w:type="pct"/>
            <w:vAlign w:val="center"/>
          </w:tcPr>
          <w:p w14:paraId="50FB193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10658.10</w:t>
            </w:r>
          </w:p>
        </w:tc>
        <w:tc>
          <w:tcPr>
            <w:tcW w:w="713" w:type="pct"/>
            <w:vMerge/>
            <w:vAlign w:val="center"/>
          </w:tcPr>
          <w:p w14:paraId="4C031059" w14:textId="77777777" w:rsidR="0062768B" w:rsidRDefault="0062768B">
            <w:pPr>
              <w:adjustRightInd/>
              <w:spacing w:line="240" w:lineRule="exact"/>
              <w:jc w:val="center"/>
              <w:rPr>
                <w:rFonts w:ascii="Arial" w:eastAsia="仿宋" w:hAnsi="Arial" w:cs="Arial"/>
                <w:sz w:val="18"/>
                <w:szCs w:val="18"/>
              </w:rPr>
            </w:pPr>
          </w:p>
        </w:tc>
        <w:tc>
          <w:tcPr>
            <w:tcW w:w="468" w:type="pct"/>
            <w:vMerge/>
            <w:vAlign w:val="center"/>
          </w:tcPr>
          <w:p w14:paraId="2C96F71B" w14:textId="77777777" w:rsidR="0062768B" w:rsidRDefault="0062768B">
            <w:pPr>
              <w:adjustRightInd/>
              <w:spacing w:line="240" w:lineRule="exact"/>
              <w:jc w:val="center"/>
              <w:rPr>
                <w:rFonts w:ascii="Arial" w:eastAsia="仿宋" w:hAnsi="Arial" w:cs="Arial"/>
                <w:sz w:val="18"/>
                <w:szCs w:val="18"/>
              </w:rPr>
            </w:pPr>
          </w:p>
        </w:tc>
      </w:tr>
      <w:tr w:rsidR="0062768B" w14:paraId="42F80952" w14:textId="77777777">
        <w:trPr>
          <w:cantSplit/>
          <w:jc w:val="center"/>
        </w:trPr>
        <w:tc>
          <w:tcPr>
            <w:tcW w:w="1549" w:type="pct"/>
            <w:gridSpan w:val="3"/>
            <w:vAlign w:val="center"/>
          </w:tcPr>
          <w:p w14:paraId="31101EA7"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合计</w:t>
            </w:r>
          </w:p>
        </w:tc>
        <w:tc>
          <w:tcPr>
            <w:tcW w:w="874" w:type="pct"/>
            <w:vAlign w:val="center"/>
          </w:tcPr>
          <w:p w14:paraId="5274B3ED"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56790.45</w:t>
            </w:r>
          </w:p>
        </w:tc>
        <w:tc>
          <w:tcPr>
            <w:tcW w:w="475" w:type="pct"/>
            <w:vAlign w:val="center"/>
          </w:tcPr>
          <w:p w14:paraId="62275AF8"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1.2</w:t>
            </w:r>
          </w:p>
        </w:tc>
        <w:tc>
          <w:tcPr>
            <w:tcW w:w="921" w:type="pct"/>
            <w:vAlign w:val="center"/>
          </w:tcPr>
          <w:p w14:paraId="1AD9CE10"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68148.54</w:t>
            </w:r>
          </w:p>
        </w:tc>
        <w:tc>
          <w:tcPr>
            <w:tcW w:w="1181" w:type="pct"/>
            <w:gridSpan w:val="2"/>
            <w:vAlign w:val="center"/>
          </w:tcPr>
          <w:p w14:paraId="30C2F9DB"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w:t>
            </w:r>
          </w:p>
        </w:tc>
      </w:tr>
    </w:tbl>
    <w:p w14:paraId="408A628F" w14:textId="77777777" w:rsidR="0062768B" w:rsidRDefault="0062768B">
      <w:pPr>
        <w:spacing w:line="300" w:lineRule="auto"/>
        <w:ind w:firstLineChars="200" w:firstLine="560"/>
        <w:jc w:val="both"/>
        <w:rPr>
          <w:rFonts w:ascii="Arial" w:eastAsia="仿宋_GB2312" w:hAnsi="Arial" w:cs="Arial"/>
          <w:i/>
          <w:sz w:val="28"/>
        </w:rPr>
      </w:pPr>
    </w:p>
    <w:p w14:paraId="17F3E4A3" w14:textId="77777777" w:rsidR="0062768B" w:rsidRDefault="0062768B">
      <w:pPr>
        <w:spacing w:line="300" w:lineRule="auto"/>
        <w:rPr>
          <w:rFonts w:ascii="Arial" w:hAnsi="Arial" w:cs="Arial"/>
          <w:b/>
          <w:sz w:val="32"/>
        </w:rPr>
      </w:pPr>
    </w:p>
    <w:p w14:paraId="02970F25" w14:textId="77777777" w:rsidR="0062768B" w:rsidRDefault="00136729">
      <w:pPr>
        <w:spacing w:line="300" w:lineRule="auto"/>
        <w:jc w:val="center"/>
        <w:outlineLvl w:val="0"/>
        <w:rPr>
          <w:rFonts w:ascii="Arial" w:hAnsi="Arial" w:cs="Arial"/>
          <w:b/>
          <w:sz w:val="32"/>
        </w:rPr>
      </w:pPr>
      <w:r>
        <w:rPr>
          <w:rFonts w:ascii="Arial" w:hAnsi="Arial" w:cs="Arial"/>
          <w:b/>
          <w:sz w:val="32"/>
        </w:rPr>
        <w:br w:type="page"/>
      </w:r>
      <w:bookmarkStart w:id="156" w:name="_Toc132016735"/>
      <w:bookmarkStart w:id="157" w:name="_Toc138063006"/>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土地估价结果及其使用</w:t>
      </w:r>
      <w:bookmarkEnd w:id="135"/>
      <w:bookmarkEnd w:id="136"/>
      <w:bookmarkEnd w:id="137"/>
      <w:bookmarkEnd w:id="138"/>
      <w:bookmarkEnd w:id="139"/>
      <w:bookmarkEnd w:id="140"/>
      <w:bookmarkEnd w:id="155"/>
      <w:bookmarkEnd w:id="156"/>
      <w:bookmarkEnd w:id="157"/>
    </w:p>
    <w:p w14:paraId="782CAE51" w14:textId="77777777" w:rsidR="0062768B" w:rsidRDefault="0062768B">
      <w:pPr>
        <w:spacing w:line="300" w:lineRule="auto"/>
        <w:jc w:val="both"/>
        <w:rPr>
          <w:rFonts w:ascii="Arial" w:eastAsia="仿宋_GB2312" w:hAnsi="Arial" w:cs="Arial"/>
          <w:b/>
          <w:sz w:val="28"/>
        </w:rPr>
      </w:pPr>
    </w:p>
    <w:p w14:paraId="65285C40" w14:textId="77777777" w:rsidR="0062768B" w:rsidRDefault="00136729">
      <w:pPr>
        <w:adjustRightInd/>
        <w:spacing w:line="300" w:lineRule="auto"/>
        <w:ind w:firstLineChars="200" w:firstLine="562"/>
        <w:outlineLvl w:val="1"/>
        <w:rPr>
          <w:rFonts w:ascii="Arial" w:eastAsia="仿宋" w:hAnsi="Arial" w:cs="Arial"/>
          <w:b/>
          <w:sz w:val="28"/>
          <w:szCs w:val="28"/>
        </w:rPr>
      </w:pPr>
      <w:bookmarkStart w:id="158" w:name="_Toc416783535"/>
      <w:bookmarkStart w:id="159" w:name="_Toc418750898"/>
      <w:bookmarkStart w:id="160" w:name="_Toc425250320"/>
      <w:bookmarkStart w:id="161" w:name="_Toc469066318"/>
      <w:bookmarkStart w:id="162" w:name="_Toc515261602"/>
      <w:bookmarkStart w:id="163" w:name="_Toc515458375"/>
      <w:bookmarkStart w:id="164" w:name="_Toc520261148"/>
      <w:bookmarkStart w:id="165" w:name="_Toc531701570"/>
      <w:bookmarkStart w:id="166" w:name="_Toc132016736"/>
      <w:bookmarkStart w:id="167" w:name="_Toc138063007"/>
      <w:r>
        <w:rPr>
          <w:rFonts w:ascii="Arial" w:eastAsia="仿宋" w:hAnsi="Arial" w:cs="Arial"/>
          <w:b/>
          <w:sz w:val="28"/>
          <w:szCs w:val="28"/>
        </w:rPr>
        <w:t>一、估价依据</w:t>
      </w:r>
      <w:bookmarkEnd w:id="158"/>
      <w:bookmarkEnd w:id="159"/>
      <w:bookmarkEnd w:id="160"/>
      <w:bookmarkEnd w:id="161"/>
      <w:bookmarkEnd w:id="162"/>
      <w:bookmarkEnd w:id="163"/>
      <w:bookmarkEnd w:id="164"/>
      <w:bookmarkEnd w:id="165"/>
      <w:bookmarkEnd w:id="166"/>
      <w:bookmarkEnd w:id="167"/>
    </w:p>
    <w:p w14:paraId="5867F9B6" w14:textId="77777777" w:rsidR="0062768B" w:rsidRDefault="00136729">
      <w:pPr>
        <w:adjustRightInd/>
        <w:spacing w:line="300" w:lineRule="auto"/>
        <w:ind w:firstLineChars="200" w:firstLine="560"/>
        <w:jc w:val="both"/>
        <w:rPr>
          <w:rFonts w:ascii="Arial" w:eastAsia="仿宋" w:hAnsi="Arial" w:cs="Arial"/>
          <w:sz w:val="28"/>
          <w:szCs w:val="28"/>
        </w:rPr>
      </w:pPr>
      <w:bookmarkStart w:id="168" w:name="_Toc416783536"/>
      <w:bookmarkStart w:id="169" w:name="_Toc418750899"/>
      <w:bookmarkStart w:id="170" w:name="_Toc425250321"/>
      <w:bookmarkStart w:id="171" w:name="_Toc469066319"/>
      <w:bookmarkStart w:id="172" w:name="_Toc515458376"/>
      <w:bookmarkStart w:id="173" w:name="_Toc520261149"/>
      <w:bookmarkStart w:id="174" w:name="_Toc531701571"/>
      <w:r>
        <w:rPr>
          <w:rFonts w:ascii="Arial" w:eastAsia="仿宋" w:hAnsi="Arial" w:cs="Arial"/>
          <w:sz w:val="28"/>
          <w:szCs w:val="28"/>
        </w:rPr>
        <w:t>（一）有关的法律、法规、行政规章及估价对象所在省市的有关法律法规和政策</w:t>
      </w:r>
    </w:p>
    <w:p w14:paraId="27E39BA0"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《中华人民共和国土地管理法》（</w:t>
      </w:r>
      <w:r>
        <w:rPr>
          <w:rFonts w:ascii="Arial" w:eastAsia="仿宋" w:hAnsi="Arial" w:cs="Arial"/>
          <w:sz w:val="28"/>
          <w:szCs w:val="28"/>
        </w:rPr>
        <w:t>1986</w:t>
      </w:r>
      <w:r>
        <w:rPr>
          <w:rFonts w:ascii="Arial" w:eastAsia="仿宋" w:hAnsi="Arial" w:cs="Arial"/>
          <w:sz w:val="28"/>
          <w:szCs w:val="28"/>
        </w:rPr>
        <w:t>年</w:t>
      </w:r>
      <w:r>
        <w:rPr>
          <w:rFonts w:ascii="Arial" w:eastAsia="仿宋" w:hAnsi="Arial" w:cs="Arial"/>
          <w:sz w:val="28"/>
          <w:szCs w:val="28"/>
        </w:rPr>
        <w:t>6</w:t>
      </w:r>
      <w:r>
        <w:rPr>
          <w:rFonts w:ascii="Arial" w:eastAsia="仿宋" w:hAnsi="Arial" w:cs="Arial"/>
          <w:sz w:val="28"/>
          <w:szCs w:val="28"/>
        </w:rPr>
        <w:t>月</w:t>
      </w:r>
      <w:r>
        <w:rPr>
          <w:rFonts w:ascii="Arial" w:eastAsia="仿宋" w:hAnsi="Arial" w:cs="Arial"/>
          <w:sz w:val="28"/>
          <w:szCs w:val="28"/>
        </w:rPr>
        <w:t>25</w:t>
      </w:r>
      <w:r>
        <w:rPr>
          <w:rFonts w:ascii="Arial" w:eastAsia="仿宋" w:hAnsi="Arial" w:cs="Arial"/>
          <w:sz w:val="28"/>
          <w:szCs w:val="28"/>
        </w:rPr>
        <w:t>日第六届全国人民代表大会常务委员会第十六次会议通过，中华人民共和国主席令第</w:t>
      </w:r>
      <w:r>
        <w:rPr>
          <w:rFonts w:ascii="Arial" w:eastAsia="仿宋" w:hAnsi="Arial" w:cs="Arial"/>
          <w:sz w:val="28"/>
          <w:szCs w:val="28"/>
        </w:rPr>
        <w:t>41</w:t>
      </w:r>
      <w:r>
        <w:rPr>
          <w:rFonts w:ascii="Arial" w:eastAsia="仿宋" w:hAnsi="Arial" w:cs="Arial"/>
          <w:sz w:val="28"/>
          <w:szCs w:val="28"/>
        </w:rPr>
        <w:t>号公布，</w:t>
      </w:r>
      <w:r>
        <w:rPr>
          <w:rFonts w:ascii="Arial" w:eastAsia="仿宋" w:hAnsi="Arial" w:cs="Arial"/>
          <w:sz w:val="28"/>
          <w:szCs w:val="28"/>
        </w:rPr>
        <w:t>1987</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r>
        <w:rPr>
          <w:rFonts w:ascii="Arial" w:eastAsia="仿宋" w:hAnsi="Arial" w:cs="Arial"/>
          <w:sz w:val="28"/>
          <w:szCs w:val="28"/>
        </w:rPr>
        <w:t>1988</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日第七届全国人民代表大会常务委员会第五次会议第一次修正通过，自</w:t>
      </w:r>
      <w:r>
        <w:rPr>
          <w:rFonts w:ascii="Arial" w:eastAsia="仿宋" w:hAnsi="Arial" w:cs="Arial"/>
          <w:sz w:val="28"/>
          <w:szCs w:val="28"/>
        </w:rPr>
        <w:t>1988</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日起施行；</w:t>
      </w:r>
      <w:r>
        <w:rPr>
          <w:rFonts w:ascii="Arial" w:eastAsia="仿宋" w:hAnsi="Arial" w:cs="Arial"/>
          <w:sz w:val="28"/>
          <w:szCs w:val="28"/>
        </w:rPr>
        <w:t>1998</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日第九届全国人民代表大会常务委员会第四次会议修订通过，中华人民共和国主席令第</w:t>
      </w:r>
      <w:r>
        <w:rPr>
          <w:rFonts w:ascii="Arial" w:eastAsia="仿宋" w:hAnsi="Arial" w:cs="Arial"/>
          <w:sz w:val="28"/>
          <w:szCs w:val="28"/>
        </w:rPr>
        <w:t>8</w:t>
      </w:r>
      <w:r>
        <w:rPr>
          <w:rFonts w:ascii="Arial" w:eastAsia="仿宋" w:hAnsi="Arial" w:cs="Arial"/>
          <w:sz w:val="28"/>
          <w:szCs w:val="28"/>
        </w:rPr>
        <w:t>号公布，自</w:t>
      </w:r>
      <w:r>
        <w:rPr>
          <w:rFonts w:ascii="Arial" w:eastAsia="仿宋" w:hAnsi="Arial" w:cs="Arial"/>
          <w:sz w:val="28"/>
          <w:szCs w:val="28"/>
        </w:rPr>
        <w:t>1999</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r>
        <w:rPr>
          <w:rFonts w:ascii="Arial" w:eastAsia="仿宋" w:hAnsi="Arial" w:cs="Arial"/>
          <w:sz w:val="28"/>
          <w:szCs w:val="28"/>
        </w:rPr>
        <w:t>2004</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28</w:t>
      </w:r>
      <w:r>
        <w:rPr>
          <w:rFonts w:ascii="Arial" w:eastAsia="仿宋" w:hAnsi="Arial" w:cs="Arial"/>
          <w:sz w:val="28"/>
          <w:szCs w:val="28"/>
        </w:rPr>
        <w:t>日第十届全国人民代表大会常务委员会第十一次会议第二次修正通过，中华人民共和国主席令第</w:t>
      </w:r>
      <w:r>
        <w:rPr>
          <w:rFonts w:ascii="Arial" w:eastAsia="仿宋" w:hAnsi="Arial" w:cs="Arial"/>
          <w:sz w:val="28"/>
          <w:szCs w:val="28"/>
        </w:rPr>
        <w:t>28</w:t>
      </w:r>
      <w:r>
        <w:rPr>
          <w:rFonts w:ascii="Arial" w:eastAsia="仿宋" w:hAnsi="Arial" w:cs="Arial"/>
          <w:sz w:val="28"/>
          <w:szCs w:val="28"/>
        </w:rPr>
        <w:t>号公布，自公布起日起施行；</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26</w:t>
      </w:r>
      <w:r>
        <w:rPr>
          <w:rFonts w:ascii="Arial" w:eastAsia="仿宋" w:hAnsi="Arial" w:cs="Arial"/>
          <w:sz w:val="28"/>
          <w:szCs w:val="28"/>
        </w:rPr>
        <w:t>日第十三届全国人民代表大会常务委员会第十二次会议第三次修正通过，自</w:t>
      </w:r>
      <w:r>
        <w:rPr>
          <w:rFonts w:ascii="Arial" w:eastAsia="仿宋" w:hAnsi="Arial" w:cs="Arial"/>
          <w:sz w:val="28"/>
          <w:szCs w:val="28"/>
        </w:rPr>
        <w:t>2020</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p>
    <w:p w14:paraId="61D6212A"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《中华人民共和国城市房地产管理法》（</w:t>
      </w:r>
      <w:r>
        <w:rPr>
          <w:rFonts w:ascii="Arial" w:eastAsia="仿宋" w:hAnsi="Arial" w:cs="Arial"/>
          <w:sz w:val="28"/>
          <w:szCs w:val="28"/>
        </w:rPr>
        <w:t>1994</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5</w:t>
      </w:r>
      <w:r>
        <w:rPr>
          <w:rFonts w:ascii="Arial" w:eastAsia="仿宋" w:hAnsi="Arial" w:cs="Arial"/>
          <w:sz w:val="28"/>
          <w:szCs w:val="28"/>
        </w:rPr>
        <w:t>日第八届全国人民代表大会常务委员会第八次会议通过，中华人民共和国主席令第</w:t>
      </w:r>
      <w:r>
        <w:rPr>
          <w:rFonts w:ascii="Arial" w:eastAsia="仿宋" w:hAnsi="Arial" w:cs="Arial"/>
          <w:sz w:val="28"/>
          <w:szCs w:val="28"/>
        </w:rPr>
        <w:t>29</w:t>
      </w:r>
      <w:r>
        <w:rPr>
          <w:rFonts w:ascii="Arial" w:eastAsia="仿宋" w:hAnsi="Arial" w:cs="Arial"/>
          <w:sz w:val="28"/>
          <w:szCs w:val="28"/>
        </w:rPr>
        <w:t>号公布，自</w:t>
      </w:r>
      <w:r>
        <w:rPr>
          <w:rFonts w:ascii="Arial" w:eastAsia="仿宋" w:hAnsi="Arial" w:cs="Arial"/>
          <w:sz w:val="28"/>
          <w:szCs w:val="28"/>
        </w:rPr>
        <w:t>1995</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r>
        <w:rPr>
          <w:rFonts w:ascii="Arial" w:eastAsia="仿宋" w:hAnsi="Arial" w:cs="Arial"/>
          <w:sz w:val="28"/>
          <w:szCs w:val="28"/>
        </w:rPr>
        <w:t>2007</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30</w:t>
      </w:r>
      <w:r>
        <w:rPr>
          <w:rFonts w:ascii="Arial" w:eastAsia="仿宋" w:hAnsi="Arial" w:cs="Arial"/>
          <w:sz w:val="28"/>
          <w:szCs w:val="28"/>
        </w:rPr>
        <w:t>日第十届全国人民代表大会常务委员会第二十九次会议通过第一次修正通过，中华人民共和国主席令第</w:t>
      </w:r>
      <w:r>
        <w:rPr>
          <w:rFonts w:ascii="Arial" w:eastAsia="仿宋" w:hAnsi="Arial" w:cs="Arial"/>
          <w:sz w:val="28"/>
          <w:szCs w:val="28"/>
        </w:rPr>
        <w:t>72</w:t>
      </w:r>
      <w:r>
        <w:rPr>
          <w:rFonts w:ascii="Arial" w:eastAsia="仿宋" w:hAnsi="Arial" w:cs="Arial"/>
          <w:sz w:val="28"/>
          <w:szCs w:val="28"/>
        </w:rPr>
        <w:t>号公布，自公布之日起施行；</w:t>
      </w:r>
      <w:r>
        <w:rPr>
          <w:rFonts w:ascii="Arial" w:eastAsia="仿宋" w:hAnsi="Arial" w:cs="Arial"/>
          <w:sz w:val="28"/>
          <w:szCs w:val="28"/>
        </w:rPr>
        <w:t>2009</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27</w:t>
      </w:r>
      <w:r>
        <w:rPr>
          <w:rFonts w:ascii="Arial" w:eastAsia="仿宋" w:hAnsi="Arial" w:cs="Arial"/>
          <w:sz w:val="28"/>
          <w:szCs w:val="28"/>
        </w:rPr>
        <w:t>日第十一届全国人民代表大会常务委员会第十次会议第二次修正通过，中华人民共和国主席令第</w:t>
      </w:r>
      <w:r>
        <w:rPr>
          <w:rFonts w:ascii="Arial" w:eastAsia="仿宋" w:hAnsi="Arial" w:cs="Arial"/>
          <w:sz w:val="28"/>
          <w:szCs w:val="28"/>
        </w:rPr>
        <w:t>18</w:t>
      </w:r>
      <w:r>
        <w:rPr>
          <w:rFonts w:ascii="Arial" w:eastAsia="仿宋" w:hAnsi="Arial" w:cs="Arial"/>
          <w:sz w:val="28"/>
          <w:szCs w:val="28"/>
        </w:rPr>
        <w:t>号公布，自公布之日起施行；</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26</w:t>
      </w:r>
      <w:r>
        <w:rPr>
          <w:rFonts w:ascii="Arial" w:eastAsia="仿宋" w:hAnsi="Arial" w:cs="Arial"/>
          <w:sz w:val="28"/>
          <w:szCs w:val="28"/>
        </w:rPr>
        <w:t>日第十三届全国人大常委会第十二次会议通过第三次修正，自</w:t>
      </w:r>
      <w:r>
        <w:rPr>
          <w:rFonts w:ascii="Arial" w:eastAsia="仿宋" w:hAnsi="Arial" w:cs="Arial"/>
          <w:sz w:val="28"/>
          <w:szCs w:val="28"/>
        </w:rPr>
        <w:t>2020</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p>
    <w:p w14:paraId="6EC33281"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《中华人民共和国城乡规划法》（</w:t>
      </w:r>
      <w:r>
        <w:rPr>
          <w:rFonts w:ascii="Arial" w:eastAsia="仿宋" w:hAnsi="Arial" w:cs="Arial"/>
          <w:sz w:val="28"/>
          <w:szCs w:val="28"/>
        </w:rPr>
        <w:t>2007</w:t>
      </w:r>
      <w:r>
        <w:rPr>
          <w:rFonts w:ascii="Arial" w:eastAsia="仿宋" w:hAnsi="Arial" w:cs="Arial"/>
          <w:sz w:val="28"/>
          <w:szCs w:val="28"/>
        </w:rPr>
        <w:t>年</w:t>
      </w:r>
      <w:r>
        <w:rPr>
          <w:rFonts w:ascii="Arial" w:eastAsia="仿宋" w:hAnsi="Arial" w:cs="Arial"/>
          <w:sz w:val="28"/>
          <w:szCs w:val="28"/>
        </w:rPr>
        <w:t>10</w:t>
      </w:r>
      <w:r>
        <w:rPr>
          <w:rFonts w:ascii="Arial" w:eastAsia="仿宋" w:hAnsi="Arial" w:cs="Arial"/>
          <w:sz w:val="28"/>
          <w:szCs w:val="28"/>
        </w:rPr>
        <w:t>月</w:t>
      </w:r>
      <w:r>
        <w:rPr>
          <w:rFonts w:ascii="Arial" w:eastAsia="仿宋" w:hAnsi="Arial" w:cs="Arial"/>
          <w:sz w:val="28"/>
          <w:szCs w:val="28"/>
        </w:rPr>
        <w:t>28</w:t>
      </w:r>
      <w:r>
        <w:rPr>
          <w:rFonts w:ascii="Arial" w:eastAsia="仿宋" w:hAnsi="Arial" w:cs="Arial"/>
          <w:sz w:val="28"/>
          <w:szCs w:val="28"/>
        </w:rPr>
        <w:t>日第十届全国人民代表大会常务委员会第三十次会议通过；根据</w:t>
      </w:r>
      <w:r>
        <w:rPr>
          <w:rFonts w:ascii="Arial" w:eastAsia="仿宋" w:hAnsi="Arial" w:cs="Arial"/>
          <w:sz w:val="28"/>
          <w:szCs w:val="28"/>
        </w:rPr>
        <w:t>2015</w:t>
      </w:r>
      <w:r>
        <w:rPr>
          <w:rFonts w:ascii="Arial" w:eastAsia="仿宋" w:hAnsi="Arial" w:cs="Arial"/>
          <w:sz w:val="28"/>
          <w:szCs w:val="28"/>
        </w:rPr>
        <w:t>年</w:t>
      </w:r>
      <w:r>
        <w:rPr>
          <w:rFonts w:ascii="Arial" w:eastAsia="仿宋" w:hAnsi="Arial" w:cs="Arial"/>
          <w:sz w:val="28"/>
          <w:szCs w:val="28"/>
        </w:rPr>
        <w:t>4</w:t>
      </w:r>
      <w:r>
        <w:rPr>
          <w:rFonts w:ascii="Arial" w:eastAsia="仿宋" w:hAnsi="Arial" w:cs="Arial"/>
          <w:sz w:val="28"/>
          <w:szCs w:val="28"/>
        </w:rPr>
        <w:t>月</w:t>
      </w:r>
      <w:r>
        <w:rPr>
          <w:rFonts w:ascii="Arial" w:eastAsia="仿宋" w:hAnsi="Arial" w:cs="Arial"/>
          <w:sz w:val="28"/>
          <w:szCs w:val="28"/>
        </w:rPr>
        <w:t>24</w:t>
      </w:r>
      <w:r>
        <w:rPr>
          <w:rFonts w:ascii="Arial" w:eastAsia="仿宋" w:hAnsi="Arial" w:cs="Arial"/>
          <w:sz w:val="28"/>
          <w:szCs w:val="28"/>
        </w:rPr>
        <w:t>日第十二届全国人民代表大会常务委员会第十四次会议《关于修改〈中华人民共和国港口法〉等七部法律的决定》第一次修正，公布之日起施行；根据</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4</w:t>
      </w:r>
      <w:r>
        <w:rPr>
          <w:rFonts w:ascii="Arial" w:eastAsia="仿宋" w:hAnsi="Arial" w:cs="Arial"/>
          <w:sz w:val="28"/>
          <w:szCs w:val="28"/>
        </w:rPr>
        <w:t>月</w:t>
      </w:r>
      <w:r>
        <w:rPr>
          <w:rFonts w:ascii="Arial" w:eastAsia="仿宋" w:hAnsi="Arial" w:cs="Arial"/>
          <w:sz w:val="28"/>
          <w:szCs w:val="28"/>
        </w:rPr>
        <w:t>23</w:t>
      </w:r>
      <w:r>
        <w:rPr>
          <w:rFonts w:ascii="Arial" w:eastAsia="仿宋" w:hAnsi="Arial" w:cs="Arial"/>
          <w:sz w:val="28"/>
          <w:szCs w:val="28"/>
        </w:rPr>
        <w:t>日第十三届全国人民代表大会常务委员会第十次会议《关于修改〈中华人民共和国建筑法〉等八部法律的决定》第二次修正自，公布之日起施行）</w:t>
      </w:r>
    </w:p>
    <w:p w14:paraId="51756E6E"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lastRenderedPageBreak/>
        <w:t>《中华人民共和国资产评估法》（</w:t>
      </w:r>
      <w:r>
        <w:rPr>
          <w:rFonts w:ascii="Arial" w:eastAsia="仿宋" w:hAnsi="Arial" w:cs="Arial"/>
          <w:sz w:val="28"/>
          <w:szCs w:val="28"/>
        </w:rPr>
        <w:t>2016</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2</w:t>
      </w:r>
      <w:r>
        <w:rPr>
          <w:rFonts w:ascii="Arial" w:eastAsia="仿宋" w:hAnsi="Arial" w:cs="Arial"/>
          <w:sz w:val="28"/>
          <w:szCs w:val="28"/>
        </w:rPr>
        <w:t>日第十二届全国人民代表大会常务委员会第二十一次会议通过，</w:t>
      </w:r>
      <w:r>
        <w:rPr>
          <w:rFonts w:ascii="Arial" w:eastAsia="仿宋" w:hAnsi="Arial" w:cs="Arial"/>
          <w:sz w:val="28"/>
          <w:szCs w:val="28"/>
        </w:rPr>
        <w:t>2016</w:t>
      </w:r>
      <w:r>
        <w:rPr>
          <w:rFonts w:ascii="Arial" w:eastAsia="仿宋" w:hAnsi="Arial" w:cs="Arial"/>
          <w:sz w:val="28"/>
          <w:szCs w:val="28"/>
        </w:rPr>
        <w:t>年</w:t>
      </w:r>
      <w:r>
        <w:rPr>
          <w:rFonts w:ascii="Arial" w:eastAsia="仿宋" w:hAnsi="Arial" w:cs="Arial"/>
          <w:sz w:val="28"/>
          <w:szCs w:val="28"/>
        </w:rPr>
        <w:t>3</w:t>
      </w:r>
      <w:r>
        <w:rPr>
          <w:rFonts w:ascii="Arial" w:eastAsia="仿宋" w:hAnsi="Arial" w:cs="Arial"/>
          <w:sz w:val="28"/>
          <w:szCs w:val="28"/>
        </w:rPr>
        <w:t>月</w:t>
      </w:r>
      <w:r>
        <w:rPr>
          <w:rFonts w:ascii="Arial" w:eastAsia="仿宋" w:hAnsi="Arial" w:cs="Arial"/>
          <w:sz w:val="28"/>
          <w:szCs w:val="28"/>
        </w:rPr>
        <w:t>16</w:t>
      </w:r>
      <w:r>
        <w:rPr>
          <w:rFonts w:ascii="Arial" w:eastAsia="仿宋" w:hAnsi="Arial" w:cs="Arial"/>
          <w:sz w:val="28"/>
          <w:szCs w:val="28"/>
        </w:rPr>
        <w:t>日中华人民共和国主席令第</w:t>
      </w:r>
      <w:r>
        <w:rPr>
          <w:rFonts w:ascii="Arial" w:eastAsia="仿宋" w:hAnsi="Arial" w:cs="Arial"/>
          <w:sz w:val="28"/>
          <w:szCs w:val="28"/>
        </w:rPr>
        <w:t>46</w:t>
      </w:r>
      <w:r>
        <w:rPr>
          <w:rFonts w:ascii="Arial" w:eastAsia="仿宋" w:hAnsi="Arial" w:cs="Arial"/>
          <w:sz w:val="28"/>
          <w:szCs w:val="28"/>
        </w:rPr>
        <w:t>号公布，自</w:t>
      </w:r>
      <w:r>
        <w:rPr>
          <w:rFonts w:ascii="Arial" w:eastAsia="仿宋" w:hAnsi="Arial" w:cs="Arial"/>
          <w:sz w:val="28"/>
          <w:szCs w:val="28"/>
        </w:rPr>
        <w:t>2016</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p>
    <w:p w14:paraId="211A5DA3"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《中华人民共和国民法典》（</w:t>
      </w:r>
      <w:r>
        <w:rPr>
          <w:rFonts w:ascii="Arial" w:eastAsia="仿宋" w:hAnsi="Arial" w:cs="Arial"/>
          <w:sz w:val="28"/>
          <w:szCs w:val="28"/>
        </w:rPr>
        <w:t>2020</w:t>
      </w:r>
      <w:r>
        <w:rPr>
          <w:rFonts w:ascii="Arial" w:eastAsia="仿宋" w:hAnsi="Arial" w:cs="Arial"/>
          <w:sz w:val="28"/>
          <w:szCs w:val="28"/>
        </w:rPr>
        <w:t>年</w:t>
      </w:r>
      <w:r>
        <w:rPr>
          <w:rFonts w:ascii="Arial" w:eastAsia="仿宋" w:hAnsi="Arial" w:cs="Arial"/>
          <w:sz w:val="28"/>
          <w:szCs w:val="28"/>
        </w:rPr>
        <w:t>5</w:t>
      </w:r>
      <w:r>
        <w:rPr>
          <w:rFonts w:ascii="Arial" w:eastAsia="仿宋" w:hAnsi="Arial" w:cs="Arial"/>
          <w:sz w:val="28"/>
          <w:szCs w:val="28"/>
        </w:rPr>
        <w:t>月</w:t>
      </w:r>
      <w:r>
        <w:rPr>
          <w:rFonts w:ascii="Arial" w:eastAsia="仿宋" w:hAnsi="Arial" w:cs="Arial"/>
          <w:sz w:val="28"/>
          <w:szCs w:val="28"/>
        </w:rPr>
        <w:t>28</w:t>
      </w:r>
      <w:r>
        <w:rPr>
          <w:rFonts w:ascii="Arial" w:eastAsia="仿宋" w:hAnsi="Arial" w:cs="Arial"/>
          <w:sz w:val="28"/>
          <w:szCs w:val="28"/>
        </w:rPr>
        <w:t>日第十三届全国人大三次会议表决通过，自</w:t>
      </w:r>
      <w:r>
        <w:rPr>
          <w:rFonts w:ascii="Arial" w:eastAsia="仿宋" w:hAnsi="Arial" w:cs="Arial"/>
          <w:sz w:val="28"/>
          <w:szCs w:val="28"/>
        </w:rPr>
        <w:t>2021</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p>
    <w:p w14:paraId="0B86EA5E"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《中华人民共和国城镇国有土地使用权出让和转让暂行条例》（</w:t>
      </w:r>
      <w:r>
        <w:rPr>
          <w:rFonts w:ascii="Arial" w:eastAsia="仿宋" w:hAnsi="Arial" w:cs="Arial"/>
          <w:sz w:val="28"/>
          <w:szCs w:val="28"/>
        </w:rPr>
        <w:t>1990</w:t>
      </w:r>
      <w:r>
        <w:rPr>
          <w:rFonts w:ascii="Arial" w:eastAsia="仿宋" w:hAnsi="Arial" w:cs="Arial"/>
          <w:sz w:val="28"/>
          <w:szCs w:val="28"/>
        </w:rPr>
        <w:t>年</w:t>
      </w:r>
      <w:r>
        <w:rPr>
          <w:rFonts w:ascii="Arial" w:eastAsia="仿宋" w:hAnsi="Arial" w:cs="Arial"/>
          <w:sz w:val="28"/>
          <w:szCs w:val="28"/>
        </w:rPr>
        <w:t>5</w:t>
      </w:r>
      <w:r>
        <w:rPr>
          <w:rFonts w:ascii="Arial" w:eastAsia="仿宋" w:hAnsi="Arial" w:cs="Arial"/>
          <w:sz w:val="28"/>
          <w:szCs w:val="28"/>
        </w:rPr>
        <w:t>月</w:t>
      </w:r>
      <w:r>
        <w:rPr>
          <w:rFonts w:ascii="Arial" w:eastAsia="仿宋" w:hAnsi="Arial" w:cs="Arial"/>
          <w:sz w:val="28"/>
          <w:szCs w:val="28"/>
        </w:rPr>
        <w:t>19</w:t>
      </w:r>
      <w:r>
        <w:rPr>
          <w:rFonts w:ascii="Arial" w:eastAsia="仿宋" w:hAnsi="Arial" w:cs="Arial"/>
          <w:sz w:val="28"/>
          <w:szCs w:val="28"/>
        </w:rPr>
        <w:t>日中华人民共和国国务院令第</w:t>
      </w:r>
      <w:r>
        <w:rPr>
          <w:rFonts w:ascii="Arial" w:eastAsia="仿宋" w:hAnsi="Arial" w:cs="Arial"/>
          <w:sz w:val="28"/>
          <w:szCs w:val="28"/>
        </w:rPr>
        <w:t>55</w:t>
      </w:r>
      <w:r>
        <w:rPr>
          <w:rFonts w:ascii="Arial" w:eastAsia="仿宋" w:hAnsi="Arial" w:cs="Arial"/>
          <w:sz w:val="28"/>
          <w:szCs w:val="28"/>
        </w:rPr>
        <w:t>号发布，自发布之日起施行；根据</w:t>
      </w:r>
      <w:r>
        <w:rPr>
          <w:rFonts w:ascii="Arial" w:eastAsia="仿宋" w:hAnsi="Arial" w:cs="Arial"/>
          <w:sz w:val="28"/>
          <w:szCs w:val="28"/>
        </w:rPr>
        <w:t>2020</w:t>
      </w:r>
      <w:r>
        <w:rPr>
          <w:rFonts w:ascii="Arial" w:eastAsia="仿宋" w:hAnsi="Arial" w:cs="Arial"/>
          <w:sz w:val="28"/>
          <w:szCs w:val="28"/>
        </w:rPr>
        <w:t>年</w:t>
      </w:r>
      <w:r>
        <w:rPr>
          <w:rFonts w:ascii="Arial" w:eastAsia="仿宋" w:hAnsi="Arial" w:cs="Arial"/>
          <w:sz w:val="28"/>
          <w:szCs w:val="28"/>
        </w:rPr>
        <w:t>11</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日中华人民共和国国务院令第</w:t>
      </w:r>
      <w:r>
        <w:rPr>
          <w:rFonts w:ascii="Arial" w:eastAsia="仿宋" w:hAnsi="Arial" w:cs="Arial"/>
          <w:sz w:val="28"/>
          <w:szCs w:val="28"/>
        </w:rPr>
        <w:t>732</w:t>
      </w:r>
      <w:r>
        <w:rPr>
          <w:rFonts w:ascii="Arial" w:eastAsia="仿宋" w:hAnsi="Arial" w:cs="Arial"/>
          <w:sz w:val="28"/>
          <w:szCs w:val="28"/>
        </w:rPr>
        <w:t>号公布的《国务院关于修改和废止部分行政法规的决定》修订，自公布之日起施行）</w:t>
      </w:r>
    </w:p>
    <w:p w14:paraId="51D9DBCF"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《中华人民共和国土地管理法实施条例》（</w:t>
      </w:r>
      <w:r>
        <w:rPr>
          <w:rFonts w:ascii="Arial" w:eastAsia="仿宋" w:hAnsi="Arial" w:cs="Arial"/>
          <w:sz w:val="28"/>
          <w:szCs w:val="28"/>
        </w:rPr>
        <w:t>1998</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24</w:t>
      </w:r>
      <w:r>
        <w:rPr>
          <w:rFonts w:ascii="Arial" w:eastAsia="仿宋" w:hAnsi="Arial" w:cs="Arial"/>
          <w:sz w:val="28"/>
          <w:szCs w:val="28"/>
        </w:rPr>
        <w:t>日国务院第</w:t>
      </w:r>
      <w:r>
        <w:rPr>
          <w:rFonts w:ascii="Arial" w:eastAsia="仿宋" w:hAnsi="Arial" w:cs="Arial"/>
          <w:sz w:val="28"/>
          <w:szCs w:val="28"/>
        </w:rPr>
        <w:t>12</w:t>
      </w:r>
      <w:r>
        <w:rPr>
          <w:rFonts w:ascii="Arial" w:eastAsia="仿宋" w:hAnsi="Arial" w:cs="Arial"/>
          <w:sz w:val="28"/>
          <w:szCs w:val="28"/>
        </w:rPr>
        <w:t>次常务会议通过</w:t>
      </w:r>
      <w:r>
        <w:rPr>
          <w:rFonts w:ascii="Arial" w:eastAsia="仿宋" w:hAnsi="Arial" w:cs="Arial"/>
          <w:sz w:val="28"/>
          <w:szCs w:val="28"/>
        </w:rPr>
        <w:t xml:space="preserve"> </w:t>
      </w:r>
      <w:r>
        <w:rPr>
          <w:rFonts w:ascii="Arial" w:eastAsia="仿宋" w:hAnsi="Arial" w:cs="Arial"/>
          <w:sz w:val="28"/>
          <w:szCs w:val="28"/>
        </w:rPr>
        <w:t>，</w:t>
      </w:r>
      <w:r>
        <w:rPr>
          <w:rFonts w:ascii="Arial" w:eastAsia="仿宋" w:hAnsi="Arial" w:cs="Arial"/>
          <w:sz w:val="28"/>
          <w:szCs w:val="28"/>
        </w:rPr>
        <w:t>1998</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27</w:t>
      </w:r>
      <w:r>
        <w:rPr>
          <w:rFonts w:ascii="Arial" w:eastAsia="仿宋" w:hAnsi="Arial" w:cs="Arial"/>
          <w:sz w:val="28"/>
          <w:szCs w:val="28"/>
        </w:rPr>
        <w:t>日中华人民共和国国务院令第</w:t>
      </w:r>
      <w:r>
        <w:rPr>
          <w:rFonts w:ascii="Arial" w:eastAsia="仿宋" w:hAnsi="Arial" w:cs="Arial"/>
          <w:sz w:val="28"/>
          <w:szCs w:val="28"/>
        </w:rPr>
        <w:t>256</w:t>
      </w:r>
      <w:r>
        <w:rPr>
          <w:rFonts w:ascii="Arial" w:eastAsia="仿宋" w:hAnsi="Arial" w:cs="Arial"/>
          <w:sz w:val="28"/>
          <w:szCs w:val="28"/>
        </w:rPr>
        <w:t>号发布，自</w:t>
      </w:r>
      <w:r>
        <w:rPr>
          <w:rFonts w:ascii="Arial" w:eastAsia="仿宋" w:hAnsi="Arial" w:cs="Arial"/>
          <w:sz w:val="28"/>
          <w:szCs w:val="28"/>
        </w:rPr>
        <w:t>1999</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r>
        <w:rPr>
          <w:rFonts w:ascii="Arial" w:eastAsia="仿宋" w:hAnsi="Arial" w:cs="Arial"/>
          <w:sz w:val="28"/>
          <w:szCs w:val="28"/>
        </w:rPr>
        <w:t>2010</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日国务院第</w:t>
      </w:r>
      <w:r>
        <w:rPr>
          <w:rFonts w:ascii="Arial" w:eastAsia="仿宋" w:hAnsi="Arial" w:cs="Arial"/>
          <w:sz w:val="28"/>
          <w:szCs w:val="28"/>
        </w:rPr>
        <w:t>138</w:t>
      </w:r>
      <w:r>
        <w:rPr>
          <w:rFonts w:ascii="Arial" w:eastAsia="仿宋" w:hAnsi="Arial" w:cs="Arial"/>
          <w:sz w:val="28"/>
          <w:szCs w:val="28"/>
        </w:rPr>
        <w:t>次常务会议第一次修正通过，</w:t>
      </w:r>
      <w:r>
        <w:rPr>
          <w:rFonts w:ascii="Arial" w:eastAsia="仿宋" w:hAnsi="Arial" w:cs="Arial"/>
          <w:sz w:val="28"/>
          <w:szCs w:val="28"/>
        </w:rPr>
        <w:t>2011</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8</w:t>
      </w:r>
      <w:r>
        <w:rPr>
          <w:rFonts w:ascii="Arial" w:eastAsia="仿宋" w:hAnsi="Arial" w:cs="Arial"/>
          <w:sz w:val="28"/>
          <w:szCs w:val="28"/>
        </w:rPr>
        <w:t>日中华人民共和国国务院令第</w:t>
      </w:r>
      <w:r>
        <w:rPr>
          <w:rFonts w:ascii="Arial" w:eastAsia="仿宋" w:hAnsi="Arial" w:cs="Arial"/>
          <w:sz w:val="28"/>
          <w:szCs w:val="28"/>
        </w:rPr>
        <w:t>588</w:t>
      </w:r>
      <w:r>
        <w:rPr>
          <w:rFonts w:ascii="Arial" w:eastAsia="仿宋" w:hAnsi="Arial" w:cs="Arial"/>
          <w:sz w:val="28"/>
          <w:szCs w:val="28"/>
        </w:rPr>
        <w:t>号发布，自发布之日起施行；</w:t>
      </w:r>
      <w:r>
        <w:rPr>
          <w:rFonts w:ascii="Arial" w:eastAsia="仿宋" w:hAnsi="Arial" w:cs="Arial"/>
          <w:sz w:val="28"/>
          <w:szCs w:val="28"/>
        </w:rPr>
        <w:t>2014</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9</w:t>
      </w:r>
      <w:r>
        <w:rPr>
          <w:rFonts w:ascii="Arial" w:eastAsia="仿宋" w:hAnsi="Arial" w:cs="Arial"/>
          <w:sz w:val="28"/>
          <w:szCs w:val="28"/>
        </w:rPr>
        <w:t>日国务院第</w:t>
      </w:r>
      <w:r>
        <w:rPr>
          <w:rFonts w:ascii="Arial" w:eastAsia="仿宋" w:hAnsi="Arial" w:cs="Arial"/>
          <w:sz w:val="28"/>
          <w:szCs w:val="28"/>
        </w:rPr>
        <w:t>54</w:t>
      </w:r>
      <w:r>
        <w:rPr>
          <w:rFonts w:ascii="Arial" w:eastAsia="仿宋" w:hAnsi="Arial" w:cs="Arial"/>
          <w:sz w:val="28"/>
          <w:szCs w:val="28"/>
        </w:rPr>
        <w:t>次常务会议第二次修正通过，</w:t>
      </w:r>
      <w:r>
        <w:rPr>
          <w:rFonts w:ascii="Arial" w:eastAsia="仿宋" w:hAnsi="Arial" w:cs="Arial"/>
          <w:sz w:val="28"/>
          <w:szCs w:val="28"/>
        </w:rPr>
        <w:t>2014</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日中华人民共和国国务院令第</w:t>
      </w:r>
      <w:r>
        <w:rPr>
          <w:rFonts w:ascii="Arial" w:eastAsia="仿宋" w:hAnsi="Arial" w:cs="Arial"/>
          <w:sz w:val="28"/>
          <w:szCs w:val="28"/>
        </w:rPr>
        <w:t>653</w:t>
      </w:r>
      <w:r>
        <w:rPr>
          <w:rFonts w:ascii="Arial" w:eastAsia="仿宋" w:hAnsi="Arial" w:cs="Arial"/>
          <w:sz w:val="28"/>
          <w:szCs w:val="28"/>
        </w:rPr>
        <w:t>号公布，自公布之日起施行；</w:t>
      </w:r>
      <w:r>
        <w:rPr>
          <w:rFonts w:ascii="Arial" w:eastAsia="仿宋" w:hAnsi="Arial" w:cs="Arial"/>
          <w:sz w:val="28"/>
          <w:szCs w:val="28"/>
        </w:rPr>
        <w:t>2021</w:t>
      </w:r>
      <w:r>
        <w:rPr>
          <w:rFonts w:ascii="Arial" w:eastAsia="仿宋" w:hAnsi="Arial" w:cs="Arial"/>
          <w:sz w:val="28"/>
          <w:szCs w:val="28"/>
        </w:rPr>
        <w:t>年</w:t>
      </w:r>
      <w:r>
        <w:rPr>
          <w:rFonts w:ascii="Arial" w:eastAsia="仿宋" w:hAnsi="Arial" w:cs="Arial"/>
          <w:sz w:val="28"/>
          <w:szCs w:val="28"/>
        </w:rPr>
        <w:t>4</w:t>
      </w:r>
      <w:r>
        <w:rPr>
          <w:rFonts w:ascii="Arial" w:eastAsia="仿宋" w:hAnsi="Arial" w:cs="Arial"/>
          <w:sz w:val="28"/>
          <w:szCs w:val="28"/>
        </w:rPr>
        <w:t>月</w:t>
      </w:r>
      <w:r>
        <w:rPr>
          <w:rFonts w:ascii="Arial" w:eastAsia="仿宋" w:hAnsi="Arial" w:cs="Arial"/>
          <w:sz w:val="28"/>
          <w:szCs w:val="28"/>
        </w:rPr>
        <w:t>21</w:t>
      </w:r>
      <w:r>
        <w:rPr>
          <w:rFonts w:ascii="Arial" w:eastAsia="仿宋" w:hAnsi="Arial" w:cs="Arial"/>
          <w:sz w:val="28"/>
          <w:szCs w:val="28"/>
        </w:rPr>
        <w:t>日国务院第</w:t>
      </w:r>
      <w:r>
        <w:rPr>
          <w:rFonts w:ascii="Arial" w:eastAsia="仿宋" w:hAnsi="Arial" w:cs="Arial"/>
          <w:sz w:val="28"/>
          <w:szCs w:val="28"/>
        </w:rPr>
        <w:t>132</w:t>
      </w:r>
      <w:r>
        <w:rPr>
          <w:rFonts w:ascii="Arial" w:eastAsia="仿宋" w:hAnsi="Arial" w:cs="Arial"/>
          <w:sz w:val="28"/>
          <w:szCs w:val="28"/>
        </w:rPr>
        <w:t>次会议第三次修订通过，</w:t>
      </w:r>
      <w:r>
        <w:rPr>
          <w:rFonts w:ascii="Arial" w:eastAsia="仿宋" w:hAnsi="Arial" w:cs="Arial"/>
          <w:sz w:val="28"/>
          <w:szCs w:val="28"/>
        </w:rPr>
        <w:t>2021</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2</w:t>
      </w:r>
      <w:r>
        <w:rPr>
          <w:rFonts w:ascii="Arial" w:eastAsia="仿宋" w:hAnsi="Arial" w:cs="Arial"/>
          <w:sz w:val="28"/>
          <w:szCs w:val="28"/>
        </w:rPr>
        <w:t>日中华人民共和国国务院令第</w:t>
      </w:r>
      <w:r>
        <w:rPr>
          <w:rFonts w:ascii="Arial" w:eastAsia="仿宋" w:hAnsi="Arial" w:cs="Arial"/>
          <w:sz w:val="28"/>
          <w:szCs w:val="28"/>
        </w:rPr>
        <w:t>743</w:t>
      </w:r>
      <w:r>
        <w:rPr>
          <w:rFonts w:ascii="Arial" w:eastAsia="仿宋" w:hAnsi="Arial" w:cs="Arial"/>
          <w:sz w:val="28"/>
          <w:szCs w:val="28"/>
        </w:rPr>
        <w:t>号公布，自</w:t>
      </w:r>
      <w:r>
        <w:rPr>
          <w:rFonts w:ascii="Arial" w:eastAsia="仿宋" w:hAnsi="Arial" w:cs="Arial"/>
          <w:sz w:val="28"/>
          <w:szCs w:val="28"/>
        </w:rPr>
        <w:t>2021</w:t>
      </w:r>
      <w:r>
        <w:rPr>
          <w:rFonts w:ascii="Arial" w:eastAsia="仿宋" w:hAnsi="Arial" w:cs="Arial"/>
          <w:sz w:val="28"/>
          <w:szCs w:val="28"/>
        </w:rPr>
        <w:t>年</w:t>
      </w:r>
      <w:r>
        <w:rPr>
          <w:rFonts w:ascii="Arial" w:eastAsia="仿宋" w:hAnsi="Arial" w:cs="Arial"/>
          <w:sz w:val="28"/>
          <w:szCs w:val="28"/>
        </w:rPr>
        <w:t>9</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p>
    <w:p w14:paraId="2DD26EDD"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《不动产登记暂行条例》〔</w:t>
      </w:r>
      <w:r>
        <w:rPr>
          <w:rFonts w:ascii="Arial" w:eastAsia="仿宋" w:hAnsi="Arial" w:cs="Arial"/>
          <w:sz w:val="28"/>
          <w:szCs w:val="28"/>
        </w:rPr>
        <w:t>2014</w:t>
      </w:r>
      <w:r>
        <w:rPr>
          <w:rFonts w:ascii="Arial" w:eastAsia="仿宋" w:hAnsi="Arial" w:cs="Arial"/>
          <w:sz w:val="28"/>
          <w:szCs w:val="28"/>
        </w:rPr>
        <w:t>年</w:t>
      </w:r>
      <w:r>
        <w:rPr>
          <w:rFonts w:ascii="Arial" w:eastAsia="仿宋" w:hAnsi="Arial" w:cs="Arial"/>
          <w:sz w:val="28"/>
          <w:szCs w:val="28"/>
        </w:rPr>
        <w:t>11</w:t>
      </w:r>
      <w:r>
        <w:rPr>
          <w:rFonts w:ascii="Arial" w:eastAsia="仿宋" w:hAnsi="Arial" w:cs="Arial"/>
          <w:sz w:val="28"/>
          <w:szCs w:val="28"/>
        </w:rPr>
        <w:t>月</w:t>
      </w:r>
      <w:r>
        <w:rPr>
          <w:rFonts w:ascii="Arial" w:eastAsia="仿宋" w:hAnsi="Arial" w:cs="Arial"/>
          <w:sz w:val="28"/>
          <w:szCs w:val="28"/>
        </w:rPr>
        <w:t>24</w:t>
      </w:r>
      <w:r>
        <w:rPr>
          <w:rFonts w:ascii="Arial" w:eastAsia="仿宋" w:hAnsi="Arial" w:cs="Arial"/>
          <w:sz w:val="28"/>
          <w:szCs w:val="28"/>
        </w:rPr>
        <w:t>日中华人民共和国国务院令第</w:t>
      </w:r>
      <w:r>
        <w:rPr>
          <w:rFonts w:ascii="Arial" w:eastAsia="仿宋" w:hAnsi="Arial" w:cs="Arial"/>
          <w:sz w:val="28"/>
          <w:szCs w:val="28"/>
        </w:rPr>
        <w:t>656</w:t>
      </w:r>
      <w:r>
        <w:rPr>
          <w:rFonts w:ascii="Arial" w:eastAsia="仿宋" w:hAnsi="Arial" w:cs="Arial"/>
          <w:sz w:val="28"/>
          <w:szCs w:val="28"/>
        </w:rPr>
        <w:t>号公布，自</w:t>
      </w:r>
      <w:r>
        <w:rPr>
          <w:rFonts w:ascii="Arial" w:eastAsia="仿宋" w:hAnsi="Arial" w:cs="Arial"/>
          <w:sz w:val="28"/>
          <w:szCs w:val="28"/>
        </w:rPr>
        <w:t>2015</w:t>
      </w:r>
      <w:r>
        <w:rPr>
          <w:rFonts w:ascii="Arial" w:eastAsia="仿宋" w:hAnsi="Arial" w:cs="Arial"/>
          <w:sz w:val="28"/>
          <w:szCs w:val="28"/>
        </w:rPr>
        <w:t>年</w:t>
      </w:r>
      <w:r>
        <w:rPr>
          <w:rFonts w:ascii="Arial" w:eastAsia="仿宋" w:hAnsi="Arial" w:cs="Arial"/>
          <w:sz w:val="28"/>
          <w:szCs w:val="28"/>
        </w:rPr>
        <w:t>3</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日起施行；根据</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3</w:t>
      </w:r>
      <w:r>
        <w:rPr>
          <w:rFonts w:ascii="Arial" w:eastAsia="仿宋" w:hAnsi="Arial" w:cs="Arial"/>
          <w:sz w:val="28"/>
          <w:szCs w:val="28"/>
        </w:rPr>
        <w:t>月</w:t>
      </w:r>
      <w:r>
        <w:rPr>
          <w:rFonts w:ascii="Arial" w:eastAsia="仿宋" w:hAnsi="Arial" w:cs="Arial"/>
          <w:sz w:val="28"/>
          <w:szCs w:val="28"/>
        </w:rPr>
        <w:t>24</w:t>
      </w:r>
      <w:r>
        <w:rPr>
          <w:rFonts w:ascii="Arial" w:eastAsia="仿宋" w:hAnsi="Arial" w:cs="Arial"/>
          <w:sz w:val="28"/>
          <w:szCs w:val="28"/>
        </w:rPr>
        <w:t>日中华人民共和国国务院令第</w:t>
      </w:r>
      <w:r>
        <w:rPr>
          <w:rFonts w:ascii="Arial" w:eastAsia="仿宋" w:hAnsi="Arial" w:cs="Arial"/>
          <w:sz w:val="28"/>
          <w:szCs w:val="28"/>
        </w:rPr>
        <w:t>710</w:t>
      </w:r>
      <w:r>
        <w:rPr>
          <w:rFonts w:ascii="Arial" w:eastAsia="仿宋" w:hAnsi="Arial" w:cs="Arial"/>
          <w:sz w:val="28"/>
          <w:szCs w:val="28"/>
        </w:rPr>
        <w:t>号公布的《国务院关于修改部分行政法规的决定》修订，自公布之日起施行〕；</w:t>
      </w:r>
    </w:p>
    <w:p w14:paraId="7CF3E5E1"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《不动产登记暂行条例实施细则》（</w:t>
      </w:r>
      <w:r>
        <w:rPr>
          <w:rFonts w:ascii="Arial" w:eastAsia="仿宋" w:hAnsi="Arial" w:cs="Arial"/>
          <w:sz w:val="28"/>
          <w:szCs w:val="28"/>
        </w:rPr>
        <w:t>2015</w:t>
      </w:r>
      <w:r>
        <w:rPr>
          <w:rFonts w:ascii="Arial" w:eastAsia="仿宋" w:hAnsi="Arial" w:cs="Arial"/>
          <w:sz w:val="28"/>
          <w:szCs w:val="28"/>
        </w:rPr>
        <w:t>年</w:t>
      </w:r>
      <w:r>
        <w:rPr>
          <w:rFonts w:ascii="Arial" w:eastAsia="仿宋" w:hAnsi="Arial" w:cs="Arial"/>
          <w:sz w:val="28"/>
          <w:szCs w:val="28"/>
        </w:rPr>
        <w:t>6</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日国土资源部第</w:t>
      </w:r>
      <w:r>
        <w:rPr>
          <w:rFonts w:ascii="Arial" w:eastAsia="仿宋" w:hAnsi="Arial" w:cs="Arial"/>
          <w:sz w:val="28"/>
          <w:szCs w:val="28"/>
        </w:rPr>
        <w:t>3</w:t>
      </w:r>
      <w:r>
        <w:rPr>
          <w:rFonts w:ascii="Arial" w:eastAsia="仿宋" w:hAnsi="Arial" w:cs="Arial"/>
          <w:sz w:val="28"/>
          <w:szCs w:val="28"/>
        </w:rPr>
        <w:t>次部务会议通过，自</w:t>
      </w:r>
      <w:r>
        <w:rPr>
          <w:rFonts w:ascii="Arial" w:eastAsia="仿宋" w:hAnsi="Arial" w:cs="Arial"/>
          <w:sz w:val="28"/>
          <w:szCs w:val="28"/>
        </w:rPr>
        <w:t>2016</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日起施行；根据</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16</w:t>
      </w:r>
      <w:r>
        <w:rPr>
          <w:rFonts w:ascii="Arial" w:eastAsia="仿宋" w:hAnsi="Arial" w:cs="Arial"/>
          <w:sz w:val="28"/>
          <w:szCs w:val="28"/>
        </w:rPr>
        <w:t>日自然资源部第</w:t>
      </w:r>
      <w:r>
        <w:rPr>
          <w:rFonts w:ascii="Arial" w:eastAsia="仿宋" w:hAnsi="Arial" w:cs="Arial"/>
          <w:sz w:val="28"/>
          <w:szCs w:val="28"/>
        </w:rPr>
        <w:t>2</w:t>
      </w:r>
      <w:r>
        <w:rPr>
          <w:rFonts w:ascii="Arial" w:eastAsia="仿宋" w:hAnsi="Arial" w:cs="Arial"/>
          <w:sz w:val="28"/>
          <w:szCs w:val="28"/>
        </w:rPr>
        <w:t>次部务会议审议通过《自然资源部关于第一批废止和修改的部门规章的决定》（中华人民共和国自然资源部令第</w:t>
      </w:r>
      <w:r>
        <w:rPr>
          <w:rFonts w:ascii="Arial" w:eastAsia="仿宋" w:hAnsi="Arial" w:cs="Arial"/>
          <w:sz w:val="28"/>
          <w:szCs w:val="28"/>
        </w:rPr>
        <w:t>5</w:t>
      </w:r>
      <w:r>
        <w:rPr>
          <w:rFonts w:ascii="Arial" w:eastAsia="仿宋" w:hAnsi="Arial" w:cs="Arial"/>
          <w:sz w:val="28"/>
          <w:szCs w:val="28"/>
        </w:rPr>
        <w:t>号）修订，自公布之日起施行）</w:t>
      </w:r>
    </w:p>
    <w:p w14:paraId="33C6E186"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《不动产登记资料查询暂行办法》（</w:t>
      </w:r>
      <w:r>
        <w:rPr>
          <w:rFonts w:ascii="Arial" w:eastAsia="仿宋" w:hAnsi="Arial" w:cs="Arial"/>
          <w:sz w:val="28"/>
          <w:szCs w:val="28"/>
        </w:rPr>
        <w:t>2018</w:t>
      </w:r>
      <w:r>
        <w:rPr>
          <w:rFonts w:ascii="Arial" w:eastAsia="仿宋" w:hAnsi="Arial" w:cs="Arial"/>
          <w:sz w:val="28"/>
          <w:szCs w:val="28"/>
        </w:rPr>
        <w:t>年</w:t>
      </w:r>
      <w:r>
        <w:rPr>
          <w:rFonts w:ascii="Arial" w:eastAsia="仿宋" w:hAnsi="Arial" w:cs="Arial"/>
          <w:sz w:val="28"/>
          <w:szCs w:val="28"/>
        </w:rPr>
        <w:t>3</w:t>
      </w:r>
      <w:r>
        <w:rPr>
          <w:rFonts w:ascii="Arial" w:eastAsia="仿宋" w:hAnsi="Arial" w:cs="Arial"/>
          <w:sz w:val="28"/>
          <w:szCs w:val="28"/>
        </w:rPr>
        <w:t>月</w:t>
      </w:r>
      <w:r>
        <w:rPr>
          <w:rFonts w:ascii="Arial" w:eastAsia="仿宋" w:hAnsi="Arial" w:cs="Arial"/>
          <w:sz w:val="28"/>
          <w:szCs w:val="28"/>
        </w:rPr>
        <w:t>2</w:t>
      </w:r>
      <w:r>
        <w:rPr>
          <w:rFonts w:ascii="Arial" w:eastAsia="仿宋" w:hAnsi="Arial" w:cs="Arial"/>
          <w:sz w:val="28"/>
          <w:szCs w:val="28"/>
        </w:rPr>
        <w:t>日国土资源部令第</w:t>
      </w:r>
      <w:r>
        <w:rPr>
          <w:rFonts w:ascii="Arial" w:eastAsia="仿宋" w:hAnsi="Arial" w:cs="Arial"/>
          <w:sz w:val="28"/>
          <w:szCs w:val="28"/>
        </w:rPr>
        <w:t>80</w:t>
      </w:r>
      <w:r>
        <w:rPr>
          <w:rFonts w:ascii="Arial" w:eastAsia="仿宋" w:hAnsi="Arial" w:cs="Arial"/>
          <w:sz w:val="28"/>
          <w:szCs w:val="28"/>
        </w:rPr>
        <w:t>号公布；根据</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16</w:t>
      </w:r>
      <w:r>
        <w:rPr>
          <w:rFonts w:ascii="Arial" w:eastAsia="仿宋" w:hAnsi="Arial" w:cs="Arial"/>
          <w:sz w:val="28"/>
          <w:szCs w:val="28"/>
        </w:rPr>
        <w:t>日自然资源部第</w:t>
      </w:r>
      <w:r>
        <w:rPr>
          <w:rFonts w:ascii="Arial" w:eastAsia="仿宋" w:hAnsi="Arial" w:cs="Arial"/>
          <w:sz w:val="28"/>
          <w:szCs w:val="28"/>
        </w:rPr>
        <w:t>2</w:t>
      </w:r>
      <w:r>
        <w:rPr>
          <w:rFonts w:ascii="Arial" w:eastAsia="仿宋" w:hAnsi="Arial" w:cs="Arial"/>
          <w:sz w:val="28"/>
          <w:szCs w:val="28"/>
        </w:rPr>
        <w:t>次部务会《自然资源部关于废止和修改的第一批部门规章的决定》（中华人民共和国自</w:t>
      </w:r>
      <w:r>
        <w:rPr>
          <w:rFonts w:ascii="Arial" w:eastAsia="仿宋" w:hAnsi="Arial" w:cs="Arial"/>
          <w:sz w:val="28"/>
          <w:szCs w:val="28"/>
        </w:rPr>
        <w:lastRenderedPageBreak/>
        <w:t>然资源部令第</w:t>
      </w:r>
      <w:r>
        <w:rPr>
          <w:rFonts w:ascii="Arial" w:eastAsia="仿宋" w:hAnsi="Arial" w:cs="Arial"/>
          <w:sz w:val="28"/>
          <w:szCs w:val="28"/>
        </w:rPr>
        <w:t>5</w:t>
      </w:r>
      <w:r>
        <w:rPr>
          <w:rFonts w:ascii="Arial" w:eastAsia="仿宋" w:hAnsi="Arial" w:cs="Arial"/>
          <w:sz w:val="28"/>
          <w:szCs w:val="28"/>
        </w:rPr>
        <w:t>号）修订，自公布之日起施行）</w:t>
      </w:r>
    </w:p>
    <w:p w14:paraId="6FC6A406"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《国务院关于加强国有土地资产管理的通知》</w:t>
      </w:r>
      <w:proofErr w:type="gramStart"/>
      <w:r>
        <w:rPr>
          <w:rFonts w:ascii="Arial" w:eastAsia="仿宋" w:hAnsi="Arial" w:cs="Arial"/>
          <w:sz w:val="28"/>
          <w:szCs w:val="28"/>
        </w:rPr>
        <w:t>〔</w:t>
      </w:r>
      <w:proofErr w:type="gramEnd"/>
      <w:r>
        <w:rPr>
          <w:rFonts w:ascii="Arial" w:eastAsia="仿宋" w:hAnsi="Arial" w:cs="Arial"/>
          <w:sz w:val="28"/>
          <w:szCs w:val="28"/>
        </w:rPr>
        <w:t>国发</w:t>
      </w:r>
      <w:proofErr w:type="gramStart"/>
      <w:r>
        <w:rPr>
          <w:rFonts w:ascii="Arial" w:eastAsia="仿宋" w:hAnsi="Arial" w:cs="Arial"/>
          <w:sz w:val="28"/>
          <w:szCs w:val="28"/>
        </w:rPr>
        <w:t>〔</w:t>
      </w:r>
      <w:proofErr w:type="gramEnd"/>
      <w:r>
        <w:rPr>
          <w:rFonts w:ascii="Arial" w:eastAsia="仿宋" w:hAnsi="Arial" w:cs="Arial"/>
          <w:sz w:val="28"/>
          <w:szCs w:val="28"/>
        </w:rPr>
        <w:t>2001</w:t>
      </w:r>
      <w:proofErr w:type="gramStart"/>
      <w:r>
        <w:rPr>
          <w:rFonts w:ascii="Arial" w:eastAsia="仿宋" w:hAnsi="Arial" w:cs="Arial"/>
          <w:sz w:val="28"/>
          <w:szCs w:val="28"/>
        </w:rPr>
        <w:t>〕</w:t>
      </w:r>
      <w:proofErr w:type="gramEnd"/>
      <w:r>
        <w:rPr>
          <w:rFonts w:ascii="Arial" w:eastAsia="仿宋" w:hAnsi="Arial" w:cs="Arial"/>
          <w:sz w:val="28"/>
          <w:szCs w:val="28"/>
        </w:rPr>
        <w:t>15</w:t>
      </w:r>
      <w:r>
        <w:rPr>
          <w:rFonts w:ascii="Arial" w:eastAsia="仿宋" w:hAnsi="Arial" w:cs="Arial"/>
          <w:sz w:val="28"/>
          <w:szCs w:val="28"/>
        </w:rPr>
        <w:t>号，</w:t>
      </w:r>
      <w:r>
        <w:rPr>
          <w:rFonts w:ascii="Arial" w:eastAsia="仿宋" w:hAnsi="Arial" w:cs="Arial"/>
          <w:sz w:val="28"/>
          <w:szCs w:val="28"/>
        </w:rPr>
        <w:t>2001</w:t>
      </w:r>
      <w:r>
        <w:rPr>
          <w:rFonts w:ascii="Arial" w:eastAsia="仿宋" w:hAnsi="Arial" w:cs="Arial"/>
          <w:sz w:val="28"/>
          <w:szCs w:val="28"/>
        </w:rPr>
        <w:t>年</w:t>
      </w:r>
      <w:r>
        <w:rPr>
          <w:rFonts w:ascii="Arial" w:eastAsia="仿宋" w:hAnsi="Arial" w:cs="Arial"/>
          <w:sz w:val="28"/>
          <w:szCs w:val="28"/>
        </w:rPr>
        <w:t>4</w:t>
      </w:r>
      <w:r>
        <w:rPr>
          <w:rFonts w:ascii="Arial" w:eastAsia="仿宋" w:hAnsi="Arial" w:cs="Arial"/>
          <w:sz w:val="28"/>
          <w:szCs w:val="28"/>
        </w:rPr>
        <w:t>月</w:t>
      </w:r>
      <w:r>
        <w:rPr>
          <w:rFonts w:ascii="Arial" w:eastAsia="仿宋" w:hAnsi="Arial" w:cs="Arial"/>
          <w:sz w:val="28"/>
          <w:szCs w:val="28"/>
        </w:rPr>
        <w:t>30</w:t>
      </w:r>
      <w:r>
        <w:rPr>
          <w:rFonts w:ascii="Arial" w:eastAsia="仿宋" w:hAnsi="Arial" w:cs="Arial"/>
          <w:sz w:val="28"/>
          <w:szCs w:val="28"/>
        </w:rPr>
        <w:t>日</w:t>
      </w:r>
      <w:proofErr w:type="gramStart"/>
      <w:r>
        <w:rPr>
          <w:rFonts w:ascii="Arial" w:eastAsia="仿宋" w:hAnsi="Arial" w:cs="Arial"/>
          <w:sz w:val="28"/>
          <w:szCs w:val="28"/>
        </w:rPr>
        <w:t>〕</w:t>
      </w:r>
      <w:proofErr w:type="gramEnd"/>
      <w:r>
        <w:rPr>
          <w:rFonts w:ascii="Arial" w:eastAsia="仿宋" w:hAnsi="Arial" w:cs="Arial"/>
          <w:sz w:val="28"/>
          <w:szCs w:val="28"/>
        </w:rPr>
        <w:t>；</w:t>
      </w:r>
    </w:p>
    <w:p w14:paraId="328F6BEC"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《国务院关于深化改革严格土地管理的决定》</w:t>
      </w:r>
      <w:proofErr w:type="gramStart"/>
      <w:r>
        <w:rPr>
          <w:rFonts w:ascii="Arial" w:eastAsia="仿宋" w:hAnsi="Arial" w:cs="Arial"/>
          <w:sz w:val="28"/>
          <w:szCs w:val="28"/>
        </w:rPr>
        <w:t>〔</w:t>
      </w:r>
      <w:proofErr w:type="gramEnd"/>
      <w:r>
        <w:rPr>
          <w:rFonts w:ascii="Arial" w:eastAsia="仿宋" w:hAnsi="Arial" w:cs="Arial"/>
          <w:sz w:val="28"/>
          <w:szCs w:val="28"/>
        </w:rPr>
        <w:t>国发</w:t>
      </w:r>
      <w:proofErr w:type="gramStart"/>
      <w:r>
        <w:rPr>
          <w:rFonts w:ascii="Arial" w:eastAsia="仿宋" w:hAnsi="Arial" w:cs="Arial"/>
          <w:sz w:val="28"/>
          <w:szCs w:val="28"/>
        </w:rPr>
        <w:t>〔</w:t>
      </w:r>
      <w:proofErr w:type="gramEnd"/>
      <w:r>
        <w:rPr>
          <w:rFonts w:ascii="Arial" w:eastAsia="仿宋" w:hAnsi="Arial" w:cs="Arial"/>
          <w:sz w:val="28"/>
          <w:szCs w:val="28"/>
        </w:rPr>
        <w:t>2004</w:t>
      </w:r>
      <w:proofErr w:type="gramStart"/>
      <w:r>
        <w:rPr>
          <w:rFonts w:ascii="Arial" w:eastAsia="仿宋" w:hAnsi="Arial" w:cs="Arial"/>
          <w:sz w:val="28"/>
          <w:szCs w:val="28"/>
        </w:rPr>
        <w:t>〕</w:t>
      </w:r>
      <w:proofErr w:type="gramEnd"/>
      <w:r>
        <w:rPr>
          <w:rFonts w:ascii="Arial" w:eastAsia="仿宋" w:hAnsi="Arial" w:cs="Arial"/>
          <w:sz w:val="28"/>
          <w:szCs w:val="28"/>
        </w:rPr>
        <w:t>28</w:t>
      </w:r>
      <w:r>
        <w:rPr>
          <w:rFonts w:ascii="Arial" w:eastAsia="仿宋" w:hAnsi="Arial" w:cs="Arial"/>
          <w:sz w:val="28"/>
          <w:szCs w:val="28"/>
        </w:rPr>
        <w:t>号，</w:t>
      </w:r>
      <w:r>
        <w:rPr>
          <w:rFonts w:ascii="Arial" w:eastAsia="仿宋" w:hAnsi="Arial" w:cs="Arial"/>
          <w:sz w:val="28"/>
          <w:szCs w:val="28"/>
        </w:rPr>
        <w:t>2004</w:t>
      </w:r>
      <w:r>
        <w:rPr>
          <w:rFonts w:ascii="Arial" w:eastAsia="仿宋" w:hAnsi="Arial" w:cs="Arial"/>
          <w:sz w:val="28"/>
          <w:szCs w:val="28"/>
        </w:rPr>
        <w:t>年</w:t>
      </w:r>
      <w:r>
        <w:rPr>
          <w:rFonts w:ascii="Arial" w:eastAsia="仿宋" w:hAnsi="Arial" w:cs="Arial"/>
          <w:sz w:val="28"/>
          <w:szCs w:val="28"/>
        </w:rPr>
        <w:t>10</w:t>
      </w:r>
      <w:r>
        <w:rPr>
          <w:rFonts w:ascii="Arial" w:eastAsia="仿宋" w:hAnsi="Arial" w:cs="Arial"/>
          <w:sz w:val="28"/>
          <w:szCs w:val="28"/>
        </w:rPr>
        <w:t>月</w:t>
      </w:r>
      <w:r>
        <w:rPr>
          <w:rFonts w:ascii="Arial" w:eastAsia="仿宋" w:hAnsi="Arial" w:cs="Arial"/>
          <w:sz w:val="28"/>
          <w:szCs w:val="28"/>
        </w:rPr>
        <w:t>21</w:t>
      </w:r>
      <w:r>
        <w:rPr>
          <w:rFonts w:ascii="Arial" w:eastAsia="仿宋" w:hAnsi="Arial" w:cs="Arial"/>
          <w:sz w:val="28"/>
          <w:szCs w:val="28"/>
        </w:rPr>
        <w:t>日</w:t>
      </w:r>
      <w:proofErr w:type="gramStart"/>
      <w:r>
        <w:rPr>
          <w:rFonts w:ascii="Arial" w:eastAsia="仿宋" w:hAnsi="Arial" w:cs="Arial"/>
          <w:sz w:val="28"/>
          <w:szCs w:val="28"/>
        </w:rPr>
        <w:t>〕</w:t>
      </w:r>
      <w:proofErr w:type="gramEnd"/>
      <w:r>
        <w:rPr>
          <w:rFonts w:ascii="Arial" w:eastAsia="仿宋" w:hAnsi="Arial" w:cs="Arial"/>
          <w:sz w:val="28"/>
          <w:szCs w:val="28"/>
        </w:rPr>
        <w:t>；</w:t>
      </w:r>
    </w:p>
    <w:p w14:paraId="432C0C62"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《国务院关于加强土地调控有关问题的通知》〔国发</w:t>
      </w:r>
      <w:r>
        <w:rPr>
          <w:rFonts w:ascii="Arial" w:eastAsia="仿宋" w:hAnsi="Arial" w:cs="Arial"/>
          <w:sz w:val="28"/>
          <w:szCs w:val="28"/>
        </w:rPr>
        <w:t xml:space="preserve"> </w:t>
      </w:r>
      <w:r>
        <w:rPr>
          <w:rFonts w:ascii="Arial" w:eastAsia="仿宋" w:hAnsi="Arial" w:cs="Arial"/>
          <w:sz w:val="28"/>
          <w:szCs w:val="28"/>
        </w:rPr>
        <w:t>（</w:t>
      </w:r>
      <w:r>
        <w:rPr>
          <w:rFonts w:ascii="Arial" w:eastAsia="仿宋" w:hAnsi="Arial" w:cs="Arial"/>
          <w:sz w:val="28"/>
          <w:szCs w:val="28"/>
        </w:rPr>
        <w:t>2006</w:t>
      </w:r>
      <w:r>
        <w:rPr>
          <w:rFonts w:ascii="Arial" w:eastAsia="仿宋" w:hAnsi="Arial" w:cs="Arial"/>
          <w:sz w:val="28"/>
          <w:szCs w:val="28"/>
        </w:rPr>
        <w:t>）</w:t>
      </w:r>
      <w:r>
        <w:rPr>
          <w:rFonts w:ascii="Arial" w:eastAsia="仿宋" w:hAnsi="Arial" w:cs="Arial"/>
          <w:sz w:val="28"/>
          <w:szCs w:val="28"/>
        </w:rPr>
        <w:t xml:space="preserve"> 31</w:t>
      </w:r>
      <w:r>
        <w:rPr>
          <w:rFonts w:ascii="Arial" w:eastAsia="仿宋" w:hAnsi="Arial" w:cs="Arial"/>
          <w:sz w:val="28"/>
          <w:szCs w:val="28"/>
        </w:rPr>
        <w:t>号，</w:t>
      </w:r>
      <w:r>
        <w:rPr>
          <w:rFonts w:ascii="Arial" w:eastAsia="仿宋" w:hAnsi="Arial" w:cs="Arial"/>
          <w:sz w:val="28"/>
          <w:szCs w:val="28"/>
        </w:rPr>
        <w:t>2006</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31</w:t>
      </w:r>
      <w:r>
        <w:rPr>
          <w:rFonts w:ascii="Arial" w:eastAsia="仿宋" w:hAnsi="Arial" w:cs="Arial"/>
          <w:sz w:val="28"/>
          <w:szCs w:val="28"/>
        </w:rPr>
        <w:t>日发布〕；</w:t>
      </w:r>
    </w:p>
    <w:p w14:paraId="0BE3E8AA"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《国务院关于促进节约集约用地的通知》</w:t>
      </w:r>
      <w:proofErr w:type="gramStart"/>
      <w:r>
        <w:rPr>
          <w:rFonts w:ascii="Arial" w:eastAsia="仿宋" w:hAnsi="Arial" w:cs="Arial"/>
          <w:sz w:val="28"/>
          <w:szCs w:val="28"/>
        </w:rPr>
        <w:t>〔</w:t>
      </w:r>
      <w:proofErr w:type="gramEnd"/>
      <w:r>
        <w:rPr>
          <w:rFonts w:ascii="Arial" w:eastAsia="仿宋" w:hAnsi="Arial" w:cs="Arial"/>
          <w:sz w:val="28"/>
          <w:szCs w:val="28"/>
        </w:rPr>
        <w:t>国发</w:t>
      </w:r>
      <w:proofErr w:type="gramStart"/>
      <w:r>
        <w:rPr>
          <w:rFonts w:ascii="Arial" w:eastAsia="仿宋" w:hAnsi="Arial" w:cs="Arial"/>
          <w:sz w:val="28"/>
          <w:szCs w:val="28"/>
        </w:rPr>
        <w:t>〔</w:t>
      </w:r>
      <w:proofErr w:type="gramEnd"/>
      <w:r>
        <w:rPr>
          <w:rFonts w:ascii="Arial" w:eastAsia="仿宋" w:hAnsi="Arial" w:cs="Arial"/>
          <w:sz w:val="28"/>
          <w:szCs w:val="28"/>
        </w:rPr>
        <w:t>2008</w:t>
      </w:r>
      <w:proofErr w:type="gramStart"/>
      <w:r>
        <w:rPr>
          <w:rFonts w:ascii="Arial" w:eastAsia="仿宋" w:hAnsi="Arial" w:cs="Arial"/>
          <w:sz w:val="28"/>
          <w:szCs w:val="28"/>
        </w:rPr>
        <w:t>〕</w:t>
      </w:r>
      <w:proofErr w:type="gramEnd"/>
      <w:r>
        <w:rPr>
          <w:rFonts w:ascii="Arial" w:eastAsia="仿宋" w:hAnsi="Arial" w:cs="Arial"/>
          <w:sz w:val="28"/>
          <w:szCs w:val="28"/>
        </w:rPr>
        <w:t>3</w:t>
      </w:r>
      <w:r>
        <w:rPr>
          <w:rFonts w:ascii="Arial" w:eastAsia="仿宋" w:hAnsi="Arial" w:cs="Arial"/>
          <w:sz w:val="28"/>
          <w:szCs w:val="28"/>
        </w:rPr>
        <w:t>号，</w:t>
      </w:r>
      <w:r>
        <w:rPr>
          <w:rFonts w:ascii="Arial" w:eastAsia="仿宋" w:hAnsi="Arial" w:cs="Arial"/>
          <w:sz w:val="28"/>
          <w:szCs w:val="28"/>
        </w:rPr>
        <w:t>2008</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3</w:t>
      </w:r>
      <w:r>
        <w:rPr>
          <w:rFonts w:ascii="Arial" w:eastAsia="仿宋" w:hAnsi="Arial" w:cs="Arial"/>
          <w:sz w:val="28"/>
          <w:szCs w:val="28"/>
        </w:rPr>
        <w:t>日发布</w:t>
      </w:r>
      <w:proofErr w:type="gramStart"/>
      <w:r>
        <w:rPr>
          <w:rFonts w:ascii="Arial" w:eastAsia="仿宋" w:hAnsi="Arial" w:cs="Arial"/>
          <w:sz w:val="28"/>
          <w:szCs w:val="28"/>
        </w:rPr>
        <w:t>〕</w:t>
      </w:r>
      <w:proofErr w:type="gramEnd"/>
      <w:r>
        <w:rPr>
          <w:rFonts w:ascii="Arial" w:eastAsia="仿宋" w:hAnsi="Arial" w:cs="Arial"/>
          <w:sz w:val="28"/>
          <w:szCs w:val="28"/>
        </w:rPr>
        <w:t>；</w:t>
      </w:r>
    </w:p>
    <w:p w14:paraId="41618C29"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《协议出让国有土地使用权规定》〔国土资源部令第</w:t>
      </w:r>
      <w:r>
        <w:rPr>
          <w:rFonts w:ascii="Arial" w:eastAsia="仿宋" w:hAnsi="Arial" w:cs="Arial"/>
          <w:sz w:val="28"/>
          <w:szCs w:val="28"/>
        </w:rPr>
        <w:t>21</w:t>
      </w:r>
      <w:r>
        <w:rPr>
          <w:rFonts w:ascii="Arial" w:eastAsia="仿宋" w:hAnsi="Arial" w:cs="Arial"/>
          <w:sz w:val="28"/>
          <w:szCs w:val="28"/>
        </w:rPr>
        <w:t>号，自</w:t>
      </w:r>
      <w:r>
        <w:rPr>
          <w:rFonts w:ascii="Arial" w:eastAsia="仿宋" w:hAnsi="Arial" w:cs="Arial"/>
          <w:sz w:val="28"/>
          <w:szCs w:val="28"/>
        </w:rPr>
        <w:t>2003</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p>
    <w:p w14:paraId="564AE8E5"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《招标拍卖挂牌出让国有建设用地使用权规定》〔国土资源部令第</w:t>
      </w:r>
      <w:r>
        <w:rPr>
          <w:rFonts w:ascii="Arial" w:eastAsia="仿宋" w:hAnsi="Arial" w:cs="Arial"/>
          <w:sz w:val="28"/>
          <w:szCs w:val="28"/>
        </w:rPr>
        <w:t>39</w:t>
      </w:r>
      <w:r>
        <w:rPr>
          <w:rFonts w:ascii="Arial" w:eastAsia="仿宋" w:hAnsi="Arial" w:cs="Arial"/>
          <w:sz w:val="28"/>
          <w:szCs w:val="28"/>
        </w:rPr>
        <w:t>号，</w:t>
      </w:r>
      <w:r>
        <w:rPr>
          <w:rFonts w:ascii="Arial" w:eastAsia="仿宋" w:hAnsi="Arial" w:cs="Arial"/>
          <w:sz w:val="28"/>
          <w:szCs w:val="28"/>
        </w:rPr>
        <w:t>2007</w:t>
      </w:r>
      <w:r>
        <w:rPr>
          <w:rFonts w:ascii="Arial" w:eastAsia="仿宋" w:hAnsi="Arial" w:cs="Arial"/>
          <w:sz w:val="28"/>
          <w:szCs w:val="28"/>
        </w:rPr>
        <w:t>年</w:t>
      </w:r>
      <w:r>
        <w:rPr>
          <w:rFonts w:ascii="Arial" w:eastAsia="仿宋" w:hAnsi="Arial" w:cs="Arial"/>
          <w:sz w:val="28"/>
          <w:szCs w:val="28"/>
        </w:rPr>
        <w:t>9</w:t>
      </w:r>
      <w:r>
        <w:rPr>
          <w:rFonts w:ascii="Arial" w:eastAsia="仿宋" w:hAnsi="Arial" w:cs="Arial"/>
          <w:sz w:val="28"/>
          <w:szCs w:val="28"/>
        </w:rPr>
        <w:t>月</w:t>
      </w:r>
      <w:r>
        <w:rPr>
          <w:rFonts w:ascii="Arial" w:eastAsia="仿宋" w:hAnsi="Arial" w:cs="Arial"/>
          <w:sz w:val="28"/>
          <w:szCs w:val="28"/>
        </w:rPr>
        <w:t>21</w:t>
      </w:r>
      <w:r>
        <w:rPr>
          <w:rFonts w:ascii="Arial" w:eastAsia="仿宋" w:hAnsi="Arial" w:cs="Arial"/>
          <w:sz w:val="28"/>
          <w:szCs w:val="28"/>
        </w:rPr>
        <w:t>日原国土资源部第</w:t>
      </w:r>
      <w:r>
        <w:rPr>
          <w:rFonts w:ascii="Arial" w:eastAsia="仿宋" w:hAnsi="Arial" w:cs="Arial"/>
          <w:sz w:val="28"/>
          <w:szCs w:val="28"/>
        </w:rPr>
        <w:t>3</w:t>
      </w:r>
      <w:r>
        <w:rPr>
          <w:rFonts w:ascii="Arial" w:eastAsia="仿宋" w:hAnsi="Arial" w:cs="Arial"/>
          <w:sz w:val="28"/>
          <w:szCs w:val="28"/>
        </w:rPr>
        <w:t>次部务会议审议通过〕；</w:t>
      </w:r>
    </w:p>
    <w:p w14:paraId="12D57787"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《节约集约利用土地规定》〔国土资源部令第</w:t>
      </w:r>
      <w:r>
        <w:rPr>
          <w:rFonts w:ascii="Arial" w:eastAsia="仿宋" w:hAnsi="Arial" w:cs="Arial"/>
          <w:sz w:val="28"/>
          <w:szCs w:val="28"/>
        </w:rPr>
        <w:t>61</w:t>
      </w:r>
      <w:r>
        <w:rPr>
          <w:rFonts w:ascii="Arial" w:eastAsia="仿宋" w:hAnsi="Arial" w:cs="Arial"/>
          <w:sz w:val="28"/>
          <w:szCs w:val="28"/>
        </w:rPr>
        <w:t>号，</w:t>
      </w:r>
      <w:r>
        <w:rPr>
          <w:rFonts w:ascii="Arial" w:eastAsia="仿宋" w:hAnsi="Arial" w:cs="Arial"/>
          <w:sz w:val="28"/>
          <w:szCs w:val="28"/>
        </w:rPr>
        <w:t>2014</w:t>
      </w:r>
      <w:r>
        <w:rPr>
          <w:rFonts w:ascii="Arial" w:eastAsia="仿宋" w:hAnsi="Arial" w:cs="Arial"/>
          <w:sz w:val="28"/>
          <w:szCs w:val="28"/>
        </w:rPr>
        <w:t>年</w:t>
      </w:r>
      <w:r>
        <w:rPr>
          <w:rFonts w:ascii="Arial" w:eastAsia="仿宋" w:hAnsi="Arial" w:cs="Arial"/>
          <w:sz w:val="28"/>
          <w:szCs w:val="28"/>
        </w:rPr>
        <w:t>5</w:t>
      </w:r>
      <w:r>
        <w:rPr>
          <w:rFonts w:ascii="Arial" w:eastAsia="仿宋" w:hAnsi="Arial" w:cs="Arial"/>
          <w:sz w:val="28"/>
          <w:szCs w:val="28"/>
        </w:rPr>
        <w:t>月</w:t>
      </w:r>
      <w:r>
        <w:rPr>
          <w:rFonts w:ascii="Arial" w:eastAsia="仿宋" w:hAnsi="Arial" w:cs="Arial"/>
          <w:sz w:val="28"/>
          <w:szCs w:val="28"/>
        </w:rPr>
        <w:t>22</w:t>
      </w:r>
      <w:r>
        <w:rPr>
          <w:rFonts w:ascii="Arial" w:eastAsia="仿宋" w:hAnsi="Arial" w:cs="Arial"/>
          <w:sz w:val="28"/>
          <w:szCs w:val="28"/>
        </w:rPr>
        <w:t>日公布；根据</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16</w:t>
      </w:r>
      <w:r>
        <w:rPr>
          <w:rFonts w:ascii="Arial" w:eastAsia="仿宋" w:hAnsi="Arial" w:cs="Arial"/>
          <w:sz w:val="28"/>
          <w:szCs w:val="28"/>
        </w:rPr>
        <w:t>日自然资源部第</w:t>
      </w:r>
      <w:r>
        <w:rPr>
          <w:rFonts w:ascii="Arial" w:eastAsia="仿宋" w:hAnsi="Arial" w:cs="Arial"/>
          <w:sz w:val="28"/>
          <w:szCs w:val="28"/>
        </w:rPr>
        <w:t>2</w:t>
      </w:r>
      <w:r>
        <w:rPr>
          <w:rFonts w:ascii="Arial" w:eastAsia="仿宋" w:hAnsi="Arial" w:cs="Arial"/>
          <w:sz w:val="28"/>
          <w:szCs w:val="28"/>
        </w:rPr>
        <w:t>次部务会议《自然资源部关于第一批废止和修改的部门规章的决定》修正</w:t>
      </w:r>
      <w:r>
        <w:rPr>
          <w:rFonts w:ascii="Arial" w:eastAsia="仿宋" w:hAnsi="Arial" w:cs="Arial"/>
          <w:sz w:val="28"/>
          <w:szCs w:val="28"/>
        </w:rPr>
        <w:t xml:space="preserve"> </w:t>
      </w:r>
      <w:r>
        <w:rPr>
          <w:rFonts w:ascii="Arial" w:eastAsia="仿宋" w:hAnsi="Arial" w:cs="Arial"/>
          <w:sz w:val="28"/>
          <w:szCs w:val="28"/>
        </w:rPr>
        <w:t>自</w:t>
      </w:r>
      <w:r>
        <w:rPr>
          <w:rFonts w:ascii="Arial" w:eastAsia="仿宋" w:hAnsi="Arial" w:cs="Arial"/>
          <w:sz w:val="28"/>
          <w:szCs w:val="28"/>
        </w:rPr>
        <w:t>2014</w:t>
      </w:r>
      <w:r>
        <w:rPr>
          <w:rFonts w:ascii="Arial" w:eastAsia="仿宋" w:hAnsi="Arial" w:cs="Arial"/>
          <w:sz w:val="28"/>
          <w:szCs w:val="28"/>
        </w:rPr>
        <w:t>年</w:t>
      </w:r>
      <w:r>
        <w:rPr>
          <w:rFonts w:ascii="Arial" w:eastAsia="仿宋" w:hAnsi="Arial" w:cs="Arial"/>
          <w:sz w:val="28"/>
          <w:szCs w:val="28"/>
        </w:rPr>
        <w:t>9</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日起实施〕；</w:t>
      </w:r>
    </w:p>
    <w:p w14:paraId="225743D2"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《国土资源部关于推进土地节约集约利用的指导意见》〔国土资发（</w:t>
      </w:r>
      <w:r>
        <w:rPr>
          <w:rFonts w:ascii="Arial" w:eastAsia="仿宋" w:hAnsi="Arial" w:cs="Arial"/>
          <w:sz w:val="28"/>
          <w:szCs w:val="28"/>
        </w:rPr>
        <w:t>2014</w:t>
      </w:r>
      <w:r>
        <w:rPr>
          <w:rFonts w:ascii="Arial" w:eastAsia="仿宋" w:hAnsi="Arial" w:cs="Arial"/>
          <w:sz w:val="28"/>
          <w:szCs w:val="28"/>
        </w:rPr>
        <w:t>）</w:t>
      </w:r>
      <w:r>
        <w:rPr>
          <w:rFonts w:ascii="Arial" w:eastAsia="仿宋" w:hAnsi="Arial" w:cs="Arial"/>
          <w:sz w:val="28"/>
          <w:szCs w:val="28"/>
        </w:rPr>
        <w:t>119</w:t>
      </w:r>
      <w:r>
        <w:rPr>
          <w:rFonts w:ascii="Arial" w:eastAsia="仿宋" w:hAnsi="Arial" w:cs="Arial"/>
          <w:sz w:val="28"/>
          <w:szCs w:val="28"/>
        </w:rPr>
        <w:t>号，</w:t>
      </w:r>
      <w:r>
        <w:rPr>
          <w:rFonts w:ascii="Arial" w:eastAsia="仿宋" w:hAnsi="Arial" w:cs="Arial"/>
          <w:sz w:val="28"/>
          <w:szCs w:val="28"/>
        </w:rPr>
        <w:t>2014</w:t>
      </w:r>
      <w:r>
        <w:rPr>
          <w:rFonts w:ascii="Arial" w:eastAsia="仿宋" w:hAnsi="Arial" w:cs="Arial"/>
          <w:sz w:val="28"/>
          <w:szCs w:val="28"/>
        </w:rPr>
        <w:t>年</w:t>
      </w:r>
      <w:r>
        <w:rPr>
          <w:rFonts w:ascii="Arial" w:eastAsia="仿宋" w:hAnsi="Arial" w:cs="Arial"/>
          <w:sz w:val="28"/>
          <w:szCs w:val="28"/>
        </w:rPr>
        <w:t>9</w:t>
      </w:r>
      <w:r>
        <w:rPr>
          <w:rFonts w:ascii="Arial" w:eastAsia="仿宋" w:hAnsi="Arial" w:cs="Arial"/>
          <w:sz w:val="28"/>
          <w:szCs w:val="28"/>
        </w:rPr>
        <w:t>月</w:t>
      </w:r>
      <w:r>
        <w:rPr>
          <w:rFonts w:ascii="Arial" w:eastAsia="仿宋" w:hAnsi="Arial" w:cs="Arial"/>
          <w:sz w:val="28"/>
          <w:szCs w:val="28"/>
        </w:rPr>
        <w:t>12</w:t>
      </w:r>
      <w:r>
        <w:rPr>
          <w:rFonts w:ascii="Arial" w:eastAsia="仿宋" w:hAnsi="Arial" w:cs="Arial"/>
          <w:sz w:val="28"/>
          <w:szCs w:val="28"/>
        </w:rPr>
        <w:t>日发布〕；</w:t>
      </w:r>
    </w:p>
    <w:p w14:paraId="08D19799"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《国土资源部</w:t>
      </w:r>
      <w:r>
        <w:rPr>
          <w:rFonts w:ascii="Arial" w:eastAsia="仿宋" w:hAnsi="Arial" w:cs="Arial"/>
          <w:sz w:val="28"/>
          <w:szCs w:val="28"/>
        </w:rPr>
        <w:t>&lt;</w:t>
      </w:r>
      <w:r>
        <w:rPr>
          <w:rFonts w:ascii="Arial" w:eastAsia="仿宋" w:hAnsi="Arial" w:cs="Arial"/>
          <w:sz w:val="28"/>
          <w:szCs w:val="28"/>
        </w:rPr>
        <w:t>关于坚持和完善土地招标拍卖挂牌出让制度的意见</w:t>
      </w:r>
      <w:r>
        <w:rPr>
          <w:rFonts w:ascii="Arial" w:eastAsia="仿宋" w:hAnsi="Arial" w:cs="Arial"/>
          <w:sz w:val="28"/>
          <w:szCs w:val="28"/>
        </w:rPr>
        <w:t>&gt;</w:t>
      </w:r>
      <w:r>
        <w:rPr>
          <w:rFonts w:ascii="Arial" w:eastAsia="仿宋" w:hAnsi="Arial" w:cs="Arial"/>
          <w:sz w:val="28"/>
          <w:szCs w:val="28"/>
        </w:rPr>
        <w:t>》</w:t>
      </w:r>
      <w:proofErr w:type="gramStart"/>
      <w:r>
        <w:rPr>
          <w:rFonts w:ascii="Arial" w:eastAsia="仿宋" w:hAnsi="Arial" w:cs="Arial"/>
          <w:sz w:val="28"/>
          <w:szCs w:val="28"/>
        </w:rPr>
        <w:t>〔</w:t>
      </w:r>
      <w:proofErr w:type="gramEnd"/>
      <w:r>
        <w:rPr>
          <w:rFonts w:ascii="Arial" w:eastAsia="仿宋" w:hAnsi="Arial" w:cs="Arial"/>
          <w:sz w:val="28"/>
          <w:szCs w:val="28"/>
        </w:rPr>
        <w:t>国土资发</w:t>
      </w:r>
      <w:proofErr w:type="gramStart"/>
      <w:r>
        <w:rPr>
          <w:rFonts w:ascii="Arial" w:eastAsia="仿宋" w:hAnsi="Arial" w:cs="Arial"/>
          <w:sz w:val="28"/>
          <w:szCs w:val="28"/>
        </w:rPr>
        <w:t>〔</w:t>
      </w:r>
      <w:proofErr w:type="gramEnd"/>
      <w:r>
        <w:rPr>
          <w:rFonts w:ascii="Arial" w:eastAsia="仿宋" w:hAnsi="Arial" w:cs="Arial"/>
          <w:sz w:val="28"/>
          <w:szCs w:val="28"/>
        </w:rPr>
        <w:t>2011</w:t>
      </w:r>
      <w:proofErr w:type="gramStart"/>
      <w:r>
        <w:rPr>
          <w:rFonts w:ascii="Arial" w:eastAsia="仿宋" w:hAnsi="Arial" w:cs="Arial"/>
          <w:sz w:val="28"/>
          <w:szCs w:val="28"/>
        </w:rPr>
        <w:t>〕</w:t>
      </w:r>
      <w:proofErr w:type="gramEnd"/>
      <w:r>
        <w:rPr>
          <w:rFonts w:ascii="Arial" w:eastAsia="仿宋" w:hAnsi="Arial" w:cs="Arial"/>
          <w:sz w:val="28"/>
          <w:szCs w:val="28"/>
        </w:rPr>
        <w:t>63</w:t>
      </w:r>
      <w:r>
        <w:rPr>
          <w:rFonts w:ascii="Arial" w:eastAsia="仿宋" w:hAnsi="Arial" w:cs="Arial"/>
          <w:sz w:val="28"/>
          <w:szCs w:val="28"/>
        </w:rPr>
        <w:t>号，</w:t>
      </w:r>
      <w:r>
        <w:rPr>
          <w:rFonts w:ascii="Arial" w:eastAsia="仿宋" w:hAnsi="Arial" w:cs="Arial"/>
          <w:sz w:val="28"/>
          <w:szCs w:val="28"/>
        </w:rPr>
        <w:t>2011</w:t>
      </w:r>
      <w:r>
        <w:rPr>
          <w:rFonts w:ascii="Arial" w:eastAsia="仿宋" w:hAnsi="Arial" w:cs="Arial"/>
          <w:sz w:val="28"/>
          <w:szCs w:val="28"/>
        </w:rPr>
        <w:t>年</w:t>
      </w:r>
      <w:r>
        <w:rPr>
          <w:rFonts w:ascii="Arial" w:eastAsia="仿宋" w:hAnsi="Arial" w:cs="Arial"/>
          <w:sz w:val="28"/>
          <w:szCs w:val="28"/>
        </w:rPr>
        <w:t>5</w:t>
      </w:r>
      <w:r>
        <w:rPr>
          <w:rFonts w:ascii="Arial" w:eastAsia="仿宋" w:hAnsi="Arial" w:cs="Arial"/>
          <w:sz w:val="28"/>
          <w:szCs w:val="28"/>
        </w:rPr>
        <w:t>月</w:t>
      </w:r>
      <w:r>
        <w:rPr>
          <w:rFonts w:ascii="Arial" w:eastAsia="仿宋" w:hAnsi="Arial" w:cs="Arial"/>
          <w:sz w:val="28"/>
          <w:szCs w:val="28"/>
        </w:rPr>
        <w:t>13</w:t>
      </w:r>
      <w:r>
        <w:rPr>
          <w:rFonts w:ascii="Arial" w:eastAsia="仿宋" w:hAnsi="Arial" w:cs="Arial"/>
          <w:sz w:val="28"/>
          <w:szCs w:val="28"/>
        </w:rPr>
        <w:t>日</w:t>
      </w:r>
      <w:proofErr w:type="gramStart"/>
      <w:r>
        <w:rPr>
          <w:rFonts w:ascii="Arial" w:eastAsia="仿宋" w:hAnsi="Arial" w:cs="Arial"/>
          <w:sz w:val="28"/>
          <w:szCs w:val="28"/>
        </w:rPr>
        <w:t>〕</w:t>
      </w:r>
      <w:proofErr w:type="gramEnd"/>
      <w:r>
        <w:rPr>
          <w:rFonts w:ascii="Arial" w:eastAsia="仿宋" w:hAnsi="Arial" w:cs="Arial"/>
          <w:sz w:val="28"/>
          <w:szCs w:val="28"/>
        </w:rPr>
        <w:t>；</w:t>
      </w:r>
    </w:p>
    <w:p w14:paraId="6BB186EC"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《国土资源部办公厅</w:t>
      </w:r>
      <w:r>
        <w:rPr>
          <w:rFonts w:ascii="Arial" w:eastAsia="仿宋" w:hAnsi="Arial" w:cs="Arial"/>
          <w:sz w:val="28"/>
          <w:szCs w:val="28"/>
        </w:rPr>
        <w:t>&lt;</w:t>
      </w:r>
      <w:r>
        <w:rPr>
          <w:rFonts w:ascii="Arial" w:eastAsia="仿宋" w:hAnsi="Arial" w:cs="Arial"/>
          <w:sz w:val="28"/>
          <w:szCs w:val="28"/>
        </w:rPr>
        <w:t>关于实行电子化备案完善土地估价报告备案制度的通知</w:t>
      </w:r>
      <w:r>
        <w:rPr>
          <w:rFonts w:ascii="Arial" w:eastAsia="仿宋" w:hAnsi="Arial" w:cs="Arial"/>
          <w:sz w:val="28"/>
          <w:szCs w:val="28"/>
        </w:rPr>
        <w:t>&gt;</w:t>
      </w:r>
      <w:r>
        <w:rPr>
          <w:rFonts w:ascii="Arial" w:eastAsia="仿宋" w:hAnsi="Arial" w:cs="Arial"/>
          <w:sz w:val="28"/>
          <w:szCs w:val="28"/>
        </w:rPr>
        <w:t>》</w:t>
      </w:r>
      <w:proofErr w:type="gramStart"/>
      <w:r>
        <w:rPr>
          <w:rFonts w:ascii="Arial" w:eastAsia="仿宋" w:hAnsi="Arial" w:cs="Arial"/>
          <w:sz w:val="28"/>
          <w:szCs w:val="28"/>
        </w:rPr>
        <w:t>〔</w:t>
      </w:r>
      <w:proofErr w:type="gramEnd"/>
      <w:r>
        <w:rPr>
          <w:rFonts w:ascii="Arial" w:eastAsia="仿宋" w:hAnsi="Arial" w:cs="Arial"/>
          <w:sz w:val="28"/>
          <w:szCs w:val="28"/>
        </w:rPr>
        <w:t>国土资厅发</w:t>
      </w:r>
      <w:proofErr w:type="gramStart"/>
      <w:r>
        <w:rPr>
          <w:rFonts w:ascii="Arial" w:eastAsia="仿宋" w:hAnsi="Arial" w:cs="Arial"/>
          <w:sz w:val="28"/>
          <w:szCs w:val="28"/>
        </w:rPr>
        <w:t>〔</w:t>
      </w:r>
      <w:proofErr w:type="gramEnd"/>
      <w:r>
        <w:rPr>
          <w:rFonts w:ascii="Arial" w:eastAsia="仿宋" w:hAnsi="Arial" w:cs="Arial"/>
          <w:sz w:val="28"/>
          <w:szCs w:val="28"/>
        </w:rPr>
        <w:t>2012</w:t>
      </w:r>
      <w:proofErr w:type="gramStart"/>
      <w:r>
        <w:rPr>
          <w:rFonts w:ascii="Arial" w:eastAsia="仿宋" w:hAnsi="Arial" w:cs="Arial"/>
          <w:sz w:val="28"/>
          <w:szCs w:val="28"/>
        </w:rPr>
        <w:t>〕</w:t>
      </w:r>
      <w:proofErr w:type="gramEnd"/>
      <w:r>
        <w:rPr>
          <w:rFonts w:ascii="Arial" w:eastAsia="仿宋" w:hAnsi="Arial" w:cs="Arial"/>
          <w:sz w:val="28"/>
          <w:szCs w:val="28"/>
        </w:rPr>
        <w:t>35</w:t>
      </w:r>
      <w:r>
        <w:rPr>
          <w:rFonts w:ascii="Arial" w:eastAsia="仿宋" w:hAnsi="Arial" w:cs="Arial"/>
          <w:sz w:val="28"/>
          <w:szCs w:val="28"/>
        </w:rPr>
        <w:t>号，</w:t>
      </w:r>
      <w:r>
        <w:rPr>
          <w:rFonts w:ascii="Arial" w:eastAsia="仿宋" w:hAnsi="Arial" w:cs="Arial"/>
          <w:sz w:val="28"/>
          <w:szCs w:val="28"/>
        </w:rPr>
        <w:t>2012</w:t>
      </w:r>
      <w:r>
        <w:rPr>
          <w:rFonts w:ascii="Arial" w:eastAsia="仿宋" w:hAnsi="Arial" w:cs="Arial"/>
          <w:sz w:val="28"/>
          <w:szCs w:val="28"/>
        </w:rPr>
        <w:t>年</w:t>
      </w:r>
      <w:r>
        <w:rPr>
          <w:rFonts w:ascii="Arial" w:eastAsia="仿宋" w:hAnsi="Arial" w:cs="Arial"/>
          <w:sz w:val="28"/>
          <w:szCs w:val="28"/>
        </w:rPr>
        <w:t>6</w:t>
      </w:r>
      <w:r>
        <w:rPr>
          <w:rFonts w:ascii="Arial" w:eastAsia="仿宋" w:hAnsi="Arial" w:cs="Arial"/>
          <w:sz w:val="28"/>
          <w:szCs w:val="28"/>
        </w:rPr>
        <w:t>月</w:t>
      </w:r>
      <w:r>
        <w:rPr>
          <w:rFonts w:ascii="Arial" w:eastAsia="仿宋" w:hAnsi="Arial" w:cs="Arial"/>
          <w:sz w:val="28"/>
          <w:szCs w:val="28"/>
        </w:rPr>
        <w:t>14</w:t>
      </w:r>
      <w:r>
        <w:rPr>
          <w:rFonts w:ascii="Arial" w:eastAsia="仿宋" w:hAnsi="Arial" w:cs="Arial"/>
          <w:sz w:val="28"/>
          <w:szCs w:val="28"/>
        </w:rPr>
        <w:t>日发布〕</w:t>
      </w:r>
    </w:p>
    <w:p w14:paraId="1491EA5F"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《北京市实施</w:t>
      </w:r>
      <w:r>
        <w:rPr>
          <w:rFonts w:ascii="Arial" w:eastAsia="仿宋" w:hAnsi="Arial" w:cs="Arial"/>
          <w:sz w:val="28"/>
          <w:szCs w:val="28"/>
        </w:rPr>
        <w:t>&lt;</w:t>
      </w:r>
      <w:r>
        <w:rPr>
          <w:rFonts w:ascii="Arial" w:eastAsia="仿宋" w:hAnsi="Arial" w:cs="Arial"/>
          <w:sz w:val="28"/>
          <w:szCs w:val="28"/>
        </w:rPr>
        <w:t>中华人民共和国城镇国有土地使用权出让和转让暂行条例</w:t>
      </w:r>
      <w:r>
        <w:rPr>
          <w:rFonts w:ascii="Arial" w:eastAsia="仿宋" w:hAnsi="Arial" w:cs="Arial"/>
          <w:sz w:val="28"/>
          <w:szCs w:val="28"/>
        </w:rPr>
        <w:t>&gt;</w:t>
      </w:r>
      <w:r>
        <w:rPr>
          <w:rFonts w:ascii="Arial" w:eastAsia="仿宋" w:hAnsi="Arial" w:cs="Arial"/>
          <w:sz w:val="28"/>
          <w:szCs w:val="28"/>
        </w:rPr>
        <w:t>办法》（</w:t>
      </w:r>
      <w:r>
        <w:rPr>
          <w:rFonts w:ascii="Arial" w:eastAsia="仿宋" w:hAnsi="Arial" w:cs="Arial"/>
          <w:sz w:val="28"/>
          <w:szCs w:val="28"/>
        </w:rPr>
        <w:t>1992</w:t>
      </w:r>
      <w:r>
        <w:rPr>
          <w:rFonts w:ascii="Arial" w:eastAsia="仿宋" w:hAnsi="Arial" w:cs="Arial"/>
          <w:sz w:val="28"/>
          <w:szCs w:val="28"/>
        </w:rPr>
        <w:t>年</w:t>
      </w:r>
      <w:r>
        <w:rPr>
          <w:rFonts w:ascii="Arial" w:eastAsia="仿宋" w:hAnsi="Arial" w:cs="Arial"/>
          <w:sz w:val="28"/>
          <w:szCs w:val="28"/>
        </w:rPr>
        <w:t>5</w:t>
      </w:r>
      <w:r>
        <w:rPr>
          <w:rFonts w:ascii="Arial" w:eastAsia="仿宋" w:hAnsi="Arial" w:cs="Arial"/>
          <w:sz w:val="28"/>
          <w:szCs w:val="28"/>
        </w:rPr>
        <w:t>月</w:t>
      </w:r>
      <w:r>
        <w:rPr>
          <w:rFonts w:ascii="Arial" w:eastAsia="仿宋" w:hAnsi="Arial" w:cs="Arial"/>
          <w:sz w:val="28"/>
          <w:szCs w:val="28"/>
        </w:rPr>
        <w:t>27</w:t>
      </w:r>
      <w:r>
        <w:rPr>
          <w:rFonts w:ascii="Arial" w:eastAsia="仿宋" w:hAnsi="Arial" w:cs="Arial"/>
          <w:sz w:val="28"/>
          <w:szCs w:val="28"/>
        </w:rPr>
        <w:t>日北京市人民政府第</w:t>
      </w:r>
      <w:r>
        <w:rPr>
          <w:rFonts w:ascii="Arial" w:eastAsia="仿宋" w:hAnsi="Arial" w:cs="Arial"/>
          <w:sz w:val="28"/>
          <w:szCs w:val="28"/>
        </w:rPr>
        <w:t>11</w:t>
      </w:r>
      <w:r>
        <w:rPr>
          <w:rFonts w:ascii="Arial" w:eastAsia="仿宋" w:hAnsi="Arial" w:cs="Arial"/>
          <w:sz w:val="28"/>
          <w:szCs w:val="28"/>
        </w:rPr>
        <w:t>号令发布；根据</w:t>
      </w:r>
      <w:r>
        <w:rPr>
          <w:rFonts w:ascii="Arial" w:eastAsia="仿宋" w:hAnsi="Arial" w:cs="Arial"/>
          <w:sz w:val="28"/>
          <w:szCs w:val="28"/>
        </w:rPr>
        <w:t>1993</w:t>
      </w:r>
      <w:r>
        <w:rPr>
          <w:rFonts w:ascii="Arial" w:eastAsia="仿宋" w:hAnsi="Arial" w:cs="Arial"/>
          <w:sz w:val="28"/>
          <w:szCs w:val="28"/>
        </w:rPr>
        <w:t>年</w:t>
      </w:r>
      <w:r>
        <w:rPr>
          <w:rFonts w:ascii="Arial" w:eastAsia="仿宋" w:hAnsi="Arial" w:cs="Arial"/>
          <w:sz w:val="28"/>
          <w:szCs w:val="28"/>
        </w:rPr>
        <w:t>5</w:t>
      </w:r>
      <w:r>
        <w:rPr>
          <w:rFonts w:ascii="Arial" w:eastAsia="仿宋" w:hAnsi="Arial" w:cs="Arial"/>
          <w:sz w:val="28"/>
          <w:szCs w:val="28"/>
        </w:rPr>
        <w:t>月</w:t>
      </w:r>
      <w:r>
        <w:rPr>
          <w:rFonts w:ascii="Arial" w:eastAsia="仿宋" w:hAnsi="Arial" w:cs="Arial"/>
          <w:sz w:val="28"/>
          <w:szCs w:val="28"/>
        </w:rPr>
        <w:t>18</w:t>
      </w:r>
      <w:r>
        <w:rPr>
          <w:rFonts w:ascii="Arial" w:eastAsia="仿宋" w:hAnsi="Arial" w:cs="Arial"/>
          <w:sz w:val="28"/>
          <w:szCs w:val="28"/>
        </w:rPr>
        <w:t>日北京市人民政府第</w:t>
      </w:r>
      <w:r>
        <w:rPr>
          <w:rFonts w:ascii="Arial" w:eastAsia="仿宋" w:hAnsi="Arial" w:cs="Arial"/>
          <w:sz w:val="28"/>
          <w:szCs w:val="28"/>
        </w:rPr>
        <w:t>6</w:t>
      </w:r>
      <w:r>
        <w:rPr>
          <w:rFonts w:ascii="Arial" w:eastAsia="仿宋" w:hAnsi="Arial" w:cs="Arial"/>
          <w:sz w:val="28"/>
          <w:szCs w:val="28"/>
        </w:rPr>
        <w:t>号令第一次修改；根据</w:t>
      </w:r>
      <w:r>
        <w:rPr>
          <w:rFonts w:ascii="Arial" w:eastAsia="仿宋" w:hAnsi="Arial" w:cs="Arial"/>
          <w:sz w:val="28"/>
          <w:szCs w:val="28"/>
        </w:rPr>
        <w:t>2002</w:t>
      </w:r>
      <w:r>
        <w:rPr>
          <w:rFonts w:ascii="Arial" w:eastAsia="仿宋" w:hAnsi="Arial" w:cs="Arial"/>
          <w:sz w:val="28"/>
          <w:szCs w:val="28"/>
        </w:rPr>
        <w:t>年</w:t>
      </w:r>
      <w:r>
        <w:rPr>
          <w:rFonts w:ascii="Arial" w:eastAsia="仿宋" w:hAnsi="Arial" w:cs="Arial"/>
          <w:sz w:val="28"/>
          <w:szCs w:val="28"/>
        </w:rPr>
        <w:t>2</w:t>
      </w:r>
      <w:r>
        <w:rPr>
          <w:rFonts w:ascii="Arial" w:eastAsia="仿宋" w:hAnsi="Arial" w:cs="Arial"/>
          <w:sz w:val="28"/>
          <w:szCs w:val="28"/>
        </w:rPr>
        <w:t>月</w:t>
      </w:r>
      <w:r>
        <w:rPr>
          <w:rFonts w:ascii="Arial" w:eastAsia="仿宋" w:hAnsi="Arial" w:cs="Arial"/>
          <w:sz w:val="28"/>
          <w:szCs w:val="28"/>
        </w:rPr>
        <w:t>11</w:t>
      </w:r>
      <w:r>
        <w:rPr>
          <w:rFonts w:ascii="Arial" w:eastAsia="仿宋" w:hAnsi="Arial" w:cs="Arial"/>
          <w:sz w:val="28"/>
          <w:szCs w:val="28"/>
        </w:rPr>
        <w:t>日北京市人民政府第</w:t>
      </w:r>
      <w:r>
        <w:rPr>
          <w:rFonts w:ascii="Arial" w:eastAsia="仿宋" w:hAnsi="Arial" w:cs="Arial"/>
          <w:sz w:val="28"/>
          <w:szCs w:val="28"/>
        </w:rPr>
        <w:t>92</w:t>
      </w:r>
      <w:r>
        <w:rPr>
          <w:rFonts w:ascii="Arial" w:eastAsia="仿宋" w:hAnsi="Arial" w:cs="Arial"/>
          <w:sz w:val="28"/>
          <w:szCs w:val="28"/>
        </w:rPr>
        <w:t>号令第二次修改；根据</w:t>
      </w:r>
      <w:r>
        <w:rPr>
          <w:rFonts w:ascii="Arial" w:eastAsia="仿宋" w:hAnsi="Arial" w:cs="Arial"/>
          <w:sz w:val="28"/>
          <w:szCs w:val="28"/>
        </w:rPr>
        <w:t>2007</w:t>
      </w:r>
      <w:r>
        <w:rPr>
          <w:rFonts w:ascii="Arial" w:eastAsia="仿宋" w:hAnsi="Arial" w:cs="Arial"/>
          <w:sz w:val="28"/>
          <w:szCs w:val="28"/>
        </w:rPr>
        <w:t>年</w:t>
      </w:r>
      <w:r>
        <w:rPr>
          <w:rFonts w:ascii="Arial" w:eastAsia="仿宋" w:hAnsi="Arial" w:cs="Arial"/>
          <w:sz w:val="28"/>
          <w:szCs w:val="28"/>
        </w:rPr>
        <w:t>11</w:t>
      </w:r>
      <w:r>
        <w:rPr>
          <w:rFonts w:ascii="Arial" w:eastAsia="仿宋" w:hAnsi="Arial" w:cs="Arial"/>
          <w:sz w:val="28"/>
          <w:szCs w:val="28"/>
        </w:rPr>
        <w:t>月</w:t>
      </w:r>
      <w:r>
        <w:rPr>
          <w:rFonts w:ascii="Arial" w:eastAsia="仿宋" w:hAnsi="Arial" w:cs="Arial"/>
          <w:sz w:val="28"/>
          <w:szCs w:val="28"/>
        </w:rPr>
        <w:t>23</w:t>
      </w:r>
      <w:r>
        <w:rPr>
          <w:rFonts w:ascii="Arial" w:eastAsia="仿宋" w:hAnsi="Arial" w:cs="Arial"/>
          <w:sz w:val="28"/>
          <w:szCs w:val="28"/>
        </w:rPr>
        <w:t>日北京市人民政府第</w:t>
      </w:r>
      <w:r>
        <w:rPr>
          <w:rFonts w:ascii="Arial" w:eastAsia="仿宋" w:hAnsi="Arial" w:cs="Arial"/>
          <w:sz w:val="28"/>
          <w:szCs w:val="28"/>
        </w:rPr>
        <w:t>200</w:t>
      </w:r>
      <w:r>
        <w:rPr>
          <w:rFonts w:ascii="Arial" w:eastAsia="仿宋" w:hAnsi="Arial" w:cs="Arial"/>
          <w:sz w:val="28"/>
          <w:szCs w:val="28"/>
        </w:rPr>
        <w:t>号令第三次修改）</w:t>
      </w:r>
    </w:p>
    <w:p w14:paraId="3CD901DF"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《北京市城市房地产转让管理办法》（北京市人民政府令第</w:t>
      </w:r>
      <w:r>
        <w:rPr>
          <w:rFonts w:ascii="Arial" w:eastAsia="仿宋" w:hAnsi="Arial" w:cs="Arial"/>
          <w:sz w:val="28"/>
          <w:szCs w:val="28"/>
        </w:rPr>
        <w:t>135</w:t>
      </w:r>
      <w:r>
        <w:rPr>
          <w:rFonts w:ascii="Arial" w:eastAsia="仿宋" w:hAnsi="Arial" w:cs="Arial"/>
          <w:sz w:val="28"/>
          <w:szCs w:val="28"/>
        </w:rPr>
        <w:t>号，经</w:t>
      </w:r>
      <w:r>
        <w:rPr>
          <w:rFonts w:ascii="Arial" w:eastAsia="仿宋" w:hAnsi="Arial" w:cs="Arial"/>
          <w:sz w:val="28"/>
          <w:szCs w:val="28"/>
        </w:rPr>
        <w:t>2003</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26</w:t>
      </w:r>
      <w:r>
        <w:rPr>
          <w:rFonts w:ascii="Arial" w:eastAsia="仿宋" w:hAnsi="Arial" w:cs="Arial"/>
          <w:sz w:val="28"/>
          <w:szCs w:val="28"/>
        </w:rPr>
        <w:t>日市人民政府第</w:t>
      </w:r>
      <w:r>
        <w:rPr>
          <w:rFonts w:ascii="Arial" w:eastAsia="仿宋" w:hAnsi="Arial" w:cs="Arial"/>
          <w:sz w:val="28"/>
          <w:szCs w:val="28"/>
        </w:rPr>
        <w:t>13</w:t>
      </w:r>
      <w:r>
        <w:rPr>
          <w:rFonts w:ascii="Arial" w:eastAsia="仿宋" w:hAnsi="Arial" w:cs="Arial"/>
          <w:sz w:val="28"/>
          <w:szCs w:val="28"/>
        </w:rPr>
        <w:t>次常务会议通过，自</w:t>
      </w:r>
      <w:r>
        <w:rPr>
          <w:rFonts w:ascii="Arial" w:eastAsia="仿宋" w:hAnsi="Arial" w:cs="Arial"/>
          <w:sz w:val="28"/>
          <w:szCs w:val="28"/>
        </w:rPr>
        <w:t>2003</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r>
        <w:rPr>
          <w:rFonts w:ascii="Arial" w:eastAsia="仿宋" w:hAnsi="Arial" w:cs="Arial"/>
          <w:sz w:val="28"/>
          <w:szCs w:val="28"/>
        </w:rPr>
        <w:t>2008</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6</w:t>
      </w:r>
      <w:r>
        <w:rPr>
          <w:rFonts w:ascii="Arial" w:eastAsia="仿宋" w:hAnsi="Arial" w:cs="Arial"/>
          <w:sz w:val="28"/>
          <w:szCs w:val="28"/>
        </w:rPr>
        <w:t>日北京市人民政府令第</w:t>
      </w:r>
      <w:r>
        <w:rPr>
          <w:rFonts w:ascii="Arial" w:eastAsia="仿宋" w:hAnsi="Arial" w:cs="Arial"/>
          <w:sz w:val="28"/>
          <w:szCs w:val="28"/>
        </w:rPr>
        <w:t>209</w:t>
      </w:r>
      <w:r>
        <w:rPr>
          <w:rFonts w:ascii="Arial" w:eastAsia="仿宋" w:hAnsi="Arial" w:cs="Arial"/>
          <w:sz w:val="28"/>
          <w:szCs w:val="28"/>
        </w:rPr>
        <w:lastRenderedPageBreak/>
        <w:t>号修正）</w:t>
      </w:r>
    </w:p>
    <w:p w14:paraId="6C29AD2A"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《北京市城乡规划条例》（</w:t>
      </w:r>
      <w:r>
        <w:rPr>
          <w:rFonts w:ascii="Arial" w:eastAsia="仿宋" w:hAnsi="Arial" w:cs="Arial"/>
          <w:sz w:val="28"/>
          <w:szCs w:val="28"/>
        </w:rPr>
        <w:t>2009</w:t>
      </w:r>
      <w:r>
        <w:rPr>
          <w:rFonts w:ascii="Arial" w:eastAsia="仿宋" w:hAnsi="Arial" w:cs="Arial"/>
          <w:sz w:val="28"/>
          <w:szCs w:val="28"/>
        </w:rPr>
        <w:t>年</w:t>
      </w:r>
      <w:r>
        <w:rPr>
          <w:rFonts w:ascii="Arial" w:eastAsia="仿宋" w:hAnsi="Arial" w:cs="Arial"/>
          <w:sz w:val="28"/>
          <w:szCs w:val="28"/>
        </w:rPr>
        <w:t>5</w:t>
      </w:r>
      <w:r>
        <w:rPr>
          <w:rFonts w:ascii="Arial" w:eastAsia="仿宋" w:hAnsi="Arial" w:cs="Arial"/>
          <w:sz w:val="28"/>
          <w:szCs w:val="28"/>
        </w:rPr>
        <w:t>月</w:t>
      </w:r>
      <w:r>
        <w:rPr>
          <w:rFonts w:ascii="Arial" w:eastAsia="仿宋" w:hAnsi="Arial" w:cs="Arial"/>
          <w:sz w:val="28"/>
          <w:szCs w:val="28"/>
        </w:rPr>
        <w:t>22</w:t>
      </w:r>
      <w:r>
        <w:rPr>
          <w:rFonts w:ascii="Arial" w:eastAsia="仿宋" w:hAnsi="Arial" w:cs="Arial"/>
          <w:sz w:val="28"/>
          <w:szCs w:val="28"/>
        </w:rPr>
        <w:t>日北京市第十三届人民代表大会常务委员会第十一次会议通过；</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3</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日北京市第十五届人民代表大会常务委员会第十二次会议修订，自</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4</w:t>
      </w:r>
      <w:r>
        <w:rPr>
          <w:rFonts w:ascii="Arial" w:eastAsia="仿宋" w:hAnsi="Arial" w:cs="Arial"/>
          <w:sz w:val="28"/>
          <w:szCs w:val="28"/>
        </w:rPr>
        <w:t>月</w:t>
      </w:r>
      <w:r>
        <w:rPr>
          <w:rFonts w:ascii="Arial" w:eastAsia="仿宋" w:hAnsi="Arial" w:cs="Arial"/>
          <w:sz w:val="28"/>
          <w:szCs w:val="28"/>
        </w:rPr>
        <w:t>28</w:t>
      </w:r>
      <w:r>
        <w:rPr>
          <w:rFonts w:ascii="Arial" w:eastAsia="仿宋" w:hAnsi="Arial" w:cs="Arial"/>
          <w:sz w:val="28"/>
          <w:szCs w:val="28"/>
        </w:rPr>
        <w:t>日起施行）</w:t>
      </w:r>
    </w:p>
    <w:p w14:paraId="15E50658"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bCs/>
          <w:sz w:val="28"/>
          <w:szCs w:val="28"/>
        </w:rPr>
        <w:t>《北京市实施</w:t>
      </w:r>
      <w:r>
        <w:rPr>
          <w:rFonts w:ascii="Arial" w:eastAsia="仿宋" w:hAnsi="Arial" w:cs="Arial"/>
          <w:sz w:val="28"/>
          <w:szCs w:val="28"/>
        </w:rPr>
        <w:t>&lt;</w:t>
      </w:r>
      <w:r>
        <w:rPr>
          <w:rFonts w:ascii="Arial" w:eastAsia="仿宋" w:hAnsi="Arial" w:cs="Arial"/>
          <w:bCs/>
          <w:sz w:val="28"/>
          <w:szCs w:val="28"/>
        </w:rPr>
        <w:t>中华人民共和国城镇土地使用税暂行条例</w:t>
      </w:r>
      <w:r>
        <w:rPr>
          <w:rFonts w:ascii="Arial" w:eastAsia="仿宋" w:hAnsi="Arial" w:cs="Arial"/>
          <w:sz w:val="28"/>
          <w:szCs w:val="28"/>
        </w:rPr>
        <w:t>&gt;</w:t>
      </w:r>
      <w:r>
        <w:rPr>
          <w:rFonts w:ascii="Arial" w:eastAsia="仿宋" w:hAnsi="Arial" w:cs="Arial"/>
          <w:bCs/>
          <w:sz w:val="28"/>
          <w:szCs w:val="28"/>
        </w:rPr>
        <w:t>办法》（</w:t>
      </w:r>
      <w:r>
        <w:rPr>
          <w:rFonts w:ascii="Arial" w:eastAsia="仿宋" w:hAnsi="Arial" w:cs="Arial"/>
          <w:sz w:val="28"/>
          <w:szCs w:val="28"/>
        </w:rPr>
        <w:t>1988</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30</w:t>
      </w:r>
      <w:r>
        <w:rPr>
          <w:rFonts w:ascii="Arial" w:eastAsia="仿宋" w:hAnsi="Arial" w:cs="Arial"/>
          <w:sz w:val="28"/>
          <w:szCs w:val="28"/>
        </w:rPr>
        <w:t>日北京市人民政府京政发〔</w:t>
      </w:r>
      <w:r>
        <w:rPr>
          <w:rFonts w:ascii="Arial" w:eastAsia="仿宋" w:hAnsi="Arial" w:cs="Arial"/>
          <w:sz w:val="28"/>
          <w:szCs w:val="28"/>
        </w:rPr>
        <w:t>1988</w:t>
      </w:r>
      <w:r>
        <w:rPr>
          <w:rFonts w:ascii="Arial" w:eastAsia="仿宋" w:hAnsi="Arial" w:cs="Arial"/>
          <w:sz w:val="28"/>
          <w:szCs w:val="28"/>
        </w:rPr>
        <w:t>〕</w:t>
      </w:r>
      <w:r>
        <w:rPr>
          <w:rFonts w:ascii="Arial" w:eastAsia="仿宋" w:hAnsi="Arial" w:cs="Arial"/>
          <w:sz w:val="28"/>
          <w:szCs w:val="28"/>
        </w:rPr>
        <w:t>115</w:t>
      </w:r>
      <w:r>
        <w:rPr>
          <w:rFonts w:ascii="Arial" w:eastAsia="仿宋" w:hAnsi="Arial" w:cs="Arial"/>
          <w:sz w:val="28"/>
          <w:szCs w:val="28"/>
        </w:rPr>
        <w:t>号文件发布；根据</w:t>
      </w:r>
      <w:r>
        <w:rPr>
          <w:rFonts w:ascii="Arial" w:eastAsia="仿宋" w:hAnsi="Arial" w:cs="Arial"/>
          <w:sz w:val="28"/>
          <w:szCs w:val="28"/>
        </w:rPr>
        <w:t>1998</w:t>
      </w:r>
      <w:r>
        <w:rPr>
          <w:rFonts w:ascii="Arial" w:eastAsia="仿宋" w:hAnsi="Arial" w:cs="Arial"/>
          <w:sz w:val="28"/>
          <w:szCs w:val="28"/>
        </w:rPr>
        <w:t>年</w:t>
      </w:r>
      <w:r>
        <w:rPr>
          <w:rFonts w:ascii="Arial" w:eastAsia="仿宋" w:hAnsi="Arial" w:cs="Arial"/>
          <w:sz w:val="28"/>
          <w:szCs w:val="28"/>
        </w:rPr>
        <w:t>6</w:t>
      </w:r>
      <w:r>
        <w:rPr>
          <w:rFonts w:ascii="Arial" w:eastAsia="仿宋" w:hAnsi="Arial" w:cs="Arial"/>
          <w:sz w:val="28"/>
          <w:szCs w:val="28"/>
        </w:rPr>
        <w:t>月</w:t>
      </w:r>
      <w:r>
        <w:rPr>
          <w:rFonts w:ascii="Arial" w:eastAsia="仿宋" w:hAnsi="Arial" w:cs="Arial"/>
          <w:sz w:val="28"/>
          <w:szCs w:val="28"/>
        </w:rPr>
        <w:t>12</w:t>
      </w:r>
      <w:r>
        <w:rPr>
          <w:rFonts w:ascii="Arial" w:eastAsia="仿宋" w:hAnsi="Arial" w:cs="Arial"/>
          <w:sz w:val="28"/>
          <w:szCs w:val="28"/>
        </w:rPr>
        <w:t>日北京市人民政府第</w:t>
      </w:r>
      <w:r>
        <w:rPr>
          <w:rFonts w:ascii="Arial" w:eastAsia="仿宋" w:hAnsi="Arial" w:cs="Arial"/>
          <w:sz w:val="28"/>
          <w:szCs w:val="28"/>
        </w:rPr>
        <w:t>6</w:t>
      </w:r>
      <w:r>
        <w:rPr>
          <w:rFonts w:ascii="Arial" w:eastAsia="仿宋" w:hAnsi="Arial" w:cs="Arial"/>
          <w:sz w:val="28"/>
          <w:szCs w:val="28"/>
        </w:rPr>
        <w:t>号令第一次修改；根据</w:t>
      </w:r>
      <w:r>
        <w:rPr>
          <w:rFonts w:ascii="Arial" w:eastAsia="仿宋" w:hAnsi="Arial" w:cs="Arial"/>
          <w:sz w:val="28"/>
          <w:szCs w:val="28"/>
        </w:rPr>
        <w:t>2007</w:t>
      </w:r>
      <w:r>
        <w:rPr>
          <w:rFonts w:ascii="Arial" w:eastAsia="仿宋" w:hAnsi="Arial" w:cs="Arial"/>
          <w:sz w:val="28"/>
          <w:szCs w:val="28"/>
        </w:rPr>
        <w:t>年</w:t>
      </w:r>
      <w:r>
        <w:rPr>
          <w:rFonts w:ascii="Arial" w:eastAsia="仿宋" w:hAnsi="Arial" w:cs="Arial"/>
          <w:sz w:val="28"/>
          <w:szCs w:val="28"/>
        </w:rPr>
        <w:t>4</w:t>
      </w:r>
      <w:r>
        <w:rPr>
          <w:rFonts w:ascii="Arial" w:eastAsia="仿宋" w:hAnsi="Arial" w:cs="Arial"/>
          <w:sz w:val="28"/>
          <w:szCs w:val="28"/>
        </w:rPr>
        <w:t>月</w:t>
      </w:r>
      <w:r>
        <w:rPr>
          <w:rFonts w:ascii="Arial" w:eastAsia="仿宋" w:hAnsi="Arial" w:cs="Arial"/>
          <w:sz w:val="28"/>
          <w:szCs w:val="28"/>
        </w:rPr>
        <w:t>27</w:t>
      </w:r>
      <w:r>
        <w:rPr>
          <w:rFonts w:ascii="Arial" w:eastAsia="仿宋" w:hAnsi="Arial" w:cs="Arial"/>
          <w:sz w:val="28"/>
          <w:szCs w:val="28"/>
        </w:rPr>
        <w:t>日北京市人民政府第</w:t>
      </w:r>
      <w:r>
        <w:rPr>
          <w:rFonts w:ascii="Arial" w:eastAsia="仿宋" w:hAnsi="Arial" w:cs="Arial"/>
          <w:sz w:val="28"/>
          <w:szCs w:val="28"/>
        </w:rPr>
        <w:t>188</w:t>
      </w:r>
      <w:r>
        <w:rPr>
          <w:rFonts w:ascii="Arial" w:eastAsia="仿宋" w:hAnsi="Arial" w:cs="Arial"/>
          <w:sz w:val="28"/>
          <w:szCs w:val="28"/>
        </w:rPr>
        <w:t>号令第二次修改</w:t>
      </w:r>
      <w:r>
        <w:rPr>
          <w:rFonts w:ascii="Arial" w:eastAsia="仿宋" w:hAnsi="Arial" w:cs="Arial"/>
          <w:bCs/>
          <w:sz w:val="28"/>
          <w:szCs w:val="28"/>
        </w:rPr>
        <w:t>）</w:t>
      </w:r>
    </w:p>
    <w:p w14:paraId="0E31089B"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《北京市人民政府关于印发北京市国有建设用地供应办法（试行）的通知》（京政发（</w:t>
      </w:r>
      <w:r>
        <w:rPr>
          <w:rFonts w:ascii="Arial" w:eastAsia="仿宋" w:hAnsi="Arial" w:cs="Arial"/>
          <w:sz w:val="28"/>
          <w:szCs w:val="28"/>
        </w:rPr>
        <w:t>2005</w:t>
      </w:r>
      <w:r>
        <w:rPr>
          <w:rFonts w:ascii="Arial" w:eastAsia="仿宋" w:hAnsi="Arial" w:cs="Arial"/>
          <w:sz w:val="28"/>
          <w:szCs w:val="28"/>
        </w:rPr>
        <w:t>）</w:t>
      </w:r>
      <w:r>
        <w:rPr>
          <w:rFonts w:ascii="Arial" w:eastAsia="仿宋" w:hAnsi="Arial" w:cs="Arial"/>
          <w:sz w:val="28"/>
          <w:szCs w:val="28"/>
        </w:rPr>
        <w:t>6</w:t>
      </w:r>
      <w:r>
        <w:rPr>
          <w:rFonts w:ascii="Arial" w:eastAsia="仿宋" w:hAnsi="Arial" w:cs="Arial"/>
          <w:sz w:val="28"/>
          <w:szCs w:val="28"/>
        </w:rPr>
        <w:t>号）</w:t>
      </w:r>
    </w:p>
    <w:p w14:paraId="0A23E35A"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《北京市人民政府关于修订〈北京市国有建设用地供应办法（试行）〉的决定》（京政发〔</w:t>
      </w:r>
      <w:r>
        <w:rPr>
          <w:rFonts w:ascii="Arial" w:eastAsia="仿宋" w:hAnsi="Arial" w:cs="Arial"/>
          <w:sz w:val="28"/>
          <w:szCs w:val="28"/>
        </w:rPr>
        <w:t>2021</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w:t>
      </w:r>
    </w:p>
    <w:p w14:paraId="1DD59A49"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《关于印发北京市出让国有土地使用权招标拍卖挂牌办法的通知》（京国土市（</w:t>
      </w:r>
      <w:r>
        <w:rPr>
          <w:rFonts w:ascii="Arial" w:eastAsia="仿宋" w:hAnsi="Arial" w:cs="Arial"/>
          <w:sz w:val="28"/>
          <w:szCs w:val="28"/>
        </w:rPr>
        <w:t>2005</w:t>
      </w:r>
      <w:r>
        <w:rPr>
          <w:rFonts w:ascii="Arial" w:eastAsia="仿宋" w:hAnsi="Arial" w:cs="Arial"/>
          <w:sz w:val="28"/>
          <w:szCs w:val="28"/>
        </w:rPr>
        <w:t>）</w:t>
      </w:r>
      <w:r>
        <w:rPr>
          <w:rFonts w:ascii="Arial" w:eastAsia="仿宋" w:hAnsi="Arial" w:cs="Arial"/>
          <w:sz w:val="28"/>
          <w:szCs w:val="28"/>
        </w:rPr>
        <w:t>302</w:t>
      </w:r>
      <w:r>
        <w:rPr>
          <w:rFonts w:ascii="Arial" w:eastAsia="仿宋" w:hAnsi="Arial" w:cs="Arial"/>
          <w:sz w:val="28"/>
          <w:szCs w:val="28"/>
        </w:rPr>
        <w:t>号）</w:t>
      </w:r>
    </w:p>
    <w:p w14:paraId="268CAAE7"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《北京市国土资源局、北京市发展和改革委员会、北京市财政局、北京市规划委、北京市住房和城乡建设委员会关于印发北京市国有建设用地使用权出让地价评审暂行规定的通知》（京国土用（</w:t>
      </w:r>
      <w:r>
        <w:rPr>
          <w:rFonts w:ascii="Arial" w:eastAsia="仿宋" w:hAnsi="Arial" w:cs="Arial"/>
          <w:sz w:val="28"/>
          <w:szCs w:val="28"/>
        </w:rPr>
        <w:t>2015</w:t>
      </w:r>
      <w:r>
        <w:rPr>
          <w:rFonts w:ascii="Arial" w:eastAsia="仿宋" w:hAnsi="Arial" w:cs="Arial"/>
          <w:sz w:val="28"/>
          <w:szCs w:val="28"/>
        </w:rPr>
        <w:t>）</w:t>
      </w:r>
      <w:r>
        <w:rPr>
          <w:rFonts w:ascii="Arial" w:eastAsia="仿宋" w:hAnsi="Arial" w:cs="Arial"/>
          <w:sz w:val="28"/>
          <w:szCs w:val="28"/>
        </w:rPr>
        <w:t>87</w:t>
      </w:r>
      <w:r>
        <w:rPr>
          <w:rFonts w:ascii="Arial" w:eastAsia="仿宋" w:hAnsi="Arial" w:cs="Arial"/>
          <w:sz w:val="28"/>
          <w:szCs w:val="28"/>
        </w:rPr>
        <w:t>号）</w:t>
      </w:r>
    </w:p>
    <w:p w14:paraId="7D852539"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《北京市国土资源局、北京市发展和改革委员会关于印发北京市国有土地使用权招标拍卖挂牌出让底价确定办法（试行）的通知》（</w:t>
      </w:r>
      <w:r>
        <w:rPr>
          <w:rFonts w:ascii="Arial" w:eastAsia="仿宋" w:hAnsi="Arial" w:cs="Arial"/>
          <w:sz w:val="28"/>
          <w:szCs w:val="28"/>
        </w:rPr>
        <w:t> </w:t>
      </w:r>
      <w:r>
        <w:rPr>
          <w:rFonts w:ascii="Arial" w:eastAsia="仿宋" w:hAnsi="Arial" w:cs="Arial"/>
          <w:sz w:val="28"/>
          <w:szCs w:val="28"/>
        </w:rPr>
        <w:t>京国土用〔</w:t>
      </w:r>
      <w:r>
        <w:rPr>
          <w:rFonts w:ascii="Arial" w:eastAsia="仿宋" w:hAnsi="Arial" w:cs="Arial"/>
          <w:sz w:val="28"/>
          <w:szCs w:val="28"/>
        </w:rPr>
        <w:t>2005</w:t>
      </w:r>
      <w:r>
        <w:rPr>
          <w:rFonts w:ascii="Arial" w:eastAsia="仿宋" w:hAnsi="Arial" w:cs="Arial"/>
          <w:sz w:val="28"/>
          <w:szCs w:val="28"/>
        </w:rPr>
        <w:t>〕</w:t>
      </w:r>
      <w:r>
        <w:rPr>
          <w:rFonts w:ascii="Arial" w:eastAsia="仿宋" w:hAnsi="Arial" w:cs="Arial"/>
          <w:sz w:val="28"/>
          <w:szCs w:val="28"/>
        </w:rPr>
        <w:t>533</w:t>
      </w:r>
      <w:r>
        <w:rPr>
          <w:rFonts w:ascii="Arial" w:eastAsia="仿宋" w:hAnsi="Arial" w:cs="Arial"/>
          <w:sz w:val="28"/>
          <w:szCs w:val="28"/>
        </w:rPr>
        <w:t>号）</w:t>
      </w:r>
    </w:p>
    <w:p w14:paraId="77F1FC95"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《北京市顺义区人民政府关于印发</w:t>
      </w:r>
      <w:r>
        <w:rPr>
          <w:rFonts w:ascii="Arial" w:eastAsia="仿宋" w:hAnsi="Arial" w:cs="Arial"/>
          <w:sz w:val="28"/>
          <w:szCs w:val="28"/>
        </w:rPr>
        <w:t>&lt;</w:t>
      </w:r>
      <w:r>
        <w:rPr>
          <w:rFonts w:ascii="Arial" w:eastAsia="仿宋" w:hAnsi="Arial" w:cs="Arial"/>
          <w:sz w:val="28"/>
          <w:szCs w:val="28"/>
        </w:rPr>
        <w:t>顺义区征收城市基础设施建设费暂行办法</w:t>
      </w:r>
      <w:r>
        <w:rPr>
          <w:rFonts w:ascii="Arial" w:eastAsia="仿宋" w:hAnsi="Arial" w:cs="Arial"/>
          <w:sz w:val="28"/>
          <w:szCs w:val="28"/>
        </w:rPr>
        <w:t>&gt;</w:t>
      </w:r>
      <w:r>
        <w:rPr>
          <w:rFonts w:ascii="Arial" w:eastAsia="仿宋" w:hAnsi="Arial" w:cs="Arial"/>
          <w:sz w:val="28"/>
          <w:szCs w:val="28"/>
        </w:rPr>
        <w:t>的通知》</w:t>
      </w:r>
      <w:r>
        <w:rPr>
          <w:rFonts w:ascii="Arial" w:eastAsia="仿宋" w:hAnsi="Arial" w:cs="Arial"/>
          <w:sz w:val="28"/>
          <w:szCs w:val="28"/>
        </w:rPr>
        <w:t>[</w:t>
      </w:r>
      <w:r>
        <w:rPr>
          <w:rFonts w:ascii="Arial" w:eastAsia="仿宋" w:hAnsi="Arial" w:cs="Arial"/>
          <w:sz w:val="28"/>
          <w:szCs w:val="28"/>
        </w:rPr>
        <w:t>自</w:t>
      </w:r>
      <w:r>
        <w:rPr>
          <w:rFonts w:ascii="Arial" w:eastAsia="仿宋" w:hAnsi="Arial" w:cs="Arial"/>
          <w:sz w:val="28"/>
          <w:szCs w:val="28"/>
        </w:rPr>
        <w:t>2022</w:t>
      </w:r>
      <w:r>
        <w:rPr>
          <w:rFonts w:ascii="Arial" w:eastAsia="仿宋" w:hAnsi="Arial" w:cs="Arial"/>
          <w:sz w:val="28"/>
          <w:szCs w:val="28"/>
        </w:rPr>
        <w:t>年</w:t>
      </w:r>
      <w:r>
        <w:rPr>
          <w:rFonts w:ascii="Arial" w:eastAsia="仿宋" w:hAnsi="Arial" w:cs="Arial"/>
          <w:sz w:val="28"/>
          <w:szCs w:val="28"/>
        </w:rPr>
        <w:t>6</w:t>
      </w:r>
      <w:r>
        <w:rPr>
          <w:rFonts w:ascii="Arial" w:eastAsia="仿宋" w:hAnsi="Arial" w:cs="Arial"/>
          <w:sz w:val="28"/>
          <w:szCs w:val="28"/>
        </w:rPr>
        <w:t>月</w:t>
      </w:r>
      <w:r>
        <w:rPr>
          <w:rFonts w:ascii="Arial" w:eastAsia="仿宋" w:hAnsi="Arial" w:cs="Arial"/>
          <w:sz w:val="28"/>
          <w:szCs w:val="28"/>
        </w:rPr>
        <w:t>6</w:t>
      </w:r>
      <w:r>
        <w:rPr>
          <w:rFonts w:ascii="Arial" w:eastAsia="仿宋" w:hAnsi="Arial" w:cs="Arial"/>
          <w:sz w:val="28"/>
          <w:szCs w:val="28"/>
        </w:rPr>
        <w:t>日起实施</w:t>
      </w:r>
      <w:r>
        <w:rPr>
          <w:rFonts w:ascii="Arial" w:eastAsia="仿宋" w:hAnsi="Arial" w:cs="Arial"/>
          <w:sz w:val="28"/>
          <w:szCs w:val="28"/>
        </w:rPr>
        <w:t>]</w:t>
      </w:r>
    </w:p>
    <w:p w14:paraId="1973CA28"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（二）采用的技术标准</w:t>
      </w:r>
    </w:p>
    <w:p w14:paraId="0A1F14E9"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《城镇土地估价规程》（</w:t>
      </w:r>
      <w:r>
        <w:rPr>
          <w:rFonts w:ascii="Arial" w:eastAsia="仿宋" w:hAnsi="Arial" w:cs="Arial"/>
          <w:sz w:val="28"/>
          <w:szCs w:val="28"/>
        </w:rPr>
        <w:t>GB/T 18508-2014</w:t>
      </w:r>
      <w:r>
        <w:rPr>
          <w:rFonts w:ascii="Arial" w:eastAsia="仿宋" w:hAnsi="Arial" w:cs="Arial"/>
          <w:sz w:val="28"/>
          <w:szCs w:val="28"/>
        </w:rPr>
        <w:t>）</w:t>
      </w:r>
    </w:p>
    <w:p w14:paraId="6571E0D8"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《城镇土地分等定级规程》</w:t>
      </w:r>
      <w:r>
        <w:rPr>
          <w:rFonts w:ascii="Arial" w:eastAsia="仿宋" w:hAnsi="Arial" w:cs="Arial"/>
          <w:sz w:val="28"/>
          <w:szCs w:val="28"/>
        </w:rPr>
        <w:fldChar w:fldCharType="begin"/>
      </w:r>
      <w:r>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Pr>
          <w:rFonts w:ascii="Arial" w:eastAsia="仿宋" w:hAnsi="Arial" w:cs="Arial"/>
          <w:sz w:val="28"/>
          <w:szCs w:val="28"/>
        </w:rPr>
        <w:fldChar w:fldCharType="separate"/>
      </w:r>
      <w:r>
        <w:rPr>
          <w:rFonts w:ascii="Arial" w:eastAsia="仿宋" w:hAnsi="Arial" w:cs="Arial"/>
          <w:sz w:val="28"/>
          <w:szCs w:val="28"/>
        </w:rPr>
        <w:t>（</w:t>
      </w:r>
      <w:r>
        <w:rPr>
          <w:rFonts w:ascii="Arial" w:eastAsia="仿宋" w:hAnsi="Arial" w:cs="Arial"/>
          <w:sz w:val="28"/>
          <w:szCs w:val="28"/>
        </w:rPr>
        <w:t>GB/T 18507-2014</w:t>
      </w:r>
      <w:r>
        <w:rPr>
          <w:rFonts w:ascii="Arial" w:eastAsia="仿宋" w:hAnsi="Arial" w:cs="Arial"/>
          <w:sz w:val="28"/>
          <w:szCs w:val="28"/>
        </w:rPr>
        <w:t>）</w:t>
      </w:r>
      <w:r>
        <w:rPr>
          <w:rFonts w:ascii="Arial" w:eastAsia="仿宋" w:hAnsi="Arial" w:cs="Arial"/>
          <w:sz w:val="28"/>
          <w:szCs w:val="28"/>
        </w:rPr>
        <w:fldChar w:fldCharType="end"/>
      </w:r>
    </w:p>
    <w:p w14:paraId="5CCBB321"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《土地利用现状分类》（</w:t>
      </w:r>
      <w:r>
        <w:rPr>
          <w:rFonts w:ascii="Arial" w:eastAsia="仿宋" w:hAnsi="Arial" w:cs="Arial"/>
          <w:sz w:val="28"/>
          <w:szCs w:val="28"/>
        </w:rPr>
        <w:t xml:space="preserve"> GB/T 21010-2017</w:t>
      </w:r>
      <w:r>
        <w:rPr>
          <w:rFonts w:ascii="Arial" w:eastAsia="仿宋" w:hAnsi="Arial" w:cs="Arial"/>
          <w:sz w:val="28"/>
          <w:szCs w:val="28"/>
        </w:rPr>
        <w:t>）</w:t>
      </w:r>
    </w:p>
    <w:p w14:paraId="0DA3F213"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《城市用地分类与规划建设用地标准》（</w:t>
      </w:r>
      <w:r>
        <w:rPr>
          <w:rFonts w:ascii="Arial" w:eastAsia="仿宋" w:hAnsi="Arial" w:cs="Arial"/>
          <w:sz w:val="28"/>
          <w:szCs w:val="28"/>
        </w:rPr>
        <w:t>GB50137-2011</w:t>
      </w:r>
      <w:r>
        <w:rPr>
          <w:rFonts w:ascii="Arial" w:eastAsia="仿宋" w:hAnsi="Arial" w:cs="Arial"/>
          <w:sz w:val="28"/>
          <w:szCs w:val="28"/>
        </w:rPr>
        <w:t>）</w:t>
      </w:r>
    </w:p>
    <w:p w14:paraId="658A8AC2"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《自然资源分等定级通则》（</w:t>
      </w:r>
      <w:r>
        <w:rPr>
          <w:rFonts w:ascii="Arial" w:eastAsia="仿宋" w:hAnsi="Arial" w:cs="Arial"/>
          <w:sz w:val="28"/>
          <w:szCs w:val="28"/>
        </w:rPr>
        <w:t>TD/T 1060-2021</w:t>
      </w:r>
      <w:r>
        <w:rPr>
          <w:rFonts w:ascii="Arial" w:eastAsia="仿宋" w:hAnsi="Arial" w:cs="Arial"/>
          <w:sz w:val="28"/>
          <w:szCs w:val="28"/>
        </w:rPr>
        <w:t>）</w:t>
      </w:r>
    </w:p>
    <w:p w14:paraId="0EFA15BD"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《自然资源价格评估通则》（</w:t>
      </w:r>
      <w:r>
        <w:rPr>
          <w:rFonts w:ascii="Arial" w:eastAsia="仿宋" w:hAnsi="Arial" w:cs="Arial"/>
          <w:sz w:val="28"/>
          <w:szCs w:val="28"/>
        </w:rPr>
        <w:t>TD/T 1061-2021</w:t>
      </w:r>
      <w:r>
        <w:rPr>
          <w:rFonts w:ascii="Arial" w:eastAsia="仿宋" w:hAnsi="Arial" w:cs="Arial"/>
          <w:sz w:val="28"/>
          <w:szCs w:val="28"/>
        </w:rPr>
        <w:t>）</w:t>
      </w:r>
    </w:p>
    <w:p w14:paraId="2B209E4C"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《城市地价动态监测技术规范》（</w:t>
      </w:r>
      <w:r>
        <w:rPr>
          <w:rFonts w:ascii="Arial" w:eastAsia="仿宋" w:hAnsi="Arial" w:cs="Arial"/>
          <w:sz w:val="28"/>
          <w:szCs w:val="28"/>
        </w:rPr>
        <w:t>TD/T1009-2007</w:t>
      </w:r>
      <w:r>
        <w:rPr>
          <w:rFonts w:ascii="Arial" w:eastAsia="仿宋" w:hAnsi="Arial" w:cs="Arial"/>
          <w:sz w:val="28"/>
          <w:szCs w:val="28"/>
        </w:rPr>
        <w:t>）</w:t>
      </w:r>
    </w:p>
    <w:p w14:paraId="1D658AA6"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proofErr w:type="gramStart"/>
      <w:r>
        <w:rPr>
          <w:rFonts w:ascii="Arial" w:eastAsia="仿宋" w:hAnsi="Arial" w:cs="Arial"/>
          <w:sz w:val="28"/>
          <w:szCs w:val="28"/>
        </w:rPr>
        <w:lastRenderedPageBreak/>
        <w:t>《</w:t>
      </w:r>
      <w:proofErr w:type="gramEnd"/>
      <w:r>
        <w:rPr>
          <w:rFonts w:ascii="Arial" w:eastAsia="仿宋" w:hAnsi="Arial" w:cs="Arial"/>
          <w:sz w:val="28"/>
          <w:szCs w:val="28"/>
        </w:rPr>
        <w:t>自然资源部办公厅关于印发</w:t>
      </w:r>
      <w:proofErr w:type="gramStart"/>
      <w:r>
        <w:rPr>
          <w:rFonts w:ascii="Arial" w:eastAsia="仿宋" w:hAnsi="Arial" w:cs="Arial"/>
          <w:sz w:val="28"/>
          <w:szCs w:val="28"/>
        </w:rPr>
        <w:t>《</w:t>
      </w:r>
      <w:proofErr w:type="gramEnd"/>
      <w:r>
        <w:rPr>
          <w:rFonts w:ascii="Arial" w:eastAsia="仿宋" w:hAnsi="Arial" w:cs="Arial"/>
          <w:sz w:val="28"/>
          <w:szCs w:val="28"/>
        </w:rPr>
        <w:t>国土空间调查、规划、用途管制用地用海分类指南（试行）</w:t>
      </w:r>
      <w:proofErr w:type="gramStart"/>
      <w:r>
        <w:rPr>
          <w:rFonts w:ascii="Arial" w:eastAsia="仿宋" w:hAnsi="Arial" w:cs="Arial"/>
          <w:sz w:val="28"/>
          <w:szCs w:val="28"/>
        </w:rPr>
        <w:t>》</w:t>
      </w:r>
      <w:proofErr w:type="gramEnd"/>
      <w:r>
        <w:rPr>
          <w:rFonts w:ascii="Arial" w:eastAsia="仿宋" w:hAnsi="Arial" w:cs="Arial"/>
          <w:sz w:val="28"/>
          <w:szCs w:val="28"/>
        </w:rPr>
        <w:t>的通知</w:t>
      </w:r>
      <w:proofErr w:type="gramStart"/>
      <w:r>
        <w:rPr>
          <w:rFonts w:ascii="Arial" w:eastAsia="仿宋" w:hAnsi="Arial" w:cs="Arial"/>
          <w:sz w:val="28"/>
          <w:szCs w:val="28"/>
        </w:rPr>
        <w:t>》</w:t>
      </w:r>
      <w:proofErr w:type="gramEnd"/>
      <w:r>
        <w:rPr>
          <w:rFonts w:ascii="Arial" w:eastAsia="仿宋" w:hAnsi="Arial" w:cs="Arial"/>
          <w:sz w:val="28"/>
          <w:szCs w:val="28"/>
        </w:rPr>
        <w:t>（自然资办发〔</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w:t>
      </w:r>
    </w:p>
    <w:p w14:paraId="5B84CF41"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《国土资源部办公厅关于发布</w:t>
      </w:r>
      <w:r>
        <w:rPr>
          <w:rFonts w:ascii="Arial" w:eastAsia="仿宋" w:hAnsi="Arial" w:cs="Arial"/>
          <w:sz w:val="28"/>
          <w:szCs w:val="28"/>
        </w:rPr>
        <w:t>&lt;</w:t>
      </w:r>
      <w:r>
        <w:rPr>
          <w:rFonts w:ascii="Arial" w:eastAsia="仿宋" w:hAnsi="Arial" w:cs="Arial"/>
          <w:sz w:val="28"/>
          <w:szCs w:val="28"/>
        </w:rPr>
        <w:t>国有建设用地使用权出让地价评估技术规范</w:t>
      </w:r>
      <w:r>
        <w:rPr>
          <w:rFonts w:ascii="Arial" w:eastAsia="仿宋" w:hAnsi="Arial" w:cs="Arial"/>
          <w:sz w:val="28"/>
          <w:szCs w:val="28"/>
        </w:rPr>
        <w:t>&gt;</w:t>
      </w:r>
      <w:r>
        <w:rPr>
          <w:rFonts w:ascii="Arial" w:eastAsia="仿宋" w:hAnsi="Arial" w:cs="Arial"/>
          <w:sz w:val="28"/>
          <w:szCs w:val="28"/>
        </w:rPr>
        <w:t>的通知》（</w:t>
      </w:r>
      <w:proofErr w:type="gramStart"/>
      <w:r>
        <w:rPr>
          <w:rFonts w:ascii="Arial" w:eastAsia="仿宋" w:hAnsi="Arial" w:cs="Arial"/>
          <w:sz w:val="28"/>
          <w:szCs w:val="28"/>
        </w:rPr>
        <w:t>国土资厅发</w:t>
      </w:r>
      <w:proofErr w:type="gramEnd"/>
      <w:r>
        <w:rPr>
          <w:rFonts w:ascii="Arial" w:eastAsia="仿宋" w:hAnsi="Arial" w:cs="Arial"/>
          <w:sz w:val="28"/>
          <w:szCs w:val="28"/>
        </w:rPr>
        <w:t>（</w:t>
      </w:r>
      <w:r>
        <w:rPr>
          <w:rFonts w:ascii="Arial" w:eastAsia="仿宋" w:hAnsi="Arial" w:cs="Arial"/>
          <w:sz w:val="28"/>
          <w:szCs w:val="28"/>
        </w:rPr>
        <w:t>2018</w:t>
      </w:r>
      <w:r>
        <w:rPr>
          <w:rFonts w:ascii="Arial" w:eastAsia="仿宋" w:hAnsi="Arial" w:cs="Arial"/>
          <w:sz w:val="28"/>
          <w:szCs w:val="28"/>
        </w:rPr>
        <w:t>）</w:t>
      </w:r>
      <w:r>
        <w:rPr>
          <w:rFonts w:ascii="Arial" w:eastAsia="仿宋" w:hAnsi="Arial" w:cs="Arial"/>
          <w:sz w:val="28"/>
          <w:szCs w:val="28"/>
        </w:rPr>
        <w:t>4</w:t>
      </w:r>
      <w:r>
        <w:rPr>
          <w:rFonts w:ascii="Arial" w:eastAsia="仿宋" w:hAnsi="Arial" w:cs="Arial"/>
          <w:sz w:val="28"/>
          <w:szCs w:val="28"/>
        </w:rPr>
        <w:t>号）</w:t>
      </w:r>
    </w:p>
    <w:p w14:paraId="110FDF5C"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《自然资源部公共服务厅关于做好</w:t>
      </w:r>
      <w:r>
        <w:rPr>
          <w:rFonts w:ascii="Arial" w:eastAsia="仿宋" w:hAnsi="Arial" w:cs="Arial"/>
          <w:sz w:val="28"/>
          <w:szCs w:val="28"/>
        </w:rPr>
        <w:t>2021</w:t>
      </w:r>
      <w:r>
        <w:rPr>
          <w:rFonts w:ascii="Arial" w:eastAsia="仿宋" w:hAnsi="Arial" w:cs="Arial"/>
          <w:sz w:val="28"/>
          <w:szCs w:val="28"/>
        </w:rPr>
        <w:t>年度自然资源评价评估有关工作的通知》（自然资办发（</w:t>
      </w:r>
      <w:r>
        <w:rPr>
          <w:rFonts w:ascii="Arial" w:eastAsia="仿宋" w:hAnsi="Arial" w:cs="Arial"/>
          <w:sz w:val="28"/>
          <w:szCs w:val="28"/>
        </w:rPr>
        <w:t>2021</w:t>
      </w:r>
      <w:r>
        <w:rPr>
          <w:rFonts w:ascii="Arial" w:eastAsia="仿宋" w:hAnsi="Arial" w:cs="Arial"/>
          <w:sz w:val="28"/>
          <w:szCs w:val="28"/>
        </w:rPr>
        <w:t>）</w:t>
      </w:r>
      <w:r>
        <w:rPr>
          <w:rFonts w:ascii="Arial" w:eastAsia="仿宋" w:hAnsi="Arial" w:cs="Arial"/>
          <w:sz w:val="28"/>
          <w:szCs w:val="28"/>
        </w:rPr>
        <w:t>39</w:t>
      </w:r>
      <w:r>
        <w:rPr>
          <w:rFonts w:ascii="Arial" w:eastAsia="仿宋" w:hAnsi="Arial" w:cs="Arial"/>
          <w:sz w:val="28"/>
          <w:szCs w:val="28"/>
        </w:rPr>
        <w:t>号）</w:t>
      </w:r>
    </w:p>
    <w:p w14:paraId="28F891BB"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《财政部</w:t>
      </w:r>
      <w:r>
        <w:rPr>
          <w:rFonts w:ascii="Arial" w:eastAsia="仿宋" w:hAnsi="Arial" w:cs="Arial"/>
          <w:sz w:val="28"/>
          <w:szCs w:val="28"/>
        </w:rPr>
        <w:t xml:space="preserve"> </w:t>
      </w:r>
      <w:r>
        <w:rPr>
          <w:rFonts w:ascii="Arial" w:eastAsia="仿宋" w:hAnsi="Arial" w:cs="Arial"/>
          <w:sz w:val="28"/>
          <w:szCs w:val="28"/>
        </w:rPr>
        <w:t>国家税务总局</w:t>
      </w:r>
      <w:r>
        <w:rPr>
          <w:rFonts w:ascii="Arial" w:eastAsia="仿宋" w:hAnsi="Arial" w:cs="Arial"/>
          <w:sz w:val="28"/>
          <w:szCs w:val="28"/>
        </w:rPr>
        <w:t>&lt;</w:t>
      </w:r>
      <w:r>
        <w:rPr>
          <w:rFonts w:ascii="Arial" w:eastAsia="仿宋" w:hAnsi="Arial" w:cs="Arial"/>
          <w:sz w:val="28"/>
          <w:szCs w:val="28"/>
        </w:rPr>
        <w:t>关于全面推开营业税改正增值税试点的通知</w:t>
      </w:r>
      <w:r>
        <w:rPr>
          <w:rFonts w:ascii="Arial" w:eastAsia="仿宋" w:hAnsi="Arial" w:cs="Arial"/>
          <w:sz w:val="28"/>
          <w:szCs w:val="28"/>
        </w:rPr>
        <w:t>&gt;</w:t>
      </w:r>
      <w:r>
        <w:rPr>
          <w:rFonts w:ascii="Arial" w:eastAsia="仿宋" w:hAnsi="Arial" w:cs="Arial"/>
          <w:sz w:val="28"/>
          <w:szCs w:val="28"/>
        </w:rPr>
        <w:t>》（财税（</w:t>
      </w:r>
      <w:r>
        <w:rPr>
          <w:rFonts w:ascii="Arial" w:eastAsia="仿宋" w:hAnsi="Arial" w:cs="Arial"/>
          <w:sz w:val="28"/>
          <w:szCs w:val="28"/>
        </w:rPr>
        <w:t>2016</w:t>
      </w:r>
      <w:r>
        <w:rPr>
          <w:rFonts w:ascii="Arial" w:eastAsia="仿宋" w:hAnsi="Arial" w:cs="Arial"/>
          <w:sz w:val="28"/>
          <w:szCs w:val="28"/>
        </w:rPr>
        <w:t>）</w:t>
      </w:r>
      <w:r>
        <w:rPr>
          <w:rFonts w:ascii="Arial" w:eastAsia="仿宋" w:hAnsi="Arial" w:cs="Arial"/>
          <w:sz w:val="28"/>
          <w:szCs w:val="28"/>
        </w:rPr>
        <w:t>36</w:t>
      </w:r>
      <w:r>
        <w:rPr>
          <w:rFonts w:ascii="Arial" w:eastAsia="仿宋" w:hAnsi="Arial" w:cs="Arial"/>
          <w:sz w:val="28"/>
          <w:szCs w:val="28"/>
        </w:rPr>
        <w:t>号）</w:t>
      </w:r>
    </w:p>
    <w:p w14:paraId="62FB8D72"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《北京市人民政府关于更新出让国有建设用地使用权基准地价的通知》（京政发（</w:t>
      </w:r>
      <w:r>
        <w:rPr>
          <w:rFonts w:ascii="Arial" w:eastAsia="仿宋" w:hAnsi="Arial" w:cs="Arial"/>
          <w:sz w:val="28"/>
          <w:szCs w:val="28"/>
        </w:rPr>
        <w:t>2022</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w:t>
      </w:r>
    </w:p>
    <w:p w14:paraId="676E386F"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《北京市国土空间调查、规划、用途管制用地分类指南（试行）》</w:t>
      </w:r>
    </w:p>
    <w:p w14:paraId="0A77FB5B"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《北京市城乡规划与土地利用用地分类对应指南（试行）》（市规划国土发（</w:t>
      </w:r>
      <w:r>
        <w:rPr>
          <w:rFonts w:ascii="Arial" w:eastAsia="仿宋" w:hAnsi="Arial" w:cs="Arial"/>
          <w:sz w:val="28"/>
          <w:szCs w:val="28"/>
        </w:rPr>
        <w:t>2017</w:t>
      </w:r>
      <w:r>
        <w:rPr>
          <w:rFonts w:ascii="Arial" w:eastAsia="仿宋" w:hAnsi="Arial" w:cs="Arial"/>
          <w:sz w:val="28"/>
          <w:szCs w:val="28"/>
        </w:rPr>
        <w:t>）</w:t>
      </w:r>
      <w:r>
        <w:rPr>
          <w:rFonts w:ascii="Arial" w:eastAsia="仿宋" w:hAnsi="Arial" w:cs="Arial"/>
          <w:sz w:val="28"/>
          <w:szCs w:val="28"/>
        </w:rPr>
        <w:t>316</w:t>
      </w:r>
      <w:r>
        <w:rPr>
          <w:rFonts w:ascii="Arial" w:eastAsia="仿宋" w:hAnsi="Arial" w:cs="Arial"/>
          <w:sz w:val="28"/>
          <w:szCs w:val="28"/>
        </w:rPr>
        <w:t>号）</w:t>
      </w:r>
    </w:p>
    <w:p w14:paraId="37F27D4B"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《北京市地方税务局关于调整北京市城镇土地纳税等级分级范围的公告》（</w:t>
      </w:r>
      <w:r>
        <w:rPr>
          <w:rFonts w:ascii="Arial" w:eastAsia="仿宋" w:hAnsi="Arial" w:cs="Arial"/>
          <w:sz w:val="28"/>
          <w:szCs w:val="28"/>
        </w:rPr>
        <w:t>2015</w:t>
      </w:r>
      <w:r>
        <w:rPr>
          <w:rFonts w:ascii="Arial" w:eastAsia="仿宋" w:hAnsi="Arial" w:cs="Arial"/>
          <w:sz w:val="28"/>
          <w:szCs w:val="28"/>
        </w:rPr>
        <w:t>年第</w:t>
      </w:r>
      <w:r>
        <w:rPr>
          <w:rFonts w:ascii="Arial" w:eastAsia="仿宋" w:hAnsi="Arial" w:cs="Arial"/>
          <w:sz w:val="28"/>
          <w:szCs w:val="28"/>
        </w:rPr>
        <w:t>10</w:t>
      </w:r>
      <w:r>
        <w:rPr>
          <w:rFonts w:ascii="Arial" w:eastAsia="仿宋" w:hAnsi="Arial" w:cs="Arial"/>
          <w:sz w:val="28"/>
          <w:szCs w:val="28"/>
        </w:rPr>
        <w:t>号）</w:t>
      </w:r>
    </w:p>
    <w:p w14:paraId="6CBD78AA"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《北京市国有建设用地使用权出让地价评估技术导则（试行）》（</w:t>
      </w:r>
      <w:proofErr w:type="gramStart"/>
      <w:r>
        <w:rPr>
          <w:rFonts w:ascii="Arial" w:eastAsia="仿宋" w:hAnsi="Arial" w:cs="Arial"/>
          <w:sz w:val="28"/>
          <w:szCs w:val="28"/>
        </w:rPr>
        <w:t>北估秘</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001</w:t>
      </w:r>
      <w:r>
        <w:rPr>
          <w:rFonts w:ascii="Arial" w:eastAsia="仿宋" w:hAnsi="Arial" w:cs="Arial"/>
          <w:sz w:val="28"/>
          <w:szCs w:val="28"/>
        </w:rPr>
        <w:t>）</w:t>
      </w:r>
    </w:p>
    <w:p w14:paraId="3BCB0A78"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《北京市建设工程计价依据</w:t>
      </w:r>
      <w:r>
        <w:rPr>
          <w:rFonts w:ascii="Arial" w:eastAsia="仿宋" w:hAnsi="Arial" w:cs="Arial"/>
          <w:sz w:val="28"/>
          <w:szCs w:val="28"/>
        </w:rPr>
        <w:t>-</w:t>
      </w:r>
      <w:r>
        <w:rPr>
          <w:rFonts w:ascii="Arial" w:eastAsia="仿宋" w:hAnsi="Arial" w:cs="Arial"/>
          <w:sz w:val="28"/>
          <w:szCs w:val="28"/>
        </w:rPr>
        <w:t>预算定额》（</w:t>
      </w:r>
      <w:r>
        <w:rPr>
          <w:rFonts w:ascii="Arial" w:eastAsia="仿宋" w:hAnsi="Arial" w:cs="Arial"/>
          <w:sz w:val="28"/>
          <w:szCs w:val="28"/>
        </w:rPr>
        <w:t>2012</w:t>
      </w:r>
      <w:r>
        <w:rPr>
          <w:rFonts w:ascii="Arial" w:eastAsia="仿宋" w:hAnsi="Arial" w:cs="Arial"/>
          <w:sz w:val="28"/>
          <w:szCs w:val="28"/>
        </w:rPr>
        <w:t>）及动态调整</w:t>
      </w:r>
    </w:p>
    <w:p w14:paraId="775D690B"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《北京工程造价信息》〔北京市建设工程造价管理处定期发布〕</w:t>
      </w:r>
    </w:p>
    <w:p w14:paraId="5593C7D3"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《北京市统计年鉴》</w:t>
      </w:r>
    </w:p>
    <w:p w14:paraId="2165DB2C"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（三）</w:t>
      </w:r>
      <w:r>
        <w:rPr>
          <w:rFonts w:ascii="Arial" w:eastAsia="仿宋" w:hAnsi="Arial" w:cs="Arial"/>
          <w:sz w:val="28"/>
          <w:szCs w:val="28"/>
        </w:rPr>
        <w:t xml:space="preserve"> </w:t>
      </w:r>
      <w:r>
        <w:rPr>
          <w:rFonts w:ascii="Arial" w:eastAsia="仿宋" w:hAnsi="Arial" w:cs="Arial"/>
          <w:sz w:val="28"/>
          <w:szCs w:val="28"/>
        </w:rPr>
        <w:t>委托估价方提供的资料</w:t>
      </w:r>
    </w:p>
    <w:p w14:paraId="5B95E194" w14:textId="77777777" w:rsidR="0062768B" w:rsidRDefault="00136729">
      <w:pPr>
        <w:numPr>
          <w:ilvl w:val="1"/>
          <w:numId w:val="8"/>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《国有建设用地使用权出让地价评估委托书》</w:t>
      </w:r>
    </w:p>
    <w:p w14:paraId="1FFBC641" w14:textId="77777777" w:rsidR="0062768B" w:rsidRDefault="00136729">
      <w:pPr>
        <w:numPr>
          <w:ilvl w:val="1"/>
          <w:numId w:val="8"/>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《北京市规划和国土资源管理委员会建设项目规划条件（土地储备前期整理）》（</w:t>
      </w:r>
      <w:r>
        <w:rPr>
          <w:rFonts w:ascii="Arial" w:eastAsia="仿宋" w:hAnsi="Arial" w:cs="Arial"/>
          <w:sz w:val="28"/>
          <w:szCs w:val="28"/>
        </w:rPr>
        <w:t>2017</w:t>
      </w:r>
      <w:proofErr w:type="gramStart"/>
      <w:r>
        <w:rPr>
          <w:rFonts w:ascii="Arial" w:eastAsia="仿宋" w:hAnsi="Arial" w:cs="Arial"/>
          <w:sz w:val="28"/>
          <w:szCs w:val="28"/>
        </w:rPr>
        <w:t>规</w:t>
      </w:r>
      <w:proofErr w:type="gramEnd"/>
      <w:r>
        <w:rPr>
          <w:rFonts w:ascii="Arial" w:eastAsia="仿宋" w:hAnsi="Arial" w:cs="Arial"/>
          <w:sz w:val="28"/>
          <w:szCs w:val="28"/>
        </w:rPr>
        <w:t>（顺）条整字</w:t>
      </w:r>
      <w:r>
        <w:rPr>
          <w:rFonts w:ascii="Arial" w:eastAsia="仿宋" w:hAnsi="Arial" w:cs="Arial"/>
          <w:sz w:val="28"/>
          <w:szCs w:val="28"/>
        </w:rPr>
        <w:t>0006</w:t>
      </w:r>
      <w:r>
        <w:rPr>
          <w:rFonts w:ascii="Arial" w:eastAsia="仿宋" w:hAnsi="Arial" w:cs="Arial"/>
          <w:sz w:val="28"/>
          <w:szCs w:val="28"/>
        </w:rPr>
        <w:t>号）复印件</w:t>
      </w:r>
    </w:p>
    <w:p w14:paraId="18F17D23" w14:textId="77777777" w:rsidR="0062768B" w:rsidRDefault="00136729">
      <w:pPr>
        <w:numPr>
          <w:ilvl w:val="1"/>
          <w:numId w:val="8"/>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《北京市规划和自然资源会员会顺义分局关于顺义区高丽营镇夏县营村棚户区改造土地开发项目调整建设项目规划条件的复函》（京</w:t>
      </w:r>
      <w:proofErr w:type="gramStart"/>
      <w:r>
        <w:rPr>
          <w:rFonts w:ascii="Arial" w:eastAsia="仿宋" w:hAnsi="Arial" w:cs="Arial"/>
          <w:sz w:val="28"/>
          <w:szCs w:val="28"/>
        </w:rPr>
        <w:t>规自顺函【</w:t>
      </w:r>
      <w:r>
        <w:rPr>
          <w:rFonts w:ascii="Arial" w:eastAsia="仿宋" w:hAnsi="Arial" w:cs="Arial"/>
          <w:sz w:val="28"/>
          <w:szCs w:val="28"/>
        </w:rPr>
        <w:t>2019</w:t>
      </w:r>
      <w:r>
        <w:rPr>
          <w:rFonts w:ascii="Arial" w:eastAsia="仿宋" w:hAnsi="Arial" w:cs="Arial"/>
          <w:sz w:val="28"/>
          <w:szCs w:val="28"/>
        </w:rPr>
        <w:t>】</w:t>
      </w:r>
      <w:proofErr w:type="gramEnd"/>
      <w:r>
        <w:rPr>
          <w:rFonts w:ascii="Arial" w:eastAsia="仿宋" w:hAnsi="Arial" w:cs="Arial"/>
          <w:sz w:val="28"/>
          <w:szCs w:val="28"/>
        </w:rPr>
        <w:t>153</w:t>
      </w:r>
      <w:r>
        <w:rPr>
          <w:rFonts w:ascii="Arial" w:eastAsia="仿宋" w:hAnsi="Arial" w:cs="Arial"/>
          <w:sz w:val="28"/>
          <w:szCs w:val="28"/>
        </w:rPr>
        <w:t>号）复印件</w:t>
      </w:r>
    </w:p>
    <w:p w14:paraId="035A732C" w14:textId="77777777" w:rsidR="0062768B" w:rsidRDefault="00136729">
      <w:pPr>
        <w:numPr>
          <w:ilvl w:val="1"/>
          <w:numId w:val="8"/>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《北京市人民政府关于顺义区二〇二〇年度批次建设用地的批复》</w:t>
      </w:r>
      <w:r>
        <w:rPr>
          <w:rFonts w:ascii="Arial" w:eastAsia="仿宋" w:hAnsi="Arial" w:cs="Arial"/>
          <w:spacing w:val="-6"/>
          <w:sz w:val="28"/>
          <w:szCs w:val="28"/>
        </w:rPr>
        <w:t>（</w:t>
      </w:r>
      <w:proofErr w:type="gramStart"/>
      <w:r>
        <w:rPr>
          <w:rFonts w:ascii="Arial" w:eastAsia="仿宋" w:hAnsi="Arial" w:cs="Arial"/>
          <w:spacing w:val="-6"/>
          <w:sz w:val="28"/>
          <w:szCs w:val="28"/>
        </w:rPr>
        <w:t>京政地字</w:t>
      </w:r>
      <w:proofErr w:type="gramEnd"/>
      <w:r>
        <w:rPr>
          <w:rFonts w:ascii="Arial" w:eastAsia="仿宋" w:hAnsi="Arial" w:cs="Arial"/>
          <w:spacing w:val="-6"/>
          <w:sz w:val="28"/>
          <w:szCs w:val="28"/>
        </w:rPr>
        <w:t>【</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121</w:t>
      </w:r>
      <w:r>
        <w:rPr>
          <w:rFonts w:ascii="Arial" w:eastAsia="仿宋" w:hAnsi="Arial" w:cs="Arial"/>
          <w:spacing w:val="-6"/>
          <w:sz w:val="28"/>
          <w:szCs w:val="28"/>
        </w:rPr>
        <w:t>号）复印件</w:t>
      </w:r>
    </w:p>
    <w:p w14:paraId="40010F17" w14:textId="179EB3F7" w:rsidR="0062768B" w:rsidRDefault="00791FE1">
      <w:pPr>
        <w:numPr>
          <w:ilvl w:val="1"/>
          <w:numId w:val="8"/>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《北京市顺义区人民政府关于顺义区高丽营镇夏县营村棚户区改造</w:t>
      </w:r>
      <w:r>
        <w:rPr>
          <w:rFonts w:ascii="Arial" w:eastAsia="仿宋" w:hAnsi="Arial" w:cs="Arial"/>
          <w:sz w:val="28"/>
          <w:szCs w:val="28"/>
        </w:rPr>
        <w:lastRenderedPageBreak/>
        <w:t>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地块提请地价审核有关事宜的函》（</w:t>
      </w:r>
      <w:proofErr w:type="gramStart"/>
      <w:r>
        <w:rPr>
          <w:rFonts w:ascii="Arial" w:eastAsia="仿宋" w:hAnsi="Arial" w:cs="Arial"/>
          <w:sz w:val="28"/>
          <w:szCs w:val="28"/>
        </w:rPr>
        <w:t>顺政函</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151</w:t>
      </w:r>
      <w:r>
        <w:rPr>
          <w:rFonts w:ascii="Arial" w:eastAsia="仿宋" w:hAnsi="Arial" w:cs="Arial"/>
          <w:sz w:val="28"/>
          <w:szCs w:val="28"/>
        </w:rPr>
        <w:t>号）</w:t>
      </w:r>
      <w:r w:rsidR="00136729">
        <w:rPr>
          <w:rFonts w:ascii="Arial" w:eastAsia="仿宋" w:hAnsi="Arial" w:cs="Arial"/>
          <w:sz w:val="28"/>
          <w:szCs w:val="28"/>
        </w:rPr>
        <w:t>复印件</w:t>
      </w:r>
    </w:p>
    <w:p w14:paraId="03ACB05D" w14:textId="77777777" w:rsidR="0062768B" w:rsidRDefault="00136729">
      <w:pPr>
        <w:numPr>
          <w:ilvl w:val="1"/>
          <w:numId w:val="8"/>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《北京市规划和自然资源委员会顺义分局关于顺义区高丽营镇夏县营村棚户区改造土地开发项目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01-015-1</w:t>
      </w:r>
      <w:r>
        <w:rPr>
          <w:rFonts w:ascii="Arial" w:eastAsia="仿宋" w:hAnsi="Arial" w:cs="Arial"/>
          <w:sz w:val="28"/>
          <w:szCs w:val="28"/>
        </w:rPr>
        <w:t>、</w:t>
      </w:r>
      <w:r>
        <w:rPr>
          <w:rFonts w:ascii="Arial" w:eastAsia="仿宋" w:hAnsi="Arial" w:cs="Arial"/>
          <w:sz w:val="28"/>
          <w:szCs w:val="28"/>
        </w:rPr>
        <w:t>01-015-2</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w:t>
      </w:r>
      <w:r>
        <w:rPr>
          <w:rFonts w:ascii="Arial" w:eastAsia="仿宋" w:hAnsi="Arial" w:cs="Arial"/>
          <w:sz w:val="28"/>
          <w:szCs w:val="28"/>
        </w:rPr>
        <w:t>01-025</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等二类居住用地、托幼用地、商业用地地块</w:t>
      </w:r>
      <w:r>
        <w:rPr>
          <w:rFonts w:ascii="Arial" w:eastAsia="仿宋" w:hAnsi="Arial" w:cs="Arial"/>
          <w:sz w:val="28"/>
          <w:szCs w:val="28"/>
        </w:rPr>
        <w:t>“</w:t>
      </w:r>
      <w:r>
        <w:rPr>
          <w:rFonts w:ascii="Arial" w:eastAsia="仿宋" w:hAnsi="Arial" w:cs="Arial"/>
          <w:sz w:val="28"/>
          <w:szCs w:val="28"/>
        </w:rPr>
        <w:t>多规合一</w:t>
      </w:r>
      <w:r>
        <w:rPr>
          <w:rFonts w:ascii="Arial" w:eastAsia="仿宋" w:hAnsi="Arial" w:cs="Arial"/>
          <w:sz w:val="28"/>
          <w:szCs w:val="28"/>
        </w:rPr>
        <w:t>”</w:t>
      </w:r>
      <w:r>
        <w:rPr>
          <w:rFonts w:ascii="Arial" w:eastAsia="仿宋" w:hAnsi="Arial" w:cs="Arial"/>
          <w:sz w:val="28"/>
          <w:szCs w:val="28"/>
        </w:rPr>
        <w:t>协同平台供地审核意见的函》（京</w:t>
      </w:r>
      <w:proofErr w:type="gramStart"/>
      <w:r>
        <w:rPr>
          <w:rFonts w:ascii="Arial" w:eastAsia="仿宋" w:hAnsi="Arial" w:cs="Arial"/>
          <w:sz w:val="28"/>
          <w:szCs w:val="28"/>
        </w:rPr>
        <w:t>规</w:t>
      </w:r>
      <w:proofErr w:type="gramEnd"/>
      <w:r>
        <w:rPr>
          <w:rFonts w:ascii="Arial" w:eastAsia="仿宋" w:hAnsi="Arial" w:cs="Arial"/>
          <w:sz w:val="28"/>
          <w:szCs w:val="28"/>
        </w:rPr>
        <w:t>自（顺）</w:t>
      </w:r>
      <w:proofErr w:type="gramStart"/>
      <w:r>
        <w:rPr>
          <w:rFonts w:ascii="Arial" w:eastAsia="仿宋" w:hAnsi="Arial" w:cs="Arial"/>
          <w:sz w:val="28"/>
          <w:szCs w:val="28"/>
        </w:rPr>
        <w:t>供审函</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0004</w:t>
      </w:r>
      <w:r>
        <w:rPr>
          <w:rFonts w:ascii="Arial" w:eastAsia="仿宋" w:hAnsi="Arial" w:cs="Arial"/>
          <w:sz w:val="28"/>
          <w:szCs w:val="28"/>
        </w:rPr>
        <w:t>号）及规划意见附图复印件</w:t>
      </w:r>
    </w:p>
    <w:p w14:paraId="12F68C72" w14:textId="77777777" w:rsidR="0062768B" w:rsidRDefault="00136729">
      <w:pPr>
        <w:numPr>
          <w:ilvl w:val="1"/>
          <w:numId w:val="8"/>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《建设工程规划用地测量成果报告书》（</w:t>
      </w:r>
      <w:r>
        <w:rPr>
          <w:rFonts w:ascii="Arial" w:eastAsia="仿宋" w:hAnsi="Arial" w:cs="Arial"/>
          <w:sz w:val="28"/>
          <w:szCs w:val="28"/>
        </w:rPr>
        <w:t>2021</w:t>
      </w:r>
      <w:proofErr w:type="gramStart"/>
      <w:r>
        <w:rPr>
          <w:rFonts w:ascii="Arial" w:eastAsia="仿宋" w:hAnsi="Arial" w:cs="Arial"/>
          <w:sz w:val="28"/>
          <w:szCs w:val="28"/>
        </w:rPr>
        <w:t>规</w:t>
      </w:r>
      <w:proofErr w:type="gramEnd"/>
      <w:r>
        <w:rPr>
          <w:rFonts w:ascii="Arial" w:eastAsia="仿宋" w:hAnsi="Arial" w:cs="Arial"/>
          <w:sz w:val="28"/>
          <w:szCs w:val="28"/>
        </w:rPr>
        <w:t>自（顺）测字</w:t>
      </w:r>
      <w:r>
        <w:rPr>
          <w:rFonts w:ascii="Arial" w:eastAsia="仿宋" w:hAnsi="Arial" w:cs="Arial"/>
          <w:sz w:val="28"/>
          <w:szCs w:val="28"/>
        </w:rPr>
        <w:t>0008</w:t>
      </w:r>
      <w:r>
        <w:rPr>
          <w:rFonts w:ascii="Arial" w:eastAsia="仿宋" w:hAnsi="Arial" w:cs="Arial"/>
          <w:sz w:val="28"/>
          <w:szCs w:val="28"/>
        </w:rPr>
        <w:t>号）复印件</w:t>
      </w:r>
    </w:p>
    <w:p w14:paraId="1776AEC8" w14:textId="77777777" w:rsidR="0062768B" w:rsidRDefault="00136729">
      <w:pPr>
        <w:numPr>
          <w:ilvl w:val="1"/>
          <w:numId w:val="8"/>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地块实物补偿内容的说明》复印件</w:t>
      </w:r>
    </w:p>
    <w:p w14:paraId="3F1BFF6E" w14:textId="77777777" w:rsidR="0062768B" w:rsidRDefault="00136729">
      <w:pPr>
        <w:numPr>
          <w:ilvl w:val="1"/>
          <w:numId w:val="8"/>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地块市政条件的说明》复印件</w:t>
      </w:r>
    </w:p>
    <w:p w14:paraId="3022F175"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（四）受托估价方掌握的有关资料和土地估价专业评估师实地勘察、调查所获取的资料</w:t>
      </w:r>
    </w:p>
    <w:p w14:paraId="4795EED1"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估价对象所在位置示意图</w:t>
      </w:r>
    </w:p>
    <w:p w14:paraId="5DF7B58B"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估价对象实地勘察相关照片</w:t>
      </w:r>
    </w:p>
    <w:p w14:paraId="02FC8BBD"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区域因素及个别因素状况等资料</w:t>
      </w:r>
    </w:p>
    <w:p w14:paraId="2D8976E7"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 w:hAnsi="Arial" w:cs="Arial"/>
          <w:sz w:val="28"/>
          <w:szCs w:val="28"/>
        </w:rPr>
        <w:t>4.</w:t>
      </w:r>
      <w:r>
        <w:rPr>
          <w:rFonts w:ascii="Arial" w:eastAsia="仿宋" w:hAnsi="Arial" w:cs="Arial"/>
          <w:sz w:val="28"/>
          <w:szCs w:val="28"/>
        </w:rPr>
        <w:t>土地估价专业评估师现场调查收集的其他相关资料</w:t>
      </w:r>
    </w:p>
    <w:p w14:paraId="0DA339F7" w14:textId="77777777" w:rsidR="0062768B" w:rsidRDefault="0062768B">
      <w:pPr>
        <w:spacing w:line="300" w:lineRule="auto"/>
        <w:jc w:val="both"/>
        <w:rPr>
          <w:rFonts w:ascii="Arial" w:eastAsia="仿宋_GB2312" w:hAnsi="Arial" w:cs="Arial"/>
          <w:sz w:val="28"/>
        </w:rPr>
      </w:pPr>
    </w:p>
    <w:p w14:paraId="49F36C22" w14:textId="77777777" w:rsidR="0062768B" w:rsidRDefault="00136729">
      <w:pPr>
        <w:spacing w:line="300" w:lineRule="auto"/>
        <w:outlineLvl w:val="1"/>
        <w:rPr>
          <w:rFonts w:ascii="Arial" w:eastAsia="仿宋_GB2312" w:hAnsi="Arial" w:cs="Arial"/>
          <w:b/>
          <w:sz w:val="28"/>
        </w:rPr>
      </w:pPr>
      <w:bookmarkStart w:id="175" w:name="_Toc138063008"/>
      <w:bookmarkStart w:id="176" w:name="_Toc132016737"/>
      <w:r>
        <w:rPr>
          <w:rFonts w:ascii="Arial" w:eastAsia="仿宋_GB2312" w:hAnsi="Arial" w:cs="Arial"/>
          <w:b/>
          <w:sz w:val="28"/>
        </w:rPr>
        <w:t>二、土地估价</w:t>
      </w:r>
      <w:bookmarkEnd w:id="168"/>
      <w:bookmarkEnd w:id="169"/>
      <w:bookmarkEnd w:id="170"/>
      <w:bookmarkEnd w:id="171"/>
      <w:bookmarkEnd w:id="172"/>
      <w:bookmarkEnd w:id="173"/>
      <w:bookmarkEnd w:id="174"/>
      <w:bookmarkEnd w:id="175"/>
      <w:bookmarkEnd w:id="176"/>
    </w:p>
    <w:p w14:paraId="1A881F0F" w14:textId="77777777" w:rsidR="0062768B" w:rsidRDefault="00136729">
      <w:pPr>
        <w:kinsoku w:val="0"/>
        <w:overflowPunct w:val="0"/>
        <w:autoSpaceDE w:val="0"/>
        <w:autoSpaceDN w:val="0"/>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ascii="Arial" w:eastAsia="仿宋_GB2312" w:hAnsi="Arial" w:cs="Arial"/>
          <w:sz w:val="28"/>
          <w:szCs w:val="28"/>
        </w:rPr>
        <w:t xml:space="preserve">: </w:t>
      </w:r>
      <w:r>
        <w:rPr>
          <w:rFonts w:ascii="Arial" w:eastAsia="仿宋_GB2312" w:hAnsi="Arial" w:cs="Arial"/>
          <w:sz w:val="28"/>
          <w:szCs w:val="28"/>
        </w:rPr>
        <w:t>替代原则、最有效利用原则、预期收益原则、供需原则、贡献原则、价值主导原则、</w:t>
      </w:r>
      <w:r>
        <w:rPr>
          <w:rFonts w:ascii="Arial" w:eastAsia="仿宋_GB2312" w:hAnsi="Arial" w:cs="Arial"/>
          <w:sz w:val="28"/>
          <w:szCs w:val="28"/>
        </w:rPr>
        <w:lastRenderedPageBreak/>
        <w:t>审慎原则、公开市场原则</w:t>
      </w:r>
      <w:r>
        <w:rPr>
          <w:rFonts w:ascii="Arial" w:eastAsia="仿宋_GB2312" w:hAnsi="Arial" w:cs="Arial" w:hint="eastAsia"/>
          <w:sz w:val="28"/>
          <w:szCs w:val="28"/>
        </w:rPr>
        <w:t>、</w:t>
      </w:r>
      <w:r>
        <w:rPr>
          <w:rFonts w:ascii="Arial" w:eastAsia="仿宋_GB2312" w:hAnsi="Arial" w:cs="Arial"/>
          <w:sz w:val="28"/>
          <w:szCs w:val="28"/>
        </w:rPr>
        <w:t>发现并模拟市场价格的原则</w:t>
      </w:r>
      <w:r>
        <w:rPr>
          <w:rFonts w:ascii="Arial" w:eastAsia="仿宋_GB2312" w:hAnsi="Arial" w:cs="Arial" w:hint="eastAsia"/>
          <w:sz w:val="28"/>
          <w:szCs w:val="28"/>
        </w:rPr>
        <w:t>、</w:t>
      </w:r>
      <w:r>
        <w:rPr>
          <w:rFonts w:ascii="Arial" w:eastAsia="仿宋_GB2312" w:hAnsi="Arial" w:cs="Arial"/>
          <w:sz w:val="28"/>
          <w:szCs w:val="28"/>
        </w:rPr>
        <w:t>区分市场定价与政策优惠的原则</w:t>
      </w:r>
      <w:r>
        <w:rPr>
          <w:rFonts w:ascii="Arial" w:eastAsia="仿宋_GB2312" w:hAnsi="Arial" w:cs="Arial" w:hint="eastAsia"/>
          <w:sz w:val="28"/>
          <w:szCs w:val="28"/>
        </w:rPr>
        <w:t>、</w:t>
      </w:r>
      <w:r>
        <w:rPr>
          <w:rFonts w:ascii="Arial" w:eastAsia="仿宋_GB2312" w:hAnsi="Arial" w:cs="Arial"/>
          <w:sz w:val="28"/>
          <w:szCs w:val="28"/>
        </w:rPr>
        <w:t>区位效用为主兼顾用途差异的原则等。</w:t>
      </w:r>
    </w:p>
    <w:p w14:paraId="731C3998"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替代原则</w:t>
      </w:r>
    </w:p>
    <w:p w14:paraId="1CDA706F" w14:textId="77777777" w:rsidR="0062768B" w:rsidRDefault="00136729">
      <w:pPr>
        <w:kinsoku w:val="0"/>
        <w:overflowPunct w:val="0"/>
        <w:autoSpaceDE w:val="0"/>
        <w:autoSpaceDN w:val="0"/>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031821AD" w14:textId="77777777" w:rsidR="0062768B" w:rsidRDefault="00136729">
      <w:pPr>
        <w:kinsoku w:val="0"/>
        <w:overflowPunct w:val="0"/>
        <w:autoSpaceDE w:val="0"/>
        <w:autoSpaceDN w:val="0"/>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4FD0AB09" w14:textId="77777777" w:rsidR="0062768B" w:rsidRDefault="00136729">
      <w:pPr>
        <w:kinsoku w:val="0"/>
        <w:overflowPunct w:val="0"/>
        <w:autoSpaceDE w:val="0"/>
        <w:autoSpaceDN w:val="0"/>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替代原则可以概括为三点：（</w:t>
      </w:r>
      <w:r>
        <w:rPr>
          <w:rFonts w:ascii="Arial" w:eastAsia="仿宋_GB2312" w:hAnsi="Arial" w:cs="Arial"/>
          <w:sz w:val="28"/>
          <w:szCs w:val="28"/>
        </w:rPr>
        <w:t>1</w:t>
      </w:r>
      <w:r>
        <w:rPr>
          <w:rFonts w:ascii="Arial" w:eastAsia="仿宋_GB2312" w:hAnsi="Arial" w:cs="Arial"/>
          <w:sz w:val="28"/>
          <w:szCs w:val="28"/>
        </w:rPr>
        <w:t>）土地价格水平由具有相同性质的替代</w:t>
      </w:r>
      <w:proofErr w:type="gramStart"/>
      <w:r>
        <w:rPr>
          <w:rFonts w:ascii="Arial" w:eastAsia="仿宋_GB2312" w:hAnsi="Arial" w:cs="Arial"/>
          <w:sz w:val="28"/>
          <w:szCs w:val="28"/>
        </w:rPr>
        <w:t>性土地</w:t>
      </w:r>
      <w:proofErr w:type="gramEnd"/>
      <w:r>
        <w:rPr>
          <w:rFonts w:ascii="Arial" w:eastAsia="仿宋_GB2312" w:hAnsi="Arial" w:cs="Arial"/>
          <w:sz w:val="28"/>
          <w:szCs w:val="28"/>
        </w:rPr>
        <w:t>的价格所决定；（</w:t>
      </w:r>
      <w:r>
        <w:rPr>
          <w:rFonts w:ascii="Arial" w:eastAsia="仿宋_GB2312" w:hAnsi="Arial" w:cs="Arial"/>
          <w:sz w:val="28"/>
          <w:szCs w:val="28"/>
        </w:rPr>
        <w:t>2</w:t>
      </w:r>
      <w:r>
        <w:rPr>
          <w:rFonts w:ascii="Arial" w:eastAsia="仿宋_GB2312" w:hAnsi="Arial" w:cs="Arial"/>
          <w:sz w:val="28"/>
          <w:szCs w:val="28"/>
        </w:rPr>
        <w:t>）土地价格水平是由最了解行情的买卖者按市场交易实例相互比较后决定；（</w:t>
      </w:r>
      <w:r>
        <w:rPr>
          <w:rFonts w:ascii="Arial" w:eastAsia="仿宋_GB2312" w:hAnsi="Arial" w:cs="Arial"/>
          <w:sz w:val="28"/>
          <w:szCs w:val="28"/>
        </w:rPr>
        <w:t>3</w:t>
      </w:r>
      <w:r>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133E532A"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替代原则的适用范围广，是本次估价基准地价系数修正法、剩余法中嵌套的市场比较法的理论基础。</w:t>
      </w:r>
    </w:p>
    <w:p w14:paraId="59092309"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最有效利用原则</w:t>
      </w:r>
    </w:p>
    <w:p w14:paraId="4E91F3A0"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503C156B"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预期收益原则</w:t>
      </w:r>
    </w:p>
    <w:p w14:paraId="2C0E90F9"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w:t>
      </w:r>
      <w:r>
        <w:rPr>
          <w:rFonts w:ascii="Arial" w:eastAsia="仿宋_GB2312" w:hAnsi="Arial" w:cs="Arial"/>
          <w:sz w:val="28"/>
        </w:rPr>
        <w:lastRenderedPageBreak/>
        <w:t>来的收益或效用后进行投资的。这就要求估价者必须了解过去的收益状况，并对土地市场现状、发展趋势、政治经济形势及政策规定对土地市场的影响进行细致分析，预测以</w:t>
      </w:r>
      <w:proofErr w:type="gramStart"/>
      <w:r>
        <w:rPr>
          <w:rFonts w:ascii="Arial" w:eastAsia="仿宋_GB2312" w:hAnsi="Arial" w:cs="Arial"/>
          <w:sz w:val="28"/>
        </w:rPr>
        <w:t>待估宗</w:t>
      </w:r>
      <w:proofErr w:type="gramEnd"/>
      <w:r>
        <w:rPr>
          <w:rFonts w:ascii="Arial" w:eastAsia="仿宋_GB2312" w:hAnsi="Arial" w:cs="Arial"/>
          <w:sz w:val="28"/>
        </w:rPr>
        <w:t>地在正常利用条件下的未来客观有效的预期收益。本次评估在运用剩余法计算估价对象土地价格时，就是以该原则为原理。</w:t>
      </w:r>
    </w:p>
    <w:p w14:paraId="45DC77E6"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sz w:val="28"/>
        </w:rPr>
        <w:t>供需原则</w:t>
      </w:r>
    </w:p>
    <w:p w14:paraId="35F08B6C"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ascii="Arial" w:eastAsia="仿宋_GB2312" w:hAnsi="Arial" w:cs="Arial" w:hint="eastAsia"/>
          <w:sz w:val="28"/>
        </w:rPr>
        <w:t>顺义区高丽营镇</w:t>
      </w:r>
      <w:r>
        <w:rPr>
          <w:rFonts w:ascii="Arial" w:eastAsia="仿宋_GB2312" w:hAnsi="Arial" w:cs="Arial"/>
          <w:sz w:val="28"/>
        </w:rPr>
        <w:t>，土地用途为</w:t>
      </w:r>
      <w:r>
        <w:rPr>
          <w:rFonts w:ascii="Arial" w:eastAsia="仿宋_GB2312" w:hAnsi="Arial" w:cs="Arial" w:hint="eastAsia"/>
          <w:sz w:val="28"/>
        </w:rPr>
        <w:t>住宅、商业（其他商服）、公共服务</w:t>
      </w:r>
      <w:r>
        <w:rPr>
          <w:rFonts w:ascii="Arial" w:eastAsia="仿宋_GB2312" w:hAnsi="Arial" w:cs="Arial"/>
          <w:sz w:val="28"/>
        </w:rPr>
        <w:t>，土地性质为出让国有建设用地使用权。估价对象所处区域内土地资产存在较大增值潜力。评估中剩余法的运用主要考虑此项原则。</w:t>
      </w:r>
    </w:p>
    <w:p w14:paraId="6821720B"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sz w:val="28"/>
        </w:rPr>
        <w:t>贡献原则</w:t>
      </w:r>
    </w:p>
    <w:p w14:paraId="6620F898"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9EDCEF1"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rPr>
        <w:t>6</w:t>
      </w:r>
      <w:r>
        <w:rPr>
          <w:rFonts w:ascii="Arial" w:eastAsia="仿宋_GB2312" w:hAnsi="Arial" w:cs="Arial"/>
          <w:sz w:val="28"/>
          <w:szCs w:val="28"/>
        </w:rPr>
        <w:t>.</w:t>
      </w:r>
      <w:r>
        <w:rPr>
          <w:rFonts w:ascii="Arial" w:eastAsia="仿宋_GB2312" w:hAnsi="Arial" w:cs="Arial"/>
          <w:sz w:val="28"/>
          <w:szCs w:val="28"/>
        </w:rPr>
        <w:t>价值主导原则</w:t>
      </w:r>
    </w:p>
    <w:p w14:paraId="5328A05B"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价值主导原则是指</w:t>
      </w:r>
      <w:r>
        <w:rPr>
          <w:rFonts w:ascii="Arial" w:eastAsia="仿宋_GB2312" w:hAnsi="Arial" w:cs="Arial"/>
          <w:sz w:val="28"/>
        </w:rPr>
        <w:t>土地</w:t>
      </w:r>
      <w:r>
        <w:rPr>
          <w:rFonts w:ascii="Arial" w:eastAsia="仿宋_GB2312" w:hAnsi="Arial" w:cs="Arial"/>
          <w:sz w:val="28"/>
          <w:szCs w:val="28"/>
        </w:rPr>
        <w:t>综合质量优劣是对土地价格产生影响的主要因素。</w:t>
      </w:r>
    </w:p>
    <w:p w14:paraId="589CB4B9"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0ECE0C1B"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估价对象位于</w:t>
      </w:r>
      <w:r>
        <w:rPr>
          <w:rFonts w:ascii="Arial" w:eastAsia="仿宋_GB2312" w:hAnsi="Arial" w:cs="Arial" w:hint="eastAsia"/>
          <w:sz w:val="28"/>
        </w:rPr>
        <w:t>顺义区高丽营镇</w:t>
      </w:r>
      <w:r>
        <w:rPr>
          <w:rFonts w:ascii="Arial" w:eastAsia="仿宋_GB2312" w:hAnsi="Arial" w:cs="Arial"/>
          <w:sz w:val="28"/>
          <w:szCs w:val="28"/>
        </w:rPr>
        <w:t>，属于</w:t>
      </w:r>
      <w:r>
        <w:rPr>
          <w:rFonts w:ascii="Arial" w:eastAsia="仿宋_GB2312" w:hAnsi="Arial" w:cs="Arial"/>
          <w:sz w:val="28"/>
        </w:rPr>
        <w:t>住宅类</w:t>
      </w:r>
      <w:r>
        <w:rPr>
          <w:rFonts w:ascii="Arial" w:eastAsia="仿宋_GB2312" w:hAnsi="Arial" w:cs="Arial" w:hint="eastAsia"/>
          <w:sz w:val="28"/>
        </w:rPr>
        <w:t>九级</w:t>
      </w:r>
      <w:r>
        <w:rPr>
          <w:rFonts w:ascii="Arial" w:eastAsia="仿宋_GB2312" w:hAnsi="Arial" w:cs="Arial"/>
          <w:sz w:val="28"/>
        </w:rPr>
        <w:t>IX-</w:t>
      </w:r>
      <w:r>
        <w:rPr>
          <w:rFonts w:ascii="Arial" w:eastAsia="仿宋_GB2312" w:hAnsi="Arial" w:cs="Arial" w:hint="eastAsia"/>
          <w:sz w:val="28"/>
        </w:rPr>
        <w:t>顺</w:t>
      </w:r>
      <w:r>
        <w:rPr>
          <w:rFonts w:ascii="Arial" w:eastAsia="仿宋_GB2312" w:hAnsi="Arial" w:cs="Arial" w:hint="eastAsia"/>
          <w:sz w:val="28"/>
        </w:rPr>
        <w:t>5</w:t>
      </w:r>
      <w:r>
        <w:rPr>
          <w:rFonts w:ascii="Arial" w:eastAsia="仿宋_GB2312" w:hAnsi="Arial" w:cs="Arial" w:hint="eastAsia"/>
          <w:sz w:val="28"/>
        </w:rPr>
        <w:t>区片</w:t>
      </w:r>
      <w:r>
        <w:rPr>
          <w:rFonts w:ascii="Arial" w:eastAsia="仿宋_GB2312" w:hAnsi="Arial" w:cs="Arial"/>
          <w:sz w:val="28"/>
        </w:rPr>
        <w:t>、</w:t>
      </w:r>
      <w:proofErr w:type="gramStart"/>
      <w:r>
        <w:rPr>
          <w:rFonts w:ascii="Arial" w:eastAsia="仿宋_GB2312" w:hAnsi="Arial" w:cs="Arial"/>
          <w:sz w:val="28"/>
        </w:rPr>
        <w:t>商</w:t>
      </w:r>
      <w:r>
        <w:rPr>
          <w:rFonts w:ascii="Arial" w:eastAsia="仿宋_GB2312" w:hAnsi="Arial" w:cs="Arial" w:hint="eastAsia"/>
          <w:sz w:val="28"/>
        </w:rPr>
        <w:t>服</w:t>
      </w:r>
      <w:r>
        <w:rPr>
          <w:rFonts w:ascii="Arial" w:eastAsia="仿宋_GB2312" w:hAnsi="Arial" w:cs="Arial"/>
          <w:sz w:val="28"/>
        </w:rPr>
        <w:t>类</w:t>
      </w:r>
      <w:r>
        <w:rPr>
          <w:rFonts w:ascii="Arial" w:eastAsia="仿宋_GB2312" w:hAnsi="Arial" w:cs="Arial" w:hint="eastAsia"/>
          <w:sz w:val="28"/>
        </w:rPr>
        <w:t>九级</w:t>
      </w:r>
      <w:proofErr w:type="gramEnd"/>
      <w:r>
        <w:rPr>
          <w:rFonts w:ascii="Arial" w:eastAsia="仿宋_GB2312" w:hAnsi="Arial" w:cs="Arial"/>
          <w:sz w:val="28"/>
        </w:rPr>
        <w:t>IX-</w:t>
      </w:r>
      <w:r>
        <w:rPr>
          <w:rFonts w:ascii="Arial" w:eastAsia="仿宋_GB2312" w:hAnsi="Arial" w:cs="Arial" w:hint="eastAsia"/>
          <w:sz w:val="28"/>
        </w:rPr>
        <w:t>顺</w:t>
      </w:r>
      <w:r>
        <w:rPr>
          <w:rFonts w:ascii="Arial" w:eastAsia="仿宋_GB2312" w:hAnsi="Arial" w:cs="Arial" w:hint="eastAsia"/>
          <w:sz w:val="28"/>
        </w:rPr>
        <w:t>5</w:t>
      </w:r>
      <w:r>
        <w:rPr>
          <w:rFonts w:ascii="Arial" w:eastAsia="仿宋_GB2312" w:hAnsi="Arial" w:cs="Arial" w:hint="eastAsia"/>
          <w:sz w:val="28"/>
        </w:rPr>
        <w:t>区片</w:t>
      </w:r>
      <w:r>
        <w:rPr>
          <w:rFonts w:ascii="Arial" w:eastAsia="仿宋_GB2312" w:hAnsi="Arial" w:cs="Arial"/>
          <w:sz w:val="28"/>
        </w:rPr>
        <w:t>、</w:t>
      </w:r>
      <w:r>
        <w:rPr>
          <w:rFonts w:ascii="Arial" w:eastAsia="仿宋_GB2312" w:hAnsi="Arial" w:cs="Arial" w:hint="eastAsia"/>
          <w:sz w:val="28"/>
        </w:rPr>
        <w:t>公共</w:t>
      </w:r>
      <w:r>
        <w:rPr>
          <w:rFonts w:ascii="Arial" w:eastAsia="仿宋_GB2312" w:hAnsi="Arial" w:cs="Arial"/>
          <w:sz w:val="28"/>
        </w:rPr>
        <w:t>服务类</w:t>
      </w:r>
      <w:r>
        <w:rPr>
          <w:rFonts w:ascii="Arial" w:eastAsia="仿宋_GB2312" w:hAnsi="Arial" w:cs="Arial" w:hint="eastAsia"/>
          <w:sz w:val="28"/>
        </w:rPr>
        <w:t>九级</w:t>
      </w:r>
      <w:r>
        <w:rPr>
          <w:rFonts w:ascii="Arial" w:eastAsia="仿宋_GB2312" w:hAnsi="Arial" w:cs="Arial"/>
          <w:sz w:val="28"/>
        </w:rPr>
        <w:t>IX-</w:t>
      </w:r>
      <w:r>
        <w:rPr>
          <w:rFonts w:ascii="Arial" w:eastAsia="仿宋_GB2312" w:hAnsi="Arial" w:cs="Arial" w:hint="eastAsia"/>
          <w:sz w:val="28"/>
        </w:rPr>
        <w:t>顺</w:t>
      </w:r>
      <w:r>
        <w:rPr>
          <w:rFonts w:ascii="Arial" w:eastAsia="仿宋_GB2312" w:hAnsi="Arial" w:cs="Arial" w:hint="eastAsia"/>
          <w:sz w:val="28"/>
        </w:rPr>
        <w:t>5</w:t>
      </w:r>
      <w:r>
        <w:rPr>
          <w:rFonts w:ascii="Arial" w:eastAsia="仿宋_GB2312" w:hAnsi="Arial" w:cs="Arial" w:hint="eastAsia"/>
          <w:sz w:val="28"/>
        </w:rPr>
        <w:t>区片</w:t>
      </w:r>
      <w:r>
        <w:rPr>
          <w:rFonts w:ascii="Arial" w:eastAsia="仿宋_GB2312" w:hAnsi="Arial" w:cs="Arial"/>
          <w:sz w:val="28"/>
          <w:szCs w:val="28"/>
        </w:rPr>
        <w:t>，估价中土地估价专业评估师是根据现场查勘，并依据《城镇土地分等定级规程》对估价对象进行综合判断。</w:t>
      </w:r>
    </w:p>
    <w:p w14:paraId="11B314B2"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sz w:val="28"/>
          <w:szCs w:val="28"/>
        </w:rPr>
        <w:t>.</w:t>
      </w:r>
      <w:r>
        <w:rPr>
          <w:rFonts w:ascii="Arial" w:eastAsia="仿宋_GB2312" w:hAnsi="Arial" w:cs="Arial"/>
          <w:sz w:val="28"/>
          <w:szCs w:val="28"/>
        </w:rPr>
        <w:t>审慎原则</w:t>
      </w:r>
      <w:r>
        <w:rPr>
          <w:rFonts w:ascii="Arial" w:eastAsia="仿宋_GB2312" w:hAnsi="Arial" w:cs="Arial"/>
          <w:sz w:val="28"/>
          <w:szCs w:val="28"/>
        </w:rPr>
        <w:t xml:space="preserve"> </w:t>
      </w:r>
    </w:p>
    <w:p w14:paraId="1E2D9C93"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lastRenderedPageBreak/>
        <w:t>审慎原则是指在评估中确定相关参数和结果时，应分析并充分考虑土地市场运行状况、有关行业发展状况，以及存在的风险。在不确定性条件下做出估计和判断时要保持一定程度的谨慎，以便</w:t>
      </w:r>
      <w:proofErr w:type="gramStart"/>
      <w:r>
        <w:rPr>
          <w:rFonts w:ascii="Arial" w:eastAsia="仿宋_GB2312" w:hAnsi="Arial" w:cs="Arial"/>
          <w:sz w:val="28"/>
          <w:szCs w:val="28"/>
        </w:rPr>
        <w:t>不</w:t>
      </w:r>
      <w:proofErr w:type="gramEnd"/>
      <w:r>
        <w:rPr>
          <w:rFonts w:ascii="Arial" w:eastAsia="仿宋_GB2312" w:hAnsi="Arial" w:cs="Arial"/>
          <w:sz w:val="28"/>
          <w:szCs w:val="28"/>
        </w:rPr>
        <w:t>高估也不低估估价对象的价值。</w:t>
      </w:r>
    </w:p>
    <w:p w14:paraId="56DC77D0"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62ED3A2E"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sz w:val="28"/>
          <w:szCs w:val="28"/>
        </w:rPr>
        <w:t>.</w:t>
      </w:r>
      <w:r>
        <w:rPr>
          <w:rFonts w:ascii="Arial" w:eastAsia="仿宋_GB2312" w:hAnsi="Arial" w:cs="Arial"/>
          <w:sz w:val="28"/>
          <w:szCs w:val="28"/>
        </w:rPr>
        <w:t>公开市场原则</w:t>
      </w:r>
    </w:p>
    <w:p w14:paraId="41DDEBD3"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公开市场原则是指评估结果在公平、公正、公开的土地市场上可实现。</w:t>
      </w:r>
    </w:p>
    <w:p w14:paraId="79ACD3D1"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646F4C7"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9</w:t>
      </w:r>
      <w:r>
        <w:rPr>
          <w:rFonts w:ascii="Arial" w:eastAsia="仿宋_GB2312" w:hAnsi="Arial" w:cs="Arial"/>
          <w:sz w:val="28"/>
          <w:szCs w:val="28"/>
        </w:rPr>
        <w:t>.</w:t>
      </w:r>
      <w:r>
        <w:rPr>
          <w:rFonts w:ascii="Arial" w:eastAsia="仿宋_GB2312" w:hAnsi="Arial" w:cs="Arial" w:hint="eastAsia"/>
          <w:sz w:val="28"/>
          <w:szCs w:val="28"/>
        </w:rPr>
        <w:t>其他原则</w:t>
      </w:r>
    </w:p>
    <w:p w14:paraId="1B29803D"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评估公共管理与公共服务用地价格</w:t>
      </w:r>
      <w:r>
        <w:rPr>
          <w:rFonts w:ascii="Arial" w:eastAsia="仿宋_GB2312" w:hAnsi="Arial" w:cs="Arial" w:hint="eastAsia"/>
          <w:sz w:val="28"/>
          <w:szCs w:val="28"/>
        </w:rPr>
        <w:t>，</w:t>
      </w:r>
      <w:r>
        <w:rPr>
          <w:rFonts w:ascii="Arial" w:eastAsia="仿宋_GB2312" w:hAnsi="Arial" w:cs="Arial"/>
          <w:sz w:val="28"/>
          <w:szCs w:val="28"/>
        </w:rPr>
        <w:t>首先应考虑发现并模拟市场价格原则</w:t>
      </w:r>
      <w:r>
        <w:rPr>
          <w:rFonts w:ascii="Arial" w:eastAsia="仿宋_GB2312" w:hAnsi="Arial" w:cs="Arial" w:hint="eastAsia"/>
          <w:sz w:val="28"/>
          <w:szCs w:val="28"/>
        </w:rPr>
        <w:t>，</w:t>
      </w:r>
      <w:r>
        <w:rPr>
          <w:rFonts w:ascii="Arial" w:eastAsia="仿宋_GB2312" w:hAnsi="Arial" w:cs="Arial"/>
          <w:sz w:val="28"/>
          <w:szCs w:val="28"/>
        </w:rPr>
        <w:t>评估该类用地的正常市场价格</w:t>
      </w:r>
      <w:r>
        <w:rPr>
          <w:rFonts w:ascii="Arial" w:eastAsia="仿宋_GB2312" w:hAnsi="Arial" w:cs="Arial" w:hint="eastAsia"/>
          <w:sz w:val="28"/>
          <w:szCs w:val="28"/>
        </w:rPr>
        <w:t>。</w:t>
      </w:r>
      <w:r>
        <w:rPr>
          <w:rFonts w:ascii="Arial" w:eastAsia="仿宋_GB2312" w:hAnsi="Arial" w:cs="Arial"/>
          <w:sz w:val="28"/>
          <w:szCs w:val="28"/>
        </w:rPr>
        <w:t>在特定市场情况下</w:t>
      </w:r>
      <w:r>
        <w:rPr>
          <w:rFonts w:ascii="Arial" w:eastAsia="仿宋_GB2312" w:hAnsi="Arial" w:cs="Arial" w:hint="eastAsia"/>
          <w:sz w:val="28"/>
          <w:szCs w:val="28"/>
        </w:rPr>
        <w:t>，</w:t>
      </w:r>
      <w:r>
        <w:rPr>
          <w:rFonts w:ascii="Arial" w:eastAsia="仿宋_GB2312" w:hAnsi="Arial" w:cs="Arial"/>
          <w:sz w:val="28"/>
          <w:szCs w:val="28"/>
        </w:rPr>
        <w:t>可根据国家及北京市的相关法规与政策</w:t>
      </w:r>
      <w:r>
        <w:rPr>
          <w:rFonts w:ascii="Arial" w:eastAsia="仿宋_GB2312" w:hAnsi="Arial" w:cs="Arial" w:hint="eastAsia"/>
          <w:sz w:val="28"/>
          <w:szCs w:val="28"/>
        </w:rPr>
        <w:t>，</w:t>
      </w:r>
      <w:r>
        <w:rPr>
          <w:rFonts w:ascii="Arial" w:eastAsia="仿宋_GB2312" w:hAnsi="Arial" w:cs="Arial"/>
          <w:sz w:val="28"/>
          <w:szCs w:val="28"/>
        </w:rPr>
        <w:t>对前述的正常市场价格进行修正</w:t>
      </w:r>
      <w:r>
        <w:rPr>
          <w:rFonts w:ascii="Arial" w:eastAsia="仿宋_GB2312" w:hAnsi="Arial" w:cs="Arial" w:hint="eastAsia"/>
          <w:sz w:val="28"/>
          <w:szCs w:val="28"/>
        </w:rPr>
        <w:t>，</w:t>
      </w:r>
      <w:r>
        <w:rPr>
          <w:rFonts w:ascii="Arial" w:eastAsia="仿宋_GB2312" w:hAnsi="Arial" w:cs="Arial"/>
          <w:sz w:val="28"/>
          <w:szCs w:val="28"/>
        </w:rPr>
        <w:t>测算基于特定正常约束下的参考性价格</w:t>
      </w:r>
      <w:r>
        <w:rPr>
          <w:rFonts w:ascii="Arial" w:eastAsia="仿宋_GB2312" w:hAnsi="Arial" w:cs="Arial" w:hint="eastAsia"/>
          <w:sz w:val="28"/>
          <w:szCs w:val="28"/>
        </w:rPr>
        <w:t>，体现</w:t>
      </w:r>
      <w:r>
        <w:rPr>
          <w:rFonts w:ascii="Arial" w:eastAsia="仿宋_GB2312" w:hAnsi="Arial" w:cs="Arial"/>
          <w:sz w:val="28"/>
          <w:szCs w:val="28"/>
        </w:rPr>
        <w:t>区分市场定价与政策优惠的原则</w:t>
      </w:r>
      <w:r>
        <w:rPr>
          <w:rFonts w:ascii="Arial" w:eastAsia="仿宋_GB2312" w:hAnsi="Arial" w:cs="Arial" w:hint="eastAsia"/>
          <w:sz w:val="28"/>
          <w:szCs w:val="28"/>
        </w:rPr>
        <w:t>。同时，在评估时应考虑</w:t>
      </w:r>
      <w:r>
        <w:rPr>
          <w:rFonts w:ascii="Arial" w:eastAsia="仿宋_GB2312" w:hAnsi="Arial" w:cs="Arial"/>
          <w:sz w:val="28"/>
          <w:szCs w:val="28"/>
        </w:rPr>
        <w:t>区位效用为主</w:t>
      </w:r>
      <w:r>
        <w:rPr>
          <w:rFonts w:ascii="Arial" w:eastAsia="仿宋_GB2312" w:hAnsi="Arial" w:cs="Arial" w:hint="eastAsia"/>
          <w:sz w:val="28"/>
          <w:szCs w:val="28"/>
        </w:rPr>
        <w:t>、</w:t>
      </w:r>
      <w:r>
        <w:rPr>
          <w:rFonts w:ascii="Arial" w:eastAsia="仿宋_GB2312" w:hAnsi="Arial" w:cs="Arial"/>
          <w:sz w:val="28"/>
          <w:szCs w:val="28"/>
        </w:rPr>
        <w:t>兼顾用途差异的原则</w:t>
      </w:r>
      <w:r>
        <w:rPr>
          <w:rFonts w:ascii="Arial" w:eastAsia="仿宋_GB2312" w:hAnsi="Arial" w:cs="Arial" w:hint="eastAsia"/>
          <w:sz w:val="28"/>
          <w:szCs w:val="28"/>
        </w:rPr>
        <w:t>。</w:t>
      </w:r>
    </w:p>
    <w:p w14:paraId="22296713"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估价对象土地用途为</w:t>
      </w:r>
      <w:r>
        <w:rPr>
          <w:rFonts w:ascii="Arial" w:eastAsia="仿宋" w:hAnsi="Arial" w:cs="Arial"/>
          <w:sz w:val="28"/>
          <w:szCs w:val="28"/>
        </w:rPr>
        <w:t>住宅、商业（其他商服）及公共服务</w:t>
      </w:r>
      <w:r>
        <w:rPr>
          <w:rFonts w:ascii="Arial" w:eastAsia="仿宋_GB2312" w:hAnsi="Arial" w:cs="Arial" w:hint="eastAsia"/>
          <w:sz w:val="28"/>
          <w:szCs w:val="28"/>
        </w:rPr>
        <w:t>，包含</w:t>
      </w:r>
      <w:r>
        <w:rPr>
          <w:rFonts w:ascii="Arial" w:eastAsia="仿宋_GB2312" w:hAnsi="Arial" w:cs="Arial"/>
          <w:sz w:val="28"/>
          <w:szCs w:val="28"/>
        </w:rPr>
        <w:t>公共管理与公共服务用途</w:t>
      </w:r>
      <w:r>
        <w:rPr>
          <w:rFonts w:ascii="Arial" w:eastAsia="仿宋_GB2312" w:hAnsi="Arial" w:cs="Arial" w:hint="eastAsia"/>
          <w:sz w:val="28"/>
          <w:szCs w:val="28"/>
        </w:rPr>
        <w:t>。本次评估选取周边</w:t>
      </w:r>
      <w:r>
        <w:rPr>
          <w:rFonts w:ascii="Arial" w:eastAsia="仿宋_GB2312" w:hAnsi="Arial" w:cs="Arial"/>
          <w:sz w:val="28"/>
          <w:szCs w:val="28"/>
        </w:rPr>
        <w:t>4</w:t>
      </w:r>
      <w:r>
        <w:rPr>
          <w:rFonts w:ascii="Arial" w:eastAsia="仿宋_GB2312" w:hAnsi="Arial" w:cs="Arial" w:hint="eastAsia"/>
          <w:sz w:val="28"/>
          <w:szCs w:val="28"/>
        </w:rPr>
        <w:t>公里范围</w:t>
      </w:r>
      <w:proofErr w:type="gramStart"/>
      <w:r>
        <w:rPr>
          <w:rFonts w:ascii="Arial" w:eastAsia="仿宋_GB2312" w:hAnsi="Arial" w:cs="Arial" w:hint="eastAsia"/>
          <w:sz w:val="28"/>
          <w:szCs w:val="28"/>
        </w:rPr>
        <w:t>内类似</w:t>
      </w:r>
      <w:proofErr w:type="gramEnd"/>
      <w:r>
        <w:rPr>
          <w:rFonts w:ascii="Arial" w:eastAsia="仿宋_GB2312" w:hAnsi="Arial" w:cs="Arial" w:hint="eastAsia"/>
          <w:sz w:val="28"/>
          <w:szCs w:val="28"/>
        </w:rPr>
        <w:t>不动产的交易实例，考虑用途差异进行修正，对估价对象市场价格形成过程进行模拟，正是考虑了</w:t>
      </w:r>
      <w:r>
        <w:rPr>
          <w:rFonts w:ascii="Arial" w:eastAsia="仿宋_GB2312" w:hAnsi="Arial" w:cs="Arial"/>
          <w:sz w:val="28"/>
          <w:szCs w:val="28"/>
        </w:rPr>
        <w:t>发现并模拟市场价格的原则</w:t>
      </w:r>
      <w:r>
        <w:rPr>
          <w:rFonts w:ascii="Arial" w:eastAsia="仿宋_GB2312" w:hAnsi="Arial" w:cs="Arial" w:hint="eastAsia"/>
          <w:sz w:val="28"/>
          <w:szCs w:val="28"/>
        </w:rPr>
        <w:t>、</w:t>
      </w:r>
      <w:r>
        <w:rPr>
          <w:rFonts w:ascii="Arial" w:eastAsia="仿宋_GB2312" w:hAnsi="Arial" w:cs="Arial"/>
          <w:sz w:val="28"/>
          <w:szCs w:val="28"/>
        </w:rPr>
        <w:t>区分市场定价与政策优惠的原则</w:t>
      </w:r>
      <w:r>
        <w:rPr>
          <w:rFonts w:ascii="Arial" w:eastAsia="仿宋_GB2312" w:hAnsi="Arial" w:cs="Arial" w:hint="eastAsia"/>
          <w:sz w:val="28"/>
          <w:szCs w:val="28"/>
        </w:rPr>
        <w:t>和</w:t>
      </w:r>
      <w:r>
        <w:rPr>
          <w:rFonts w:ascii="Arial" w:eastAsia="仿宋_GB2312" w:hAnsi="Arial" w:cs="Arial"/>
          <w:sz w:val="28"/>
          <w:szCs w:val="28"/>
        </w:rPr>
        <w:t>区位效用为主兼顾用途差异的原则</w:t>
      </w:r>
      <w:r>
        <w:rPr>
          <w:rFonts w:ascii="Arial" w:eastAsia="仿宋_GB2312" w:hAnsi="Arial" w:cs="Arial" w:hint="eastAsia"/>
          <w:sz w:val="28"/>
          <w:szCs w:val="28"/>
        </w:rPr>
        <w:t>。</w:t>
      </w:r>
      <w:r>
        <w:rPr>
          <w:rFonts w:ascii="Arial" w:eastAsia="仿宋_GB2312" w:hAnsi="Arial" w:cs="Arial"/>
          <w:sz w:val="28"/>
          <w:szCs w:val="28"/>
        </w:rPr>
        <w:t xml:space="preserve"> </w:t>
      </w:r>
    </w:p>
    <w:p w14:paraId="2963FF3F"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（二）估价方法</w:t>
      </w:r>
    </w:p>
    <w:p w14:paraId="7C43E854"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方法选择</w:t>
      </w:r>
    </w:p>
    <w:p w14:paraId="5434D38D" w14:textId="77777777" w:rsidR="0062768B" w:rsidRDefault="00136729">
      <w:pPr>
        <w:adjustRightInd/>
        <w:spacing w:line="300" w:lineRule="auto"/>
        <w:ind w:firstLineChars="200" w:firstLine="560"/>
        <w:rPr>
          <w:rFonts w:ascii="Arial" w:eastAsia="仿宋_GB2312" w:hAnsi="Arial" w:cs="Arial"/>
          <w:sz w:val="28"/>
          <w:szCs w:val="28"/>
        </w:rPr>
      </w:pPr>
      <w:r>
        <w:rPr>
          <w:rFonts w:ascii="Arial" w:eastAsia="仿宋_GB2312" w:hAnsi="Arial" w:cs="Arial"/>
          <w:noProof/>
          <w:sz w:val="28"/>
          <w:szCs w:val="28"/>
        </w:rPr>
        <w:drawing>
          <wp:anchor distT="0" distB="0" distL="114300" distR="114300" simplePos="0" relativeHeight="251660288" behindDoc="0" locked="0" layoutInCell="1" allowOverlap="0" wp14:anchorId="000646A7" wp14:editId="0BD127D9">
            <wp:simplePos x="0" y="0"/>
            <wp:positionH relativeFrom="page">
              <wp:posOffset>804545</wp:posOffset>
            </wp:positionH>
            <wp:positionV relativeFrom="page">
              <wp:posOffset>4762500</wp:posOffset>
            </wp:positionV>
            <wp:extent cx="24130" cy="12065"/>
            <wp:effectExtent l="0" t="0" r="0" b="0"/>
            <wp:wrapSquare wrapText="bothSides"/>
            <wp:docPr id="30" name="Picture 20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0430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4130" cy="12065"/>
                    </a:xfrm>
                    <a:prstGeom prst="rect">
                      <a:avLst/>
                    </a:prstGeom>
                    <a:noFill/>
                    <a:ln>
                      <a:noFill/>
                    </a:ln>
                  </pic:spPr>
                </pic:pic>
              </a:graphicData>
            </a:graphic>
          </wp:anchor>
        </w:drawing>
      </w:r>
      <w:r>
        <w:rPr>
          <w:rFonts w:ascii="Arial" w:eastAsia="仿宋_GB2312" w:hAnsi="Arial" w:cs="Arial"/>
          <w:sz w:val="28"/>
          <w:szCs w:val="28"/>
        </w:rPr>
        <w:t>根据《城镇土地估价规程》</w:t>
      </w:r>
      <w:r>
        <w:rPr>
          <w:rFonts w:ascii="Arial" w:eastAsia="仿宋_GB2312" w:hAnsi="Arial" w:cs="Arial"/>
          <w:sz w:val="28"/>
        </w:rPr>
        <w:t>（</w:t>
      </w:r>
      <w:r>
        <w:rPr>
          <w:rFonts w:ascii="Arial" w:eastAsia="仿宋_GB2312" w:hAnsi="Arial" w:cs="Arial"/>
          <w:sz w:val="28"/>
        </w:rPr>
        <w:t>GB/T 18508-2014</w:t>
      </w:r>
      <w:r>
        <w:rPr>
          <w:rFonts w:ascii="Arial" w:eastAsia="仿宋_GB2312" w:hAnsi="Arial" w:cs="Arial"/>
          <w:sz w:val="28"/>
        </w:rPr>
        <w:t>）</w:t>
      </w:r>
      <w:r>
        <w:rPr>
          <w:rFonts w:ascii="Arial" w:eastAsia="仿宋_GB2312" w:hAnsi="Arial" w:cs="Arial"/>
          <w:sz w:val="28"/>
          <w:szCs w:val="28"/>
        </w:rPr>
        <w:t>，通行的估价方法有市场比较法、收益还原法、剩余法、成本逼近法、公示地价系数修正法等。估价方法的选择应按照《城镇土地估价规程》</w:t>
      </w:r>
      <w:r>
        <w:rPr>
          <w:rFonts w:ascii="Arial" w:eastAsia="仿宋_GB2312" w:hAnsi="Arial" w:cs="Arial"/>
          <w:sz w:val="28"/>
        </w:rPr>
        <w:t>（</w:t>
      </w:r>
      <w:r>
        <w:rPr>
          <w:rFonts w:ascii="Arial" w:eastAsia="仿宋_GB2312" w:hAnsi="Arial" w:cs="Arial"/>
          <w:sz w:val="28"/>
        </w:rPr>
        <w:t>GB/T 18508-2014</w:t>
      </w:r>
      <w:r>
        <w:rPr>
          <w:rFonts w:ascii="Arial" w:eastAsia="仿宋_GB2312" w:hAnsi="Arial" w:cs="Arial"/>
          <w:sz w:val="28"/>
        </w:rPr>
        <w:t>）</w:t>
      </w:r>
      <w:r>
        <w:rPr>
          <w:rFonts w:ascii="Arial" w:eastAsia="仿宋_GB2312" w:hAnsi="Arial" w:cs="Arial"/>
          <w:sz w:val="28"/>
          <w:szCs w:val="28"/>
        </w:rPr>
        <w:t>，根据区域内地产市场发育情况并结合估价对象的特点及估价目的等，选择</w:t>
      </w:r>
      <w:r>
        <w:rPr>
          <w:rFonts w:ascii="Arial" w:eastAsia="仿宋_GB2312" w:hAnsi="Arial" w:cs="Arial"/>
          <w:sz w:val="28"/>
          <w:szCs w:val="28"/>
        </w:rPr>
        <w:lastRenderedPageBreak/>
        <w:t>适当的估价方法。在一项土地估价中所选方法不少于两种。</w:t>
      </w:r>
    </w:p>
    <w:p w14:paraId="09A4BDF0" w14:textId="77777777" w:rsidR="0062768B" w:rsidRDefault="00136729">
      <w:pPr>
        <w:adjustRightInd/>
        <w:spacing w:line="300" w:lineRule="auto"/>
        <w:ind w:firstLineChars="200" w:firstLine="560"/>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sz w:val="28"/>
        </w:rPr>
        <w:t>国土资源部办公厅关于发布</w:t>
      </w:r>
      <w:r>
        <w:rPr>
          <w:rFonts w:ascii="Arial" w:eastAsia="仿宋_GB2312" w:hAnsi="Arial" w:cs="Arial"/>
          <w:sz w:val="28"/>
        </w:rPr>
        <w:t>&lt;</w:t>
      </w:r>
      <w:r>
        <w:rPr>
          <w:rFonts w:ascii="Arial" w:eastAsia="仿宋_GB2312" w:hAnsi="Arial" w:cs="Arial"/>
          <w:sz w:val="28"/>
        </w:rPr>
        <w:t>国有建设用地使用权出让地价评估技术规范</w:t>
      </w:r>
      <w:r>
        <w:rPr>
          <w:rFonts w:ascii="Arial" w:eastAsia="仿宋_GB2312" w:hAnsi="Arial" w:cs="Arial"/>
          <w:sz w:val="28"/>
        </w:rPr>
        <w:t>&gt;</w:t>
      </w:r>
      <w:r>
        <w:rPr>
          <w:rFonts w:ascii="Arial" w:eastAsia="仿宋_GB2312" w:hAnsi="Arial" w:cs="Arial"/>
          <w:sz w:val="28"/>
        </w:rPr>
        <w:t>的通知》（</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hint="eastAsia"/>
          <w:sz w:val="28"/>
        </w:rPr>
        <w:t>）</w:t>
      </w:r>
      <w:r>
        <w:rPr>
          <w:rFonts w:ascii="Arial" w:eastAsia="仿宋_GB2312" w:hAnsi="Arial" w:cs="Arial"/>
          <w:sz w:val="28"/>
          <w:szCs w:val="28"/>
        </w:rPr>
        <w:t>，出让地价评估，应至少采用两种评估方法，包括市场比较法、收益还原法、剩余法之一，以及成本逼近法或公示地价系数修正法。</w:t>
      </w:r>
    </w:p>
    <w:p w14:paraId="10176161" w14:textId="77777777" w:rsidR="0062768B" w:rsidRDefault="00136729">
      <w:pPr>
        <w:pStyle w:val="11"/>
        <w:autoSpaceDE w:val="0"/>
        <w:autoSpaceDN w:val="0"/>
        <w:adjustRightInd/>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规划新建项目，符合剩余法的应用条件及适用范围。</w:t>
      </w:r>
    </w:p>
    <w:p w14:paraId="6BFF7AC3" w14:textId="77777777" w:rsidR="0062768B" w:rsidRDefault="00136729">
      <w:pPr>
        <w:pStyle w:val="11"/>
        <w:autoSpaceDE w:val="0"/>
        <w:autoSpaceDN w:val="0"/>
        <w:adjustRightInd/>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本次评估所采用的估价方法简述如下：</w:t>
      </w:r>
    </w:p>
    <w:p w14:paraId="43157158" w14:textId="77777777" w:rsidR="0062768B" w:rsidRDefault="00136729">
      <w:pPr>
        <w:adjustRightInd/>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）基准地价系数修正法</w:t>
      </w:r>
    </w:p>
    <w:p w14:paraId="28AA0307" w14:textId="77777777" w:rsidR="0062768B" w:rsidRDefault="00136729">
      <w:pPr>
        <w:adjustRightInd/>
        <w:spacing w:line="300" w:lineRule="auto"/>
        <w:ind w:firstLineChars="200" w:firstLine="560"/>
        <w:rPr>
          <w:rFonts w:ascii="Arial" w:eastAsia="仿宋_GB2312" w:hAnsi="Arial" w:cs="Arial"/>
          <w:sz w:val="28"/>
          <w:szCs w:val="28"/>
        </w:rPr>
      </w:pPr>
      <w:r>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Pr>
          <w:rFonts w:ascii="Arial" w:eastAsia="仿宋_GB2312" w:hAnsi="Arial" w:cs="Arial"/>
          <w:sz w:val="28"/>
          <w:szCs w:val="28"/>
        </w:rPr>
        <w:t>待估宗</w:t>
      </w:r>
      <w:proofErr w:type="gramEnd"/>
      <w:r>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Pr>
          <w:rFonts w:ascii="Arial" w:eastAsia="仿宋_GB2312" w:hAnsi="Arial" w:cs="Arial"/>
          <w:sz w:val="28"/>
          <w:szCs w:val="28"/>
        </w:rPr>
        <w:t>待估宗</w:t>
      </w:r>
      <w:proofErr w:type="gramEnd"/>
      <w:r>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w:t>
      </w:r>
      <w:proofErr w:type="gramStart"/>
      <w:r>
        <w:rPr>
          <w:rFonts w:ascii="Arial" w:eastAsia="仿宋_GB2312" w:hAnsi="Arial" w:cs="Arial"/>
          <w:sz w:val="28"/>
          <w:szCs w:val="28"/>
        </w:rPr>
        <w:t>待估宗</w:t>
      </w:r>
      <w:proofErr w:type="gramEnd"/>
      <w:r>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Pr>
          <w:rFonts w:ascii="Arial" w:eastAsia="仿宋_GB2312" w:hAnsi="Arial" w:cs="Arial"/>
          <w:sz w:val="28"/>
          <w:szCs w:val="28"/>
        </w:rPr>
        <w:t>待估宗</w:t>
      </w:r>
      <w:proofErr w:type="gramEnd"/>
      <w:r>
        <w:rPr>
          <w:rFonts w:ascii="Arial" w:eastAsia="仿宋_GB2312" w:hAnsi="Arial" w:cs="Arial"/>
          <w:sz w:val="28"/>
          <w:szCs w:val="28"/>
        </w:rPr>
        <w:t>地地价。</w:t>
      </w:r>
    </w:p>
    <w:p w14:paraId="1D42F704" w14:textId="77777777" w:rsidR="0062768B" w:rsidRDefault="00136729">
      <w:pPr>
        <w:adjustRightInd/>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）剩余法</w:t>
      </w:r>
    </w:p>
    <w:p w14:paraId="2D0B1545" w14:textId="77777777" w:rsidR="0062768B" w:rsidRDefault="00136729">
      <w:pPr>
        <w:adjustRightInd/>
        <w:spacing w:line="300" w:lineRule="auto"/>
        <w:ind w:firstLineChars="200" w:firstLine="560"/>
        <w:rPr>
          <w:rFonts w:ascii="Arial" w:eastAsia="仿宋_GB2312" w:hAnsi="Arial" w:cs="Arial"/>
          <w:sz w:val="28"/>
        </w:rPr>
      </w:pPr>
      <w:r>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Pr>
          <w:rFonts w:ascii="宋体" w:hAnsi="宋体" w:cs="宋体" w:hint="eastAsia"/>
          <w:sz w:val="28"/>
        </w:rPr>
        <w:t>①</w:t>
      </w:r>
      <w:r>
        <w:rPr>
          <w:rFonts w:ascii="Arial" w:eastAsia="仿宋_GB2312" w:hAnsi="Arial" w:cs="Arial"/>
          <w:sz w:val="28"/>
        </w:rPr>
        <w:t>待开发房地产或待拆迁改造后再开发房地产的土地估价；</w:t>
      </w:r>
      <w:r>
        <w:rPr>
          <w:rFonts w:ascii="宋体" w:hAnsi="宋体" w:cs="宋体" w:hint="eastAsia"/>
          <w:sz w:val="28"/>
        </w:rPr>
        <w:t>②</w:t>
      </w:r>
      <w:r>
        <w:rPr>
          <w:rFonts w:ascii="Arial" w:eastAsia="仿宋_GB2312" w:hAnsi="Arial" w:cs="Arial"/>
          <w:sz w:val="28"/>
        </w:rPr>
        <w:t>仅将土地开发整理成可供直接利用的土地估价；</w:t>
      </w:r>
      <w:r>
        <w:rPr>
          <w:rFonts w:ascii="宋体" w:hAnsi="宋体" w:cs="宋体" w:hint="eastAsia"/>
          <w:sz w:val="28"/>
        </w:rPr>
        <w:t>③</w:t>
      </w:r>
      <w:r>
        <w:rPr>
          <w:rFonts w:ascii="Arial" w:eastAsia="仿宋_GB2312" w:hAnsi="Arial" w:cs="Arial"/>
          <w:sz w:val="28"/>
        </w:rPr>
        <w:t>现有房地产中地价的单独评估。</w:t>
      </w:r>
    </w:p>
    <w:p w14:paraId="1D3BB01D" w14:textId="77777777" w:rsidR="0062768B" w:rsidRDefault="00136729">
      <w:pPr>
        <w:adjustRightInd/>
        <w:spacing w:line="300" w:lineRule="auto"/>
        <w:ind w:firstLineChars="200" w:firstLine="560"/>
        <w:rPr>
          <w:rFonts w:ascii="Arial" w:eastAsia="仿宋_GB2312" w:hAnsi="Arial" w:cs="Arial"/>
          <w:sz w:val="28"/>
        </w:rPr>
      </w:pPr>
      <w:r>
        <w:rPr>
          <w:rFonts w:ascii="Arial" w:eastAsia="仿宋_GB2312" w:hAnsi="Arial" w:cs="Arial"/>
          <w:sz w:val="28"/>
        </w:rPr>
        <w:lastRenderedPageBreak/>
        <w:t>1</w:t>
      </w:r>
      <w:r>
        <w:rPr>
          <w:rFonts w:ascii="Arial" w:eastAsia="仿宋_GB2312" w:hAnsi="Arial" w:cs="Arial"/>
          <w:sz w:val="28"/>
        </w:rPr>
        <w:t>）评估待开发土地价格的公式为：</w:t>
      </w:r>
    </w:p>
    <w:p w14:paraId="15E01D48" w14:textId="77777777" w:rsidR="0062768B" w:rsidRDefault="00136729">
      <w:pPr>
        <w:adjustRightInd/>
        <w:spacing w:line="300" w:lineRule="auto"/>
        <w:ind w:firstLineChars="200" w:firstLine="560"/>
        <w:rPr>
          <w:rFonts w:ascii="Arial" w:eastAsia="仿宋_GB2312" w:hAnsi="Arial" w:cs="Arial"/>
          <w:sz w:val="28"/>
        </w:rPr>
      </w:pPr>
      <w:proofErr w:type="gramStart"/>
      <w:r>
        <w:rPr>
          <w:rFonts w:ascii="Arial" w:eastAsia="仿宋_GB2312" w:hAnsi="Arial" w:cs="Arial"/>
          <w:sz w:val="28"/>
        </w:rPr>
        <w:t>待估宗</w:t>
      </w:r>
      <w:proofErr w:type="gramEnd"/>
      <w:r>
        <w:rPr>
          <w:rFonts w:ascii="Arial" w:eastAsia="仿宋_GB2312" w:hAnsi="Arial" w:cs="Arial"/>
          <w:sz w:val="28"/>
        </w:rPr>
        <w:t>地价格</w:t>
      </w:r>
      <w:r>
        <w:rPr>
          <w:rFonts w:ascii="Arial" w:eastAsia="仿宋_GB2312" w:hAnsi="Arial" w:cs="Arial"/>
          <w:sz w:val="28"/>
        </w:rPr>
        <w:t>=</w:t>
      </w:r>
      <w:r>
        <w:rPr>
          <w:rFonts w:ascii="Arial" w:eastAsia="仿宋_GB2312" w:hAnsi="Arial" w:cs="Arial"/>
          <w:sz w:val="28"/>
        </w:rPr>
        <w:t>不动产总价</w:t>
      </w:r>
      <w:r>
        <w:rPr>
          <w:rFonts w:ascii="Arial" w:eastAsia="仿宋_GB2312" w:hAnsi="Arial" w:cs="Arial"/>
          <w:sz w:val="28"/>
        </w:rPr>
        <w:t>-</w:t>
      </w:r>
      <w:r>
        <w:rPr>
          <w:rFonts w:ascii="Arial" w:eastAsia="仿宋_GB2312" w:hAnsi="Arial" w:cs="Arial"/>
          <w:sz w:val="28"/>
        </w:rPr>
        <w:t>开发项目整体的开发成本</w:t>
      </w:r>
      <w:r>
        <w:rPr>
          <w:rFonts w:ascii="Arial" w:eastAsia="仿宋_GB2312" w:hAnsi="Arial" w:cs="Arial"/>
          <w:sz w:val="28"/>
        </w:rPr>
        <w:t>-</w:t>
      </w:r>
      <w:r>
        <w:rPr>
          <w:rFonts w:ascii="Arial" w:eastAsia="仿宋_GB2312" w:hAnsi="Arial" w:cs="Arial"/>
          <w:sz w:val="28"/>
        </w:rPr>
        <w:t>客观开发利润</w:t>
      </w:r>
      <w:r>
        <w:rPr>
          <w:rFonts w:ascii="Arial" w:eastAsia="仿宋_GB2312" w:hAnsi="Arial" w:cs="Arial"/>
          <w:sz w:val="28"/>
        </w:rPr>
        <w:t xml:space="preserve">    </w:t>
      </w:r>
    </w:p>
    <w:p w14:paraId="51D01757" w14:textId="77777777" w:rsidR="0062768B" w:rsidRDefault="00136729">
      <w:pPr>
        <w:adjustRightInd/>
        <w:spacing w:line="300" w:lineRule="auto"/>
        <w:ind w:firstLineChars="200" w:firstLine="560"/>
        <w:rPr>
          <w:rFonts w:ascii="Arial" w:eastAsia="仿宋_GB2312" w:hAnsi="Arial" w:cs="Arial"/>
          <w:sz w:val="28"/>
        </w:rPr>
      </w:pPr>
      <w:r>
        <w:rPr>
          <w:rFonts w:ascii="Arial" w:eastAsia="仿宋_GB2312" w:hAnsi="Arial" w:cs="Arial"/>
          <w:sz w:val="28"/>
        </w:rPr>
        <w:t>2</w:t>
      </w:r>
      <w:r>
        <w:rPr>
          <w:rFonts w:ascii="Arial" w:eastAsia="仿宋_GB2312" w:hAnsi="Arial" w:cs="Arial"/>
          <w:sz w:val="28"/>
        </w:rPr>
        <w:t>）评估现有不动产中所含土地价格的公式为：</w:t>
      </w:r>
    </w:p>
    <w:p w14:paraId="371C49AF" w14:textId="77777777" w:rsidR="0062768B" w:rsidRDefault="00136729">
      <w:pPr>
        <w:adjustRightInd/>
        <w:spacing w:line="300" w:lineRule="auto"/>
        <w:ind w:firstLineChars="200" w:firstLine="560"/>
        <w:rPr>
          <w:rFonts w:ascii="Arial" w:eastAsia="仿宋_GB2312" w:hAnsi="Arial" w:cs="Arial"/>
          <w:sz w:val="28"/>
        </w:rPr>
      </w:pPr>
      <w:proofErr w:type="gramStart"/>
      <w:r>
        <w:rPr>
          <w:rFonts w:ascii="Arial" w:eastAsia="仿宋_GB2312" w:hAnsi="Arial" w:cs="Arial"/>
          <w:sz w:val="28"/>
        </w:rPr>
        <w:t>待估宗</w:t>
      </w:r>
      <w:proofErr w:type="gramEnd"/>
      <w:r>
        <w:rPr>
          <w:rFonts w:ascii="Arial" w:eastAsia="仿宋_GB2312" w:hAnsi="Arial" w:cs="Arial"/>
          <w:sz w:val="28"/>
        </w:rPr>
        <w:t>地价格</w:t>
      </w:r>
      <w:r>
        <w:rPr>
          <w:rFonts w:ascii="Arial" w:eastAsia="仿宋_GB2312" w:hAnsi="Arial" w:cs="Arial"/>
          <w:sz w:val="28"/>
        </w:rPr>
        <w:t>=</w:t>
      </w:r>
      <w:r>
        <w:rPr>
          <w:rFonts w:ascii="Arial" w:eastAsia="仿宋_GB2312" w:hAnsi="Arial" w:cs="Arial"/>
          <w:sz w:val="28"/>
        </w:rPr>
        <w:t>不动产交易价格</w:t>
      </w:r>
      <w:r>
        <w:rPr>
          <w:rFonts w:ascii="Arial" w:eastAsia="仿宋_GB2312" w:hAnsi="Arial" w:cs="Arial"/>
          <w:sz w:val="28"/>
        </w:rPr>
        <w:t>-</w:t>
      </w:r>
      <w:r>
        <w:rPr>
          <w:rFonts w:ascii="Arial" w:eastAsia="仿宋_GB2312" w:hAnsi="Arial" w:cs="Arial"/>
          <w:sz w:val="28"/>
        </w:rPr>
        <w:t>房屋现值</w:t>
      </w:r>
      <w:r>
        <w:rPr>
          <w:rFonts w:ascii="Arial" w:eastAsia="仿宋_GB2312" w:hAnsi="Arial" w:cs="Arial"/>
          <w:sz w:val="28"/>
        </w:rPr>
        <w:t>-</w:t>
      </w:r>
      <w:r>
        <w:rPr>
          <w:rFonts w:ascii="Arial" w:eastAsia="仿宋_GB2312" w:hAnsi="Arial" w:cs="Arial"/>
          <w:sz w:val="28"/>
        </w:rPr>
        <w:t>交易税费</w:t>
      </w:r>
    </w:p>
    <w:p w14:paraId="534399B0" w14:textId="77777777" w:rsidR="0062768B" w:rsidRDefault="00136729">
      <w:pPr>
        <w:adjustRightInd/>
        <w:spacing w:line="300" w:lineRule="auto"/>
        <w:ind w:firstLineChars="200" w:firstLine="560"/>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未选取的估价方法以及理由如下：</w:t>
      </w:r>
    </w:p>
    <w:p w14:paraId="636BC9FB" w14:textId="77777777" w:rsidR="0062768B" w:rsidRDefault="00136729">
      <w:pPr>
        <w:adjustRightInd/>
        <w:spacing w:line="300" w:lineRule="auto"/>
        <w:ind w:firstLineChars="200" w:firstLine="560"/>
        <w:rPr>
          <w:rFonts w:ascii="Arial" w:eastAsia="仿宋_GB2312" w:hAnsi="Arial" w:cs="Arial"/>
          <w:sz w:val="28"/>
        </w:rPr>
      </w:pPr>
      <w:r>
        <w:rPr>
          <w:rFonts w:ascii="Arial" w:eastAsia="仿宋_GB2312" w:hAnsi="Arial" w:cs="Arial"/>
          <w:sz w:val="28"/>
        </w:rPr>
        <w:t>市场比较法是以在估价期</w:t>
      </w:r>
      <w:proofErr w:type="gramStart"/>
      <w:r>
        <w:rPr>
          <w:rFonts w:ascii="Arial" w:eastAsia="仿宋_GB2312" w:hAnsi="Arial" w:cs="Arial"/>
          <w:sz w:val="28"/>
        </w:rPr>
        <w:t>日近期</w:t>
      </w:r>
      <w:proofErr w:type="gramEnd"/>
      <w:r>
        <w:rPr>
          <w:rFonts w:ascii="Arial" w:eastAsia="仿宋_GB2312" w:hAnsi="Arial" w:cs="Arial"/>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3930823E" w14:textId="77777777" w:rsidR="0062768B" w:rsidRDefault="00136729">
      <w:pPr>
        <w:adjustRightInd/>
        <w:spacing w:line="300" w:lineRule="auto"/>
        <w:ind w:firstLineChars="200" w:firstLine="560"/>
        <w:rPr>
          <w:rFonts w:ascii="Arial" w:eastAsia="仿宋_GB2312" w:hAnsi="Arial" w:cs="Arial"/>
          <w:sz w:val="28"/>
        </w:rPr>
      </w:pPr>
      <w:r>
        <w:rPr>
          <w:rFonts w:ascii="Arial" w:eastAsia="仿宋_GB2312" w:hAnsi="Arial" w:cs="Arial"/>
          <w:sz w:val="28"/>
        </w:rPr>
        <w:t>由于估价对象现状为空地，难以找到土地租赁案例，故未采用收益还原法。</w:t>
      </w:r>
    </w:p>
    <w:p w14:paraId="1501591F" w14:textId="77777777" w:rsidR="0062768B" w:rsidRDefault="00136729">
      <w:pPr>
        <w:adjustRightInd/>
        <w:spacing w:line="300" w:lineRule="auto"/>
        <w:ind w:firstLineChars="200" w:firstLine="560"/>
        <w:rPr>
          <w:rFonts w:ascii="Arial" w:eastAsia="仿宋_GB2312" w:hAnsi="Arial" w:cs="Arial"/>
          <w:sz w:val="28"/>
        </w:rPr>
      </w:pPr>
      <w:r>
        <w:rPr>
          <w:rFonts w:ascii="Arial" w:eastAsia="仿宋_GB2312" w:hAnsi="Arial" w:cs="Arial"/>
          <w:sz w:val="28"/>
        </w:rPr>
        <w:t>成本逼近法是将构成土地成本的各项费用累加来测算土地的价值，估价对象成本资料不易获得，各项</w:t>
      </w:r>
      <w:proofErr w:type="gramStart"/>
      <w:r>
        <w:rPr>
          <w:rFonts w:ascii="Arial" w:eastAsia="仿宋_GB2312" w:hAnsi="Arial" w:cs="Arial"/>
          <w:sz w:val="28"/>
        </w:rPr>
        <w:t>目成本</w:t>
      </w:r>
      <w:proofErr w:type="gramEnd"/>
      <w:r>
        <w:rPr>
          <w:rFonts w:ascii="Arial" w:eastAsia="仿宋_GB2312" w:hAnsi="Arial" w:cs="Arial"/>
          <w:sz w:val="28"/>
        </w:rPr>
        <w:t>内涵不一致，且土地增值额的确定没有权威依据，故未采用成本逼近法。</w:t>
      </w:r>
    </w:p>
    <w:p w14:paraId="6FC4B082" w14:textId="77777777" w:rsidR="0062768B" w:rsidRDefault="00136729">
      <w:pPr>
        <w:spacing w:line="300" w:lineRule="auto"/>
        <w:ind w:leftChars="50" w:left="260" w:hangingChars="50" w:hanging="140"/>
        <w:rPr>
          <w:rFonts w:ascii="Arial" w:eastAsia="仿宋_GB2312" w:hAnsi="Arial" w:cs="Arial"/>
          <w:sz w:val="28"/>
        </w:rPr>
      </w:pPr>
      <w:r>
        <w:rPr>
          <w:rFonts w:ascii="Arial" w:eastAsia="仿宋_GB2312" w:hAnsi="Arial" w:cs="Arial"/>
          <w:sz w:val="28"/>
        </w:rPr>
        <w:t>（三）估价结果</w:t>
      </w:r>
    </w:p>
    <w:p w14:paraId="67B4588B" w14:textId="77777777" w:rsidR="0062768B" w:rsidRDefault="00136729">
      <w:pPr>
        <w:spacing w:line="300" w:lineRule="auto"/>
        <w:ind w:firstLineChars="200" w:firstLine="562"/>
        <w:rPr>
          <w:rFonts w:ascii="Arial" w:eastAsia="仿宋_GB2312" w:hAnsi="Arial" w:cs="Arial"/>
          <w:kern w:val="2"/>
          <w:sz w:val="28"/>
        </w:rPr>
      </w:pPr>
      <w:r>
        <w:rPr>
          <w:rFonts w:ascii="黑体" w:eastAsia="黑体" w:hAnsi="黑体" w:cs="Arial"/>
          <w:b/>
          <w:sz w:val="28"/>
        </w:rPr>
        <w:t>估价对象位于北京市基准地价住宅</w:t>
      </w:r>
      <w:r>
        <w:rPr>
          <w:rFonts w:ascii="黑体" w:eastAsia="黑体" w:hAnsi="黑体" w:cs="Arial" w:hint="eastAsia"/>
          <w:b/>
          <w:sz w:val="28"/>
        </w:rPr>
        <w:t>九级（IX-顺5）</w:t>
      </w:r>
      <w:r>
        <w:rPr>
          <w:rFonts w:ascii="黑体" w:eastAsia="黑体" w:hAnsi="黑体" w:cs="Arial"/>
          <w:b/>
          <w:sz w:val="28"/>
        </w:rPr>
        <w:t>、商业</w:t>
      </w:r>
      <w:r>
        <w:rPr>
          <w:rFonts w:ascii="黑体" w:eastAsia="黑体" w:hAnsi="黑体" w:cs="Arial" w:hint="eastAsia"/>
          <w:b/>
          <w:sz w:val="28"/>
        </w:rPr>
        <w:t>（其他商服）九级（IX-顺5）</w:t>
      </w:r>
      <w:r>
        <w:rPr>
          <w:rFonts w:ascii="黑体" w:eastAsia="黑体" w:hAnsi="黑体" w:cs="Arial"/>
          <w:b/>
          <w:sz w:val="28"/>
        </w:rPr>
        <w:t>、</w:t>
      </w:r>
      <w:r>
        <w:rPr>
          <w:rFonts w:ascii="黑体" w:eastAsia="黑体" w:hAnsi="黑体" w:cs="Arial" w:hint="eastAsia"/>
          <w:b/>
          <w:sz w:val="28"/>
        </w:rPr>
        <w:t>公共服务九级（IX-顺5）</w:t>
      </w:r>
      <w:r>
        <w:rPr>
          <w:rFonts w:ascii="黑体" w:eastAsia="黑体" w:hAnsi="黑体" w:cs="Arial"/>
          <w:b/>
          <w:sz w:val="28"/>
        </w:rPr>
        <w:t>范围内</w:t>
      </w:r>
      <w:r>
        <w:rPr>
          <w:rFonts w:ascii="Arial" w:eastAsia="黑体" w:hAnsi="Arial" w:cs="Arial"/>
          <w:b/>
          <w:sz w:val="28"/>
        </w:rPr>
        <w:t>。</w:t>
      </w:r>
      <w:r>
        <w:rPr>
          <w:rFonts w:ascii="Arial" w:eastAsia="仿宋_GB2312" w:hAnsi="Arial" w:cs="Arial"/>
          <w:kern w:val="2"/>
          <w:sz w:val="28"/>
        </w:rPr>
        <w:t>土地估价专业评估师根据估价的目的，</w:t>
      </w:r>
      <w:r>
        <w:rPr>
          <w:rFonts w:ascii="Arial" w:eastAsia="仿宋_GB2312" w:hAnsi="Arial" w:cs="Arial"/>
          <w:sz w:val="28"/>
        </w:rPr>
        <w:t>按照</w:t>
      </w:r>
      <w:r>
        <w:rPr>
          <w:rFonts w:ascii="Arial" w:eastAsia="仿宋_GB2312" w:hAnsi="Arial" w:cs="Arial"/>
          <w:kern w:val="2"/>
          <w:sz w:val="28"/>
        </w:rPr>
        <w:t>估价的程序，采用科学的估价方法（基准地价系数修正法和剩余法），在认真分析现有资料的基础上，通过仔细测算</w:t>
      </w:r>
      <w:r>
        <w:rPr>
          <w:rFonts w:ascii="Arial" w:eastAsia="仿宋_GB2312" w:hAnsi="Arial" w:cs="Arial" w:hint="eastAsia"/>
          <w:kern w:val="2"/>
          <w:sz w:val="28"/>
        </w:rPr>
        <w:t>，</w:t>
      </w:r>
      <w:r>
        <w:rPr>
          <w:rFonts w:ascii="Arial" w:eastAsia="仿宋_GB2312" w:hAnsi="Arial" w:cs="Arial"/>
          <w:kern w:val="2"/>
          <w:sz w:val="28"/>
        </w:rPr>
        <w:t>得出估价对象各</w:t>
      </w:r>
      <w:proofErr w:type="gramStart"/>
      <w:r>
        <w:rPr>
          <w:rFonts w:ascii="Arial" w:eastAsia="仿宋_GB2312" w:hAnsi="Arial" w:cs="Arial"/>
          <w:kern w:val="2"/>
          <w:sz w:val="28"/>
        </w:rPr>
        <w:t>用途楼</w:t>
      </w:r>
      <w:proofErr w:type="gramEnd"/>
      <w:r>
        <w:rPr>
          <w:rFonts w:ascii="Arial" w:eastAsia="仿宋_GB2312" w:hAnsi="Arial" w:cs="Arial"/>
          <w:kern w:val="2"/>
          <w:sz w:val="28"/>
        </w:rPr>
        <w:t>面熟地价</w:t>
      </w:r>
      <w:r>
        <w:rPr>
          <w:rFonts w:ascii="Arial" w:eastAsia="仿宋_GB2312" w:hAnsi="Arial" w:cs="Arial" w:hint="eastAsia"/>
          <w:kern w:val="2"/>
          <w:sz w:val="28"/>
        </w:rPr>
        <w:t>，</w:t>
      </w:r>
      <w:r>
        <w:rPr>
          <w:rFonts w:ascii="Arial" w:eastAsia="仿宋_GB2312" w:hAnsi="Arial" w:cs="Arial"/>
          <w:kern w:val="2"/>
          <w:sz w:val="28"/>
        </w:rPr>
        <w:t>如下表所示</w:t>
      </w:r>
      <w:r>
        <w:rPr>
          <w:rFonts w:ascii="Arial" w:eastAsia="仿宋_GB2312" w:hAnsi="Arial" w:cs="Arial" w:hint="eastAsia"/>
          <w:kern w:val="2"/>
          <w:sz w:val="28"/>
        </w:rPr>
        <w:t>：</w:t>
      </w:r>
    </w:p>
    <w:tbl>
      <w:tblPr>
        <w:tblW w:w="9072" w:type="dxa"/>
        <w:jc w:val="center"/>
        <w:tblLayout w:type="fixed"/>
        <w:tblCellMar>
          <w:top w:w="57" w:type="dxa"/>
          <w:left w:w="28" w:type="dxa"/>
          <w:bottom w:w="57" w:type="dxa"/>
          <w:right w:w="28" w:type="dxa"/>
        </w:tblCellMar>
        <w:tblLook w:val="04A0" w:firstRow="1" w:lastRow="0" w:firstColumn="1" w:lastColumn="0" w:noHBand="0" w:noVBand="1"/>
      </w:tblPr>
      <w:tblGrid>
        <w:gridCol w:w="1867"/>
        <w:gridCol w:w="3237"/>
        <w:gridCol w:w="3968"/>
      </w:tblGrid>
      <w:tr w:rsidR="0062768B" w14:paraId="6B3C9753" w14:textId="77777777">
        <w:trPr>
          <w:cantSplit/>
          <w:jc w:val="center"/>
        </w:trPr>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14:paraId="13032CCA" w14:textId="77777777" w:rsidR="0062768B" w:rsidRDefault="00136729">
            <w:pPr>
              <w:widowControl/>
              <w:adjustRightInd/>
              <w:spacing w:line="300" w:lineRule="auto"/>
              <w:jc w:val="center"/>
              <w:textAlignment w:val="auto"/>
              <w:rPr>
                <w:rFonts w:ascii="Arial" w:hAnsi="Arial" w:cs="Arial"/>
                <w:b/>
                <w:bCs/>
                <w:szCs w:val="24"/>
              </w:rPr>
            </w:pPr>
            <w:r>
              <w:rPr>
                <w:rFonts w:ascii="Arial" w:eastAsia="仿宋_GB2312" w:hAnsi="Arial" w:cs="Arial"/>
                <w:b/>
                <w:bCs/>
                <w:szCs w:val="24"/>
              </w:rPr>
              <w:t>用途</w:t>
            </w:r>
          </w:p>
        </w:tc>
        <w:tc>
          <w:tcPr>
            <w:tcW w:w="3237" w:type="dxa"/>
            <w:tcBorders>
              <w:top w:val="single" w:sz="4" w:space="0" w:color="auto"/>
              <w:left w:val="nil"/>
              <w:bottom w:val="single" w:sz="4" w:space="0" w:color="auto"/>
              <w:right w:val="single" w:sz="4" w:space="0" w:color="auto"/>
            </w:tcBorders>
            <w:shd w:val="clear" w:color="auto" w:fill="auto"/>
            <w:vAlign w:val="center"/>
          </w:tcPr>
          <w:p w14:paraId="7BDA01F8" w14:textId="77777777" w:rsidR="0062768B" w:rsidRDefault="00136729">
            <w:pPr>
              <w:widowControl/>
              <w:adjustRightInd/>
              <w:spacing w:line="300" w:lineRule="auto"/>
              <w:jc w:val="center"/>
              <w:textAlignment w:val="auto"/>
              <w:rPr>
                <w:rFonts w:ascii="Arial" w:hAnsi="Arial" w:cs="Arial"/>
                <w:b/>
                <w:bCs/>
                <w:szCs w:val="24"/>
              </w:rPr>
            </w:pPr>
            <w:r>
              <w:rPr>
                <w:rFonts w:ascii="Arial" w:eastAsia="仿宋_GB2312" w:hAnsi="Arial" w:cs="Arial"/>
                <w:b/>
                <w:bCs/>
                <w:szCs w:val="24"/>
              </w:rPr>
              <w:t>方法</w:t>
            </w:r>
          </w:p>
        </w:tc>
        <w:tc>
          <w:tcPr>
            <w:tcW w:w="3968" w:type="dxa"/>
            <w:tcBorders>
              <w:top w:val="single" w:sz="4" w:space="0" w:color="auto"/>
              <w:left w:val="nil"/>
              <w:bottom w:val="single" w:sz="4" w:space="0" w:color="auto"/>
              <w:right w:val="single" w:sz="4" w:space="0" w:color="auto"/>
            </w:tcBorders>
            <w:shd w:val="clear" w:color="auto" w:fill="auto"/>
            <w:vAlign w:val="center"/>
          </w:tcPr>
          <w:p w14:paraId="758A76F5" w14:textId="77777777" w:rsidR="0062768B" w:rsidRDefault="00136729">
            <w:pPr>
              <w:widowControl/>
              <w:adjustRightInd/>
              <w:spacing w:line="300" w:lineRule="auto"/>
              <w:jc w:val="center"/>
              <w:textAlignment w:val="auto"/>
              <w:rPr>
                <w:rFonts w:ascii="Arial" w:eastAsia="仿宋_GB2312" w:hAnsi="Arial" w:cs="Arial"/>
                <w:b/>
                <w:bCs/>
                <w:szCs w:val="24"/>
              </w:rPr>
            </w:pPr>
            <w:r>
              <w:rPr>
                <w:rFonts w:ascii="Arial" w:eastAsia="仿宋_GB2312" w:hAnsi="Arial" w:cs="Arial"/>
                <w:b/>
                <w:bCs/>
                <w:szCs w:val="24"/>
              </w:rPr>
              <w:t>熟地价</w:t>
            </w:r>
            <w:r>
              <w:rPr>
                <w:rFonts w:ascii="Arial" w:eastAsia="仿宋_GB2312" w:hAnsi="Arial" w:cs="Arial" w:hint="eastAsia"/>
                <w:b/>
                <w:bCs/>
                <w:szCs w:val="24"/>
              </w:rPr>
              <w:t>楼面单价</w:t>
            </w:r>
          </w:p>
          <w:p w14:paraId="5C029C8C" w14:textId="77777777" w:rsidR="0062768B" w:rsidRDefault="00136729">
            <w:pPr>
              <w:widowControl/>
              <w:adjustRightInd/>
              <w:spacing w:line="300" w:lineRule="auto"/>
              <w:jc w:val="center"/>
              <w:textAlignment w:val="auto"/>
              <w:rPr>
                <w:rFonts w:ascii="Arial" w:hAnsi="Arial" w:cs="Arial"/>
                <w:b/>
                <w:bCs/>
                <w:szCs w:val="24"/>
              </w:rPr>
            </w:pPr>
            <w:r>
              <w:rPr>
                <w:rFonts w:ascii="Arial" w:eastAsia="仿宋_GB2312" w:hAnsi="Arial" w:cs="Arial"/>
                <w:b/>
                <w:bCs/>
                <w:szCs w:val="24"/>
              </w:rPr>
              <w:t>（元</w:t>
            </w:r>
            <w:r>
              <w:rPr>
                <w:rFonts w:ascii="Arial" w:eastAsia="仿宋_GB2312" w:hAnsi="Arial" w:cs="Arial"/>
                <w:b/>
                <w:bCs/>
                <w:szCs w:val="24"/>
              </w:rPr>
              <w:t>/</w:t>
            </w:r>
            <w:r>
              <w:rPr>
                <w:rFonts w:ascii="Arial" w:eastAsia="仿宋_GB2312" w:hAnsi="Arial" w:cs="Arial"/>
                <w:b/>
                <w:bCs/>
                <w:szCs w:val="24"/>
              </w:rPr>
              <w:t>平方米）</w:t>
            </w:r>
          </w:p>
        </w:tc>
      </w:tr>
      <w:tr w:rsidR="0062768B" w14:paraId="0E1F7746" w14:textId="77777777">
        <w:trPr>
          <w:cantSplit/>
          <w:jc w:val="center"/>
        </w:trPr>
        <w:tc>
          <w:tcPr>
            <w:tcW w:w="1867" w:type="dxa"/>
            <w:vMerge w:val="restart"/>
            <w:tcBorders>
              <w:top w:val="nil"/>
              <w:left w:val="single" w:sz="4" w:space="0" w:color="auto"/>
              <w:bottom w:val="single" w:sz="4" w:space="0" w:color="auto"/>
              <w:right w:val="single" w:sz="4" w:space="0" w:color="auto"/>
            </w:tcBorders>
            <w:shd w:val="clear" w:color="auto" w:fill="auto"/>
            <w:vAlign w:val="center"/>
          </w:tcPr>
          <w:p w14:paraId="0E863DA5" w14:textId="77777777" w:rsidR="0062768B" w:rsidRDefault="00136729">
            <w:pPr>
              <w:widowControl/>
              <w:adjustRightInd/>
              <w:spacing w:line="300" w:lineRule="auto"/>
              <w:jc w:val="center"/>
              <w:textAlignment w:val="auto"/>
              <w:rPr>
                <w:rFonts w:ascii="Arial" w:hAnsi="Arial" w:cs="Arial"/>
                <w:szCs w:val="24"/>
              </w:rPr>
            </w:pPr>
            <w:r>
              <w:rPr>
                <w:rFonts w:ascii="Arial" w:eastAsia="仿宋_GB2312" w:hAnsi="Arial" w:cs="Arial"/>
                <w:szCs w:val="24"/>
              </w:rPr>
              <w:t>住宅</w:t>
            </w:r>
          </w:p>
        </w:tc>
        <w:tc>
          <w:tcPr>
            <w:tcW w:w="3237" w:type="dxa"/>
            <w:tcBorders>
              <w:top w:val="nil"/>
              <w:left w:val="nil"/>
              <w:bottom w:val="single" w:sz="4" w:space="0" w:color="auto"/>
              <w:right w:val="single" w:sz="4" w:space="0" w:color="auto"/>
            </w:tcBorders>
            <w:shd w:val="clear" w:color="auto" w:fill="auto"/>
            <w:vAlign w:val="center"/>
          </w:tcPr>
          <w:p w14:paraId="4EF7AB65"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基准地价系数修正法</w:t>
            </w:r>
          </w:p>
        </w:tc>
        <w:tc>
          <w:tcPr>
            <w:tcW w:w="3968" w:type="dxa"/>
            <w:tcBorders>
              <w:top w:val="nil"/>
              <w:left w:val="nil"/>
              <w:bottom w:val="single" w:sz="4" w:space="0" w:color="auto"/>
              <w:right w:val="single" w:sz="4" w:space="0" w:color="auto"/>
            </w:tcBorders>
            <w:shd w:val="clear" w:color="auto" w:fill="auto"/>
            <w:vAlign w:val="center"/>
          </w:tcPr>
          <w:p w14:paraId="0E773456"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szCs w:val="24"/>
              </w:rPr>
              <w:t>7428</w:t>
            </w:r>
          </w:p>
        </w:tc>
      </w:tr>
      <w:tr w:rsidR="0062768B" w14:paraId="1480D3F2" w14:textId="77777777">
        <w:trPr>
          <w:cantSplit/>
          <w:jc w:val="center"/>
        </w:trPr>
        <w:tc>
          <w:tcPr>
            <w:tcW w:w="1867" w:type="dxa"/>
            <w:vMerge/>
            <w:tcBorders>
              <w:top w:val="nil"/>
              <w:left w:val="single" w:sz="4" w:space="0" w:color="auto"/>
              <w:bottom w:val="single" w:sz="4" w:space="0" w:color="auto"/>
              <w:right w:val="single" w:sz="4" w:space="0" w:color="auto"/>
            </w:tcBorders>
            <w:vAlign w:val="center"/>
          </w:tcPr>
          <w:p w14:paraId="682F7C76" w14:textId="77777777" w:rsidR="0062768B" w:rsidRDefault="0062768B">
            <w:pPr>
              <w:widowControl/>
              <w:adjustRightInd/>
              <w:spacing w:line="300" w:lineRule="auto"/>
              <w:textAlignment w:val="auto"/>
              <w:rPr>
                <w:rFonts w:ascii="Arial" w:hAnsi="Arial" w:cs="Arial"/>
                <w:szCs w:val="24"/>
              </w:rPr>
            </w:pPr>
          </w:p>
        </w:tc>
        <w:tc>
          <w:tcPr>
            <w:tcW w:w="3237" w:type="dxa"/>
            <w:tcBorders>
              <w:top w:val="nil"/>
              <w:left w:val="nil"/>
              <w:bottom w:val="single" w:sz="4" w:space="0" w:color="auto"/>
              <w:right w:val="single" w:sz="4" w:space="0" w:color="auto"/>
            </w:tcBorders>
            <w:shd w:val="clear" w:color="auto" w:fill="auto"/>
            <w:vAlign w:val="center"/>
          </w:tcPr>
          <w:p w14:paraId="00C6B860" w14:textId="77777777" w:rsidR="0062768B" w:rsidRDefault="00136729">
            <w:pPr>
              <w:widowControl/>
              <w:adjustRightInd/>
              <w:spacing w:line="300" w:lineRule="auto"/>
              <w:jc w:val="center"/>
              <w:textAlignment w:val="auto"/>
              <w:rPr>
                <w:rFonts w:ascii="Arial" w:hAnsi="Arial" w:cs="Arial"/>
                <w:szCs w:val="24"/>
              </w:rPr>
            </w:pPr>
            <w:r>
              <w:rPr>
                <w:rFonts w:ascii="Arial" w:eastAsia="仿宋_GB2312" w:hAnsi="Arial" w:cs="Arial"/>
                <w:szCs w:val="24"/>
              </w:rPr>
              <w:t>剩余法</w:t>
            </w:r>
          </w:p>
        </w:tc>
        <w:tc>
          <w:tcPr>
            <w:tcW w:w="3968" w:type="dxa"/>
            <w:tcBorders>
              <w:top w:val="nil"/>
              <w:left w:val="nil"/>
              <w:bottom w:val="single" w:sz="4" w:space="0" w:color="auto"/>
              <w:right w:val="single" w:sz="4" w:space="0" w:color="auto"/>
            </w:tcBorders>
            <w:shd w:val="clear" w:color="auto" w:fill="auto"/>
            <w:vAlign w:val="center"/>
          </w:tcPr>
          <w:p w14:paraId="629BF7DD"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szCs w:val="24"/>
              </w:rPr>
              <w:t>18459</w:t>
            </w:r>
          </w:p>
        </w:tc>
      </w:tr>
      <w:tr w:rsidR="0062768B" w14:paraId="10E47A43" w14:textId="77777777">
        <w:trPr>
          <w:cantSplit/>
          <w:jc w:val="center"/>
        </w:trPr>
        <w:tc>
          <w:tcPr>
            <w:tcW w:w="1867" w:type="dxa"/>
            <w:vMerge w:val="restart"/>
            <w:tcBorders>
              <w:top w:val="nil"/>
              <w:left w:val="single" w:sz="4" w:space="0" w:color="auto"/>
              <w:bottom w:val="single" w:sz="4" w:space="0" w:color="auto"/>
              <w:right w:val="single" w:sz="4" w:space="0" w:color="auto"/>
            </w:tcBorders>
            <w:shd w:val="clear" w:color="auto" w:fill="auto"/>
            <w:vAlign w:val="center"/>
          </w:tcPr>
          <w:p w14:paraId="2D4FB71E"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商业</w:t>
            </w:r>
          </w:p>
          <w:p w14:paraId="6630C952" w14:textId="77777777" w:rsidR="0062768B" w:rsidRDefault="00136729">
            <w:pPr>
              <w:widowControl/>
              <w:adjustRightInd/>
              <w:spacing w:line="300" w:lineRule="auto"/>
              <w:jc w:val="center"/>
              <w:textAlignment w:val="auto"/>
              <w:rPr>
                <w:rFonts w:ascii="Arial" w:hAnsi="Arial" w:cs="Arial"/>
                <w:szCs w:val="24"/>
              </w:rPr>
            </w:pPr>
            <w:r>
              <w:rPr>
                <w:rFonts w:ascii="Arial" w:eastAsia="仿宋_GB2312" w:hAnsi="Arial" w:cs="Arial" w:hint="eastAsia"/>
                <w:szCs w:val="24"/>
              </w:rPr>
              <w:t>（其他商服）</w:t>
            </w:r>
          </w:p>
        </w:tc>
        <w:tc>
          <w:tcPr>
            <w:tcW w:w="3237" w:type="dxa"/>
            <w:tcBorders>
              <w:top w:val="nil"/>
              <w:left w:val="nil"/>
              <w:bottom w:val="single" w:sz="4" w:space="0" w:color="auto"/>
              <w:right w:val="single" w:sz="4" w:space="0" w:color="auto"/>
            </w:tcBorders>
            <w:shd w:val="clear" w:color="auto" w:fill="auto"/>
            <w:vAlign w:val="center"/>
          </w:tcPr>
          <w:p w14:paraId="78A83D4E"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基准地价系数修正法</w:t>
            </w:r>
          </w:p>
        </w:tc>
        <w:tc>
          <w:tcPr>
            <w:tcW w:w="3968" w:type="dxa"/>
            <w:tcBorders>
              <w:top w:val="nil"/>
              <w:left w:val="nil"/>
              <w:bottom w:val="single" w:sz="4" w:space="0" w:color="auto"/>
              <w:right w:val="single" w:sz="4" w:space="0" w:color="auto"/>
            </w:tcBorders>
            <w:shd w:val="clear" w:color="auto" w:fill="auto"/>
            <w:vAlign w:val="center"/>
          </w:tcPr>
          <w:p w14:paraId="6944D677"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szCs w:val="24"/>
              </w:rPr>
              <w:t>5098</w:t>
            </w:r>
          </w:p>
        </w:tc>
      </w:tr>
      <w:tr w:rsidR="0062768B" w14:paraId="3C87A956" w14:textId="77777777">
        <w:trPr>
          <w:cantSplit/>
          <w:jc w:val="center"/>
        </w:trPr>
        <w:tc>
          <w:tcPr>
            <w:tcW w:w="1867" w:type="dxa"/>
            <w:vMerge/>
            <w:tcBorders>
              <w:top w:val="nil"/>
              <w:left w:val="single" w:sz="4" w:space="0" w:color="auto"/>
              <w:bottom w:val="single" w:sz="4" w:space="0" w:color="auto"/>
              <w:right w:val="single" w:sz="4" w:space="0" w:color="auto"/>
            </w:tcBorders>
            <w:vAlign w:val="center"/>
          </w:tcPr>
          <w:p w14:paraId="28330674" w14:textId="77777777" w:rsidR="0062768B" w:rsidRDefault="0062768B">
            <w:pPr>
              <w:widowControl/>
              <w:adjustRightInd/>
              <w:spacing w:line="300" w:lineRule="auto"/>
              <w:textAlignment w:val="auto"/>
              <w:rPr>
                <w:rFonts w:ascii="Arial" w:hAnsi="Arial" w:cs="Arial"/>
                <w:szCs w:val="24"/>
              </w:rPr>
            </w:pPr>
          </w:p>
        </w:tc>
        <w:tc>
          <w:tcPr>
            <w:tcW w:w="3237" w:type="dxa"/>
            <w:tcBorders>
              <w:top w:val="nil"/>
              <w:left w:val="nil"/>
              <w:bottom w:val="single" w:sz="4" w:space="0" w:color="auto"/>
              <w:right w:val="single" w:sz="4" w:space="0" w:color="auto"/>
            </w:tcBorders>
            <w:shd w:val="clear" w:color="auto" w:fill="auto"/>
            <w:vAlign w:val="center"/>
          </w:tcPr>
          <w:p w14:paraId="488B46C3"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剩余法</w:t>
            </w:r>
          </w:p>
        </w:tc>
        <w:tc>
          <w:tcPr>
            <w:tcW w:w="3968" w:type="dxa"/>
            <w:tcBorders>
              <w:top w:val="nil"/>
              <w:left w:val="nil"/>
              <w:bottom w:val="single" w:sz="4" w:space="0" w:color="auto"/>
              <w:right w:val="single" w:sz="4" w:space="0" w:color="auto"/>
            </w:tcBorders>
            <w:shd w:val="clear" w:color="auto" w:fill="auto"/>
            <w:vAlign w:val="center"/>
          </w:tcPr>
          <w:p w14:paraId="222690A4"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szCs w:val="24"/>
              </w:rPr>
              <w:t>9426</w:t>
            </w:r>
          </w:p>
        </w:tc>
      </w:tr>
      <w:tr w:rsidR="0062768B" w14:paraId="22DA892A" w14:textId="77777777">
        <w:trPr>
          <w:cantSplit/>
          <w:jc w:val="center"/>
        </w:trPr>
        <w:tc>
          <w:tcPr>
            <w:tcW w:w="1867" w:type="dxa"/>
            <w:vMerge w:val="restart"/>
            <w:tcBorders>
              <w:top w:val="single" w:sz="4" w:space="0" w:color="auto"/>
              <w:left w:val="single" w:sz="4" w:space="0" w:color="auto"/>
              <w:right w:val="single" w:sz="4" w:space="0" w:color="auto"/>
            </w:tcBorders>
            <w:vAlign w:val="center"/>
          </w:tcPr>
          <w:p w14:paraId="3B782634" w14:textId="77777777" w:rsidR="0062768B" w:rsidRDefault="00136729">
            <w:pPr>
              <w:spacing w:line="300" w:lineRule="auto"/>
              <w:jc w:val="center"/>
              <w:rPr>
                <w:rFonts w:ascii="Arial" w:eastAsia="仿宋_GB2312" w:hAnsi="Arial" w:cs="Arial"/>
                <w:szCs w:val="24"/>
              </w:rPr>
            </w:pPr>
            <w:r>
              <w:rPr>
                <w:rFonts w:ascii="Arial" w:eastAsia="仿宋_GB2312" w:hAnsi="Arial" w:cs="Arial" w:hint="eastAsia"/>
                <w:szCs w:val="24"/>
              </w:rPr>
              <w:t>公共</w:t>
            </w:r>
            <w:r>
              <w:rPr>
                <w:rFonts w:ascii="Arial" w:eastAsia="仿宋_GB2312" w:hAnsi="Arial" w:cs="Arial"/>
                <w:szCs w:val="24"/>
              </w:rPr>
              <w:t>服务</w:t>
            </w:r>
          </w:p>
        </w:tc>
        <w:tc>
          <w:tcPr>
            <w:tcW w:w="3237" w:type="dxa"/>
            <w:tcBorders>
              <w:top w:val="single" w:sz="4" w:space="0" w:color="auto"/>
              <w:left w:val="nil"/>
              <w:bottom w:val="single" w:sz="4" w:space="0" w:color="auto"/>
              <w:right w:val="single" w:sz="4" w:space="0" w:color="auto"/>
            </w:tcBorders>
            <w:shd w:val="clear" w:color="auto" w:fill="auto"/>
            <w:vAlign w:val="center"/>
          </w:tcPr>
          <w:p w14:paraId="0B5E6A31"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基准地价系数修正法</w:t>
            </w:r>
          </w:p>
        </w:tc>
        <w:tc>
          <w:tcPr>
            <w:tcW w:w="3968" w:type="dxa"/>
            <w:tcBorders>
              <w:top w:val="single" w:sz="4" w:space="0" w:color="auto"/>
              <w:left w:val="nil"/>
              <w:bottom w:val="single" w:sz="4" w:space="0" w:color="auto"/>
              <w:right w:val="single" w:sz="4" w:space="0" w:color="auto"/>
            </w:tcBorders>
            <w:shd w:val="clear" w:color="auto" w:fill="auto"/>
            <w:vAlign w:val="center"/>
          </w:tcPr>
          <w:p w14:paraId="401C9059"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szCs w:val="24"/>
              </w:rPr>
              <w:t>3507</w:t>
            </w:r>
          </w:p>
        </w:tc>
      </w:tr>
      <w:tr w:rsidR="0062768B" w14:paraId="552D9AE6" w14:textId="77777777">
        <w:trPr>
          <w:cantSplit/>
          <w:jc w:val="center"/>
        </w:trPr>
        <w:tc>
          <w:tcPr>
            <w:tcW w:w="1867" w:type="dxa"/>
            <w:vMerge/>
            <w:tcBorders>
              <w:left w:val="single" w:sz="4" w:space="0" w:color="auto"/>
              <w:bottom w:val="single" w:sz="4" w:space="0" w:color="auto"/>
              <w:right w:val="single" w:sz="4" w:space="0" w:color="auto"/>
            </w:tcBorders>
            <w:vAlign w:val="center"/>
          </w:tcPr>
          <w:p w14:paraId="34CCDA23" w14:textId="77777777" w:rsidR="0062768B" w:rsidRDefault="0062768B">
            <w:pPr>
              <w:spacing w:line="300" w:lineRule="auto"/>
              <w:jc w:val="center"/>
              <w:rPr>
                <w:rFonts w:ascii="Arial" w:eastAsia="仿宋_GB2312" w:hAnsi="Arial" w:cs="Arial"/>
                <w:szCs w:val="24"/>
              </w:rPr>
            </w:pPr>
          </w:p>
        </w:tc>
        <w:tc>
          <w:tcPr>
            <w:tcW w:w="3237" w:type="dxa"/>
            <w:tcBorders>
              <w:top w:val="single" w:sz="4" w:space="0" w:color="auto"/>
              <w:left w:val="nil"/>
              <w:bottom w:val="single" w:sz="4" w:space="0" w:color="auto"/>
              <w:right w:val="single" w:sz="4" w:space="0" w:color="auto"/>
            </w:tcBorders>
            <w:shd w:val="clear" w:color="auto" w:fill="auto"/>
            <w:vAlign w:val="center"/>
          </w:tcPr>
          <w:p w14:paraId="31D94E4D"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剩余法</w:t>
            </w:r>
          </w:p>
        </w:tc>
        <w:tc>
          <w:tcPr>
            <w:tcW w:w="3968" w:type="dxa"/>
            <w:tcBorders>
              <w:top w:val="single" w:sz="4" w:space="0" w:color="auto"/>
              <w:left w:val="nil"/>
              <w:bottom w:val="single" w:sz="4" w:space="0" w:color="auto"/>
              <w:right w:val="single" w:sz="4" w:space="0" w:color="auto"/>
            </w:tcBorders>
            <w:shd w:val="clear" w:color="auto" w:fill="auto"/>
            <w:vAlign w:val="center"/>
          </w:tcPr>
          <w:p w14:paraId="789DB4CA"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szCs w:val="24"/>
              </w:rPr>
              <w:t>3738</w:t>
            </w:r>
          </w:p>
        </w:tc>
      </w:tr>
    </w:tbl>
    <w:p w14:paraId="73E63EF2" w14:textId="77777777" w:rsidR="0062768B" w:rsidRDefault="00136729">
      <w:pPr>
        <w:spacing w:line="300" w:lineRule="auto"/>
        <w:ind w:firstLine="556"/>
        <w:jc w:val="both"/>
        <w:rPr>
          <w:rFonts w:ascii="Arial" w:eastAsia="仿宋_GB2312" w:hAnsi="Arial" w:cs="Arial"/>
          <w:sz w:val="28"/>
          <w:szCs w:val="28"/>
        </w:rPr>
      </w:pPr>
      <w:r>
        <w:rPr>
          <w:rFonts w:ascii="Arial" w:eastAsia="仿宋_GB2312" w:hAnsi="Arial" w:cs="Arial"/>
          <w:sz w:val="28"/>
          <w:szCs w:val="28"/>
        </w:rPr>
        <w:t>根据区域土地市场情况，并结合估价对象的具体特点及估价目的等，此次评估采用了基准地价系数修正法和剩余法确定估价对象</w:t>
      </w:r>
      <w:r>
        <w:rPr>
          <w:rFonts w:ascii="Arial" w:eastAsia="仿宋" w:hAnsi="Arial" w:cs="Arial"/>
          <w:sz w:val="28"/>
          <w:szCs w:val="28"/>
        </w:rPr>
        <w:t>住宅、商业</w:t>
      </w:r>
      <w:r>
        <w:rPr>
          <w:rFonts w:ascii="Arial" w:eastAsia="仿宋" w:hAnsi="Arial" w:cs="Arial"/>
          <w:sz w:val="28"/>
          <w:szCs w:val="28"/>
        </w:rPr>
        <w:lastRenderedPageBreak/>
        <w:t>（其他商服）、公共服务</w:t>
      </w:r>
      <w:proofErr w:type="gramStart"/>
      <w:r>
        <w:rPr>
          <w:rFonts w:ascii="Arial" w:eastAsia="仿宋_GB2312" w:hAnsi="Arial" w:cs="Arial"/>
          <w:sz w:val="28"/>
          <w:szCs w:val="28"/>
        </w:rPr>
        <w:t>用途楼</w:t>
      </w:r>
      <w:proofErr w:type="gramEnd"/>
      <w:r>
        <w:rPr>
          <w:rFonts w:ascii="Arial" w:eastAsia="仿宋_GB2312" w:hAnsi="Arial" w:cs="Arial"/>
          <w:sz w:val="28"/>
          <w:szCs w:val="28"/>
        </w:rPr>
        <w:t>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w:t>
      </w:r>
      <w:proofErr w:type="gramStart"/>
      <w:r>
        <w:rPr>
          <w:rFonts w:ascii="Arial" w:eastAsia="仿宋_GB2312" w:hAnsi="Arial" w:cs="Arial"/>
          <w:sz w:val="28"/>
          <w:szCs w:val="28"/>
        </w:rPr>
        <w:t>的</w:t>
      </w:r>
      <w:proofErr w:type="gramEnd"/>
      <w:r>
        <w:rPr>
          <w:rFonts w:ascii="Arial" w:eastAsia="仿宋_GB2312" w:hAnsi="Arial" w:cs="Arial"/>
          <w:sz w:val="28"/>
          <w:szCs w:val="28"/>
        </w:rPr>
        <w:t>地价单独评估的情况，能够体现土地的价格，故剩余法也是判断政府土地出让收益水平的重要依据；</w:t>
      </w:r>
      <w:r>
        <w:rPr>
          <w:rFonts w:ascii="Arial" w:eastAsia="仿宋_GB2312" w:hAnsi="Arial" w:cs="Arial" w:hint="eastAsia"/>
          <w:sz w:val="28"/>
          <w:szCs w:val="28"/>
        </w:rPr>
        <w:t>二</w:t>
      </w:r>
      <w:r>
        <w:rPr>
          <w:rFonts w:ascii="Arial" w:eastAsia="仿宋_GB2312" w:hAnsi="Arial" w:cs="Arial"/>
          <w:sz w:val="28"/>
          <w:szCs w:val="28"/>
        </w:rPr>
        <w:t>种评估方法各有其侧重，从不同的角度反映了估价对象的地价水平，定量分析如下：</w:t>
      </w:r>
    </w:p>
    <w:p w14:paraId="5F0E1C00" w14:textId="77777777" w:rsidR="0062768B" w:rsidRDefault="00136729">
      <w:pPr>
        <w:spacing w:line="300" w:lineRule="auto"/>
        <w:ind w:leftChars="50" w:left="260" w:hangingChars="50" w:hanging="140"/>
        <w:jc w:val="center"/>
        <w:rPr>
          <w:rFonts w:ascii="Arial" w:eastAsia="仿宋_GB2312" w:hAnsi="Arial" w:cs="Arial"/>
          <w:sz w:val="28"/>
          <w:szCs w:val="28"/>
        </w:rPr>
      </w:pPr>
      <w:r>
        <w:rPr>
          <w:rFonts w:ascii="Arial" w:eastAsia="仿宋" w:hAnsi="Arial" w:cs="Arial"/>
          <w:sz w:val="28"/>
          <w:szCs w:val="28"/>
        </w:rPr>
        <w:t>住宅、商业（其他商服）</w:t>
      </w:r>
      <w:r>
        <w:rPr>
          <w:rFonts w:ascii="Arial" w:eastAsia="仿宋_GB2312" w:hAnsi="Arial" w:cs="Arial"/>
          <w:sz w:val="28"/>
          <w:szCs w:val="28"/>
        </w:rPr>
        <w:t>用途权重确定打分评价体系</w:t>
      </w:r>
    </w:p>
    <w:tbl>
      <w:tblPr>
        <w:tblW w:w="907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90"/>
        <w:gridCol w:w="708"/>
        <w:gridCol w:w="5529"/>
        <w:gridCol w:w="992"/>
        <w:gridCol w:w="853"/>
      </w:tblGrid>
      <w:tr w:rsidR="0062768B" w14:paraId="6B841AD3" w14:textId="77777777" w:rsidTr="00791FE1">
        <w:trPr>
          <w:cantSplit/>
          <w:tblHeader/>
          <w:jc w:val="center"/>
        </w:trPr>
        <w:tc>
          <w:tcPr>
            <w:tcW w:w="990" w:type="dxa"/>
            <w:vMerge w:val="restart"/>
            <w:shd w:val="clear" w:color="auto" w:fill="auto"/>
            <w:noWrap/>
            <w:vAlign w:val="center"/>
          </w:tcPr>
          <w:p w14:paraId="3B550F81"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评价因素</w:t>
            </w:r>
          </w:p>
        </w:tc>
        <w:tc>
          <w:tcPr>
            <w:tcW w:w="708" w:type="dxa"/>
            <w:vMerge w:val="restart"/>
            <w:shd w:val="clear" w:color="auto" w:fill="auto"/>
            <w:noWrap/>
            <w:vAlign w:val="center"/>
          </w:tcPr>
          <w:p w14:paraId="4940AA18"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标准分值</w:t>
            </w:r>
          </w:p>
        </w:tc>
        <w:tc>
          <w:tcPr>
            <w:tcW w:w="5529" w:type="dxa"/>
            <w:vMerge w:val="restart"/>
            <w:shd w:val="clear" w:color="auto" w:fill="auto"/>
            <w:noWrap/>
            <w:vAlign w:val="center"/>
          </w:tcPr>
          <w:p w14:paraId="50CA3994"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打分考虑因素</w:t>
            </w:r>
          </w:p>
        </w:tc>
        <w:tc>
          <w:tcPr>
            <w:tcW w:w="1845" w:type="dxa"/>
            <w:gridSpan w:val="2"/>
            <w:shd w:val="clear" w:color="auto" w:fill="auto"/>
            <w:noWrap/>
            <w:vAlign w:val="center"/>
          </w:tcPr>
          <w:p w14:paraId="790FBAF4"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估价对象</w:t>
            </w:r>
          </w:p>
        </w:tc>
      </w:tr>
      <w:tr w:rsidR="0062768B" w14:paraId="33C349F7" w14:textId="77777777" w:rsidTr="00791FE1">
        <w:trPr>
          <w:cantSplit/>
          <w:trHeight w:val="503"/>
          <w:tblHeader/>
          <w:jc w:val="center"/>
        </w:trPr>
        <w:tc>
          <w:tcPr>
            <w:tcW w:w="990" w:type="dxa"/>
            <w:vMerge/>
            <w:vAlign w:val="center"/>
          </w:tcPr>
          <w:p w14:paraId="4605F7FA" w14:textId="77777777" w:rsidR="0062768B" w:rsidRDefault="0062768B">
            <w:pPr>
              <w:widowControl/>
              <w:adjustRightInd/>
              <w:spacing w:line="240" w:lineRule="atLeast"/>
              <w:textAlignment w:val="auto"/>
              <w:rPr>
                <w:rFonts w:ascii="Arial" w:eastAsia="仿宋_GB2312" w:hAnsi="Arial" w:cs="Arial"/>
                <w:szCs w:val="24"/>
              </w:rPr>
            </w:pPr>
          </w:p>
        </w:tc>
        <w:tc>
          <w:tcPr>
            <w:tcW w:w="708" w:type="dxa"/>
            <w:vMerge/>
            <w:vAlign w:val="center"/>
          </w:tcPr>
          <w:p w14:paraId="6E071E3D"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vMerge/>
            <w:vAlign w:val="center"/>
          </w:tcPr>
          <w:p w14:paraId="222003FF" w14:textId="77777777" w:rsidR="0062768B" w:rsidRDefault="0062768B">
            <w:pPr>
              <w:widowControl/>
              <w:adjustRightInd/>
              <w:spacing w:line="240" w:lineRule="atLeast"/>
              <w:textAlignment w:val="auto"/>
              <w:rPr>
                <w:rFonts w:ascii="Arial" w:eastAsia="仿宋_GB2312" w:hAnsi="Arial" w:cs="Arial"/>
                <w:szCs w:val="24"/>
              </w:rPr>
            </w:pPr>
          </w:p>
        </w:tc>
        <w:tc>
          <w:tcPr>
            <w:tcW w:w="992" w:type="dxa"/>
            <w:shd w:val="clear" w:color="auto" w:fill="auto"/>
            <w:noWrap/>
            <w:vAlign w:val="center"/>
          </w:tcPr>
          <w:p w14:paraId="41460E9A"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基准地价系数修正法</w:t>
            </w:r>
          </w:p>
        </w:tc>
        <w:tc>
          <w:tcPr>
            <w:tcW w:w="853" w:type="dxa"/>
            <w:shd w:val="clear" w:color="auto" w:fill="auto"/>
            <w:noWrap/>
            <w:vAlign w:val="center"/>
          </w:tcPr>
          <w:p w14:paraId="37AAEFEE"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剩余法</w:t>
            </w:r>
          </w:p>
        </w:tc>
      </w:tr>
      <w:tr w:rsidR="0062768B" w14:paraId="13688346" w14:textId="77777777" w:rsidTr="00791FE1">
        <w:trPr>
          <w:cantSplit/>
          <w:jc w:val="center"/>
        </w:trPr>
        <w:tc>
          <w:tcPr>
            <w:tcW w:w="990" w:type="dxa"/>
            <w:vMerge w:val="restart"/>
            <w:shd w:val="clear" w:color="auto" w:fill="auto"/>
            <w:vAlign w:val="center"/>
          </w:tcPr>
          <w:p w14:paraId="65F94DAA"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估价方法的代表性</w:t>
            </w:r>
          </w:p>
        </w:tc>
        <w:tc>
          <w:tcPr>
            <w:tcW w:w="708" w:type="dxa"/>
            <w:vMerge w:val="restart"/>
            <w:shd w:val="clear" w:color="auto" w:fill="auto"/>
            <w:noWrap/>
            <w:vAlign w:val="center"/>
          </w:tcPr>
          <w:p w14:paraId="282550CB"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25</w:t>
            </w:r>
          </w:p>
        </w:tc>
        <w:tc>
          <w:tcPr>
            <w:tcW w:w="5529" w:type="dxa"/>
            <w:shd w:val="clear" w:color="auto" w:fill="auto"/>
            <w:noWrap/>
            <w:vAlign w:val="center"/>
          </w:tcPr>
          <w:p w14:paraId="3A995403"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1.</w:t>
            </w:r>
            <w:r>
              <w:rPr>
                <w:rFonts w:ascii="Arial" w:eastAsia="仿宋_GB2312" w:hAnsi="Arial" w:cs="Arial"/>
                <w:szCs w:val="24"/>
              </w:rPr>
              <w:t>估价方法选取分析充分、合理，取</w:t>
            </w:r>
            <w:r>
              <w:rPr>
                <w:rFonts w:ascii="Arial" w:eastAsia="仿宋_GB2312" w:hAnsi="Arial" w:cs="Arial"/>
                <w:szCs w:val="24"/>
              </w:rPr>
              <w:t>20</w:t>
            </w:r>
            <w:r>
              <w:rPr>
                <w:rFonts w:ascii="Arial" w:eastAsia="仿宋_GB2312" w:hAnsi="Arial" w:cs="Arial"/>
                <w:szCs w:val="24"/>
              </w:rPr>
              <w:t>～</w:t>
            </w:r>
            <w:r>
              <w:rPr>
                <w:rFonts w:ascii="Arial" w:eastAsia="仿宋_GB2312" w:hAnsi="Arial" w:cs="Arial"/>
                <w:szCs w:val="24"/>
              </w:rPr>
              <w:t>25</w:t>
            </w:r>
            <w:r>
              <w:rPr>
                <w:rFonts w:ascii="Arial" w:eastAsia="仿宋_GB2312" w:hAnsi="Arial" w:cs="Arial"/>
                <w:szCs w:val="24"/>
              </w:rPr>
              <w:t>分；</w:t>
            </w:r>
          </w:p>
        </w:tc>
        <w:tc>
          <w:tcPr>
            <w:tcW w:w="992" w:type="dxa"/>
            <w:vMerge w:val="restart"/>
            <w:shd w:val="clear" w:color="auto" w:fill="auto"/>
            <w:noWrap/>
            <w:vAlign w:val="center"/>
          </w:tcPr>
          <w:p w14:paraId="2738CFE2"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11</w:t>
            </w:r>
          </w:p>
        </w:tc>
        <w:tc>
          <w:tcPr>
            <w:tcW w:w="853" w:type="dxa"/>
            <w:vMerge w:val="restart"/>
            <w:shd w:val="clear" w:color="auto" w:fill="auto"/>
            <w:noWrap/>
            <w:vAlign w:val="center"/>
          </w:tcPr>
          <w:p w14:paraId="498BCDF1"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20</w:t>
            </w:r>
          </w:p>
        </w:tc>
      </w:tr>
      <w:tr w:rsidR="0062768B" w14:paraId="28B868F0" w14:textId="77777777" w:rsidTr="00791FE1">
        <w:trPr>
          <w:cantSplit/>
          <w:jc w:val="center"/>
        </w:trPr>
        <w:tc>
          <w:tcPr>
            <w:tcW w:w="990" w:type="dxa"/>
            <w:vMerge/>
            <w:vAlign w:val="center"/>
          </w:tcPr>
          <w:p w14:paraId="2B80DD69" w14:textId="77777777" w:rsidR="0062768B" w:rsidRDefault="0062768B">
            <w:pPr>
              <w:widowControl/>
              <w:adjustRightInd/>
              <w:spacing w:line="240" w:lineRule="atLeast"/>
              <w:textAlignment w:val="auto"/>
              <w:rPr>
                <w:rFonts w:ascii="Arial" w:eastAsia="仿宋_GB2312" w:hAnsi="Arial" w:cs="Arial"/>
                <w:szCs w:val="24"/>
              </w:rPr>
            </w:pPr>
          </w:p>
        </w:tc>
        <w:tc>
          <w:tcPr>
            <w:tcW w:w="708" w:type="dxa"/>
            <w:vMerge/>
            <w:vAlign w:val="center"/>
          </w:tcPr>
          <w:p w14:paraId="09BADBD7"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shd w:val="clear" w:color="auto" w:fill="auto"/>
            <w:noWrap/>
            <w:vAlign w:val="center"/>
          </w:tcPr>
          <w:p w14:paraId="609080A6"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2.</w:t>
            </w:r>
            <w:r>
              <w:rPr>
                <w:rFonts w:ascii="Arial" w:eastAsia="仿宋_GB2312" w:hAnsi="Arial" w:cs="Arial"/>
                <w:szCs w:val="24"/>
              </w:rPr>
              <w:t>估价方法选取分析较充分、合理，取</w:t>
            </w:r>
            <w:r>
              <w:rPr>
                <w:rFonts w:ascii="Arial" w:eastAsia="仿宋_GB2312" w:hAnsi="Arial" w:cs="Arial"/>
                <w:szCs w:val="24"/>
              </w:rPr>
              <w:t>10</w:t>
            </w:r>
            <w:r>
              <w:rPr>
                <w:rFonts w:ascii="Arial" w:eastAsia="仿宋_GB2312" w:hAnsi="Arial" w:cs="Arial"/>
                <w:szCs w:val="24"/>
              </w:rPr>
              <w:t>～</w:t>
            </w:r>
            <w:r>
              <w:rPr>
                <w:rFonts w:ascii="Arial" w:eastAsia="仿宋_GB2312" w:hAnsi="Arial" w:cs="Arial"/>
                <w:szCs w:val="24"/>
              </w:rPr>
              <w:t>19</w:t>
            </w:r>
            <w:r>
              <w:rPr>
                <w:rFonts w:ascii="Arial" w:eastAsia="仿宋_GB2312" w:hAnsi="Arial" w:cs="Arial"/>
                <w:szCs w:val="24"/>
              </w:rPr>
              <w:t>分；</w:t>
            </w:r>
          </w:p>
        </w:tc>
        <w:tc>
          <w:tcPr>
            <w:tcW w:w="992" w:type="dxa"/>
            <w:vMerge/>
            <w:vAlign w:val="center"/>
          </w:tcPr>
          <w:p w14:paraId="22A44D54" w14:textId="77777777" w:rsidR="0062768B" w:rsidRDefault="0062768B">
            <w:pPr>
              <w:widowControl/>
              <w:adjustRightInd/>
              <w:spacing w:line="240" w:lineRule="atLeast"/>
              <w:textAlignment w:val="auto"/>
              <w:rPr>
                <w:rFonts w:ascii="Arial" w:eastAsia="仿宋_GB2312" w:hAnsi="Arial" w:cs="Arial"/>
                <w:szCs w:val="24"/>
              </w:rPr>
            </w:pPr>
          </w:p>
        </w:tc>
        <w:tc>
          <w:tcPr>
            <w:tcW w:w="853" w:type="dxa"/>
            <w:vMerge/>
            <w:vAlign w:val="center"/>
          </w:tcPr>
          <w:p w14:paraId="14374E02" w14:textId="77777777" w:rsidR="0062768B" w:rsidRDefault="0062768B">
            <w:pPr>
              <w:widowControl/>
              <w:adjustRightInd/>
              <w:spacing w:line="240" w:lineRule="atLeast"/>
              <w:textAlignment w:val="auto"/>
              <w:rPr>
                <w:rFonts w:ascii="Arial" w:eastAsia="仿宋_GB2312" w:hAnsi="Arial" w:cs="Arial"/>
                <w:szCs w:val="24"/>
              </w:rPr>
            </w:pPr>
          </w:p>
        </w:tc>
      </w:tr>
      <w:tr w:rsidR="0062768B" w14:paraId="33B22DB8" w14:textId="77777777" w:rsidTr="00791FE1">
        <w:trPr>
          <w:cantSplit/>
          <w:jc w:val="center"/>
        </w:trPr>
        <w:tc>
          <w:tcPr>
            <w:tcW w:w="990" w:type="dxa"/>
            <w:vMerge/>
            <w:vAlign w:val="center"/>
          </w:tcPr>
          <w:p w14:paraId="459E7A3B" w14:textId="77777777" w:rsidR="0062768B" w:rsidRDefault="0062768B">
            <w:pPr>
              <w:widowControl/>
              <w:adjustRightInd/>
              <w:spacing w:line="240" w:lineRule="atLeast"/>
              <w:textAlignment w:val="auto"/>
              <w:rPr>
                <w:rFonts w:ascii="Arial" w:eastAsia="仿宋_GB2312" w:hAnsi="Arial" w:cs="Arial"/>
                <w:szCs w:val="24"/>
              </w:rPr>
            </w:pPr>
          </w:p>
        </w:tc>
        <w:tc>
          <w:tcPr>
            <w:tcW w:w="708" w:type="dxa"/>
            <w:vMerge/>
            <w:vAlign w:val="center"/>
          </w:tcPr>
          <w:p w14:paraId="6BC4085E"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shd w:val="clear" w:color="auto" w:fill="auto"/>
            <w:noWrap/>
            <w:vAlign w:val="center"/>
          </w:tcPr>
          <w:p w14:paraId="5A81DD4E"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3.</w:t>
            </w:r>
            <w:r>
              <w:rPr>
                <w:rFonts w:ascii="Arial" w:eastAsia="仿宋_GB2312" w:hAnsi="Arial" w:cs="Arial"/>
                <w:szCs w:val="24"/>
              </w:rPr>
              <w:t>估价方法选取分析较不充分，取</w:t>
            </w:r>
            <w:r>
              <w:rPr>
                <w:rFonts w:ascii="Arial" w:eastAsia="仿宋_GB2312" w:hAnsi="Arial" w:cs="Arial"/>
                <w:szCs w:val="24"/>
              </w:rPr>
              <w:t>0</w:t>
            </w:r>
            <w:r>
              <w:rPr>
                <w:rFonts w:ascii="Arial" w:eastAsia="仿宋_GB2312" w:hAnsi="Arial" w:cs="Arial"/>
                <w:szCs w:val="24"/>
              </w:rPr>
              <w:t>～</w:t>
            </w:r>
            <w:r>
              <w:rPr>
                <w:rFonts w:ascii="Arial" w:eastAsia="仿宋_GB2312" w:hAnsi="Arial" w:cs="Arial"/>
                <w:szCs w:val="24"/>
              </w:rPr>
              <w:t>9</w:t>
            </w:r>
            <w:r>
              <w:rPr>
                <w:rFonts w:ascii="Arial" w:eastAsia="仿宋_GB2312" w:hAnsi="Arial" w:cs="Arial"/>
                <w:szCs w:val="24"/>
              </w:rPr>
              <w:t>分；</w:t>
            </w:r>
          </w:p>
        </w:tc>
        <w:tc>
          <w:tcPr>
            <w:tcW w:w="992" w:type="dxa"/>
            <w:vMerge/>
            <w:vAlign w:val="center"/>
          </w:tcPr>
          <w:p w14:paraId="4313ED8D" w14:textId="77777777" w:rsidR="0062768B" w:rsidRDefault="0062768B">
            <w:pPr>
              <w:widowControl/>
              <w:adjustRightInd/>
              <w:spacing w:line="240" w:lineRule="atLeast"/>
              <w:textAlignment w:val="auto"/>
              <w:rPr>
                <w:rFonts w:ascii="Arial" w:eastAsia="仿宋_GB2312" w:hAnsi="Arial" w:cs="Arial"/>
                <w:szCs w:val="24"/>
              </w:rPr>
            </w:pPr>
          </w:p>
        </w:tc>
        <w:tc>
          <w:tcPr>
            <w:tcW w:w="853" w:type="dxa"/>
            <w:vMerge/>
            <w:vAlign w:val="center"/>
          </w:tcPr>
          <w:p w14:paraId="6E8D097F" w14:textId="77777777" w:rsidR="0062768B" w:rsidRDefault="0062768B">
            <w:pPr>
              <w:widowControl/>
              <w:adjustRightInd/>
              <w:spacing w:line="240" w:lineRule="atLeast"/>
              <w:textAlignment w:val="auto"/>
              <w:rPr>
                <w:rFonts w:ascii="Arial" w:eastAsia="仿宋_GB2312" w:hAnsi="Arial" w:cs="Arial"/>
                <w:szCs w:val="24"/>
              </w:rPr>
            </w:pPr>
          </w:p>
        </w:tc>
      </w:tr>
      <w:tr w:rsidR="0062768B" w14:paraId="7D7D8735" w14:textId="77777777" w:rsidTr="00791FE1">
        <w:trPr>
          <w:cantSplit/>
          <w:jc w:val="center"/>
        </w:trPr>
        <w:tc>
          <w:tcPr>
            <w:tcW w:w="990" w:type="dxa"/>
            <w:vMerge w:val="restart"/>
            <w:shd w:val="clear" w:color="auto" w:fill="auto"/>
            <w:vAlign w:val="center"/>
          </w:tcPr>
          <w:p w14:paraId="5590CAED"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估价方法所要求的估价资料的完整性</w:t>
            </w:r>
          </w:p>
        </w:tc>
        <w:tc>
          <w:tcPr>
            <w:tcW w:w="708" w:type="dxa"/>
            <w:vMerge w:val="restart"/>
            <w:shd w:val="clear" w:color="auto" w:fill="auto"/>
            <w:vAlign w:val="center"/>
          </w:tcPr>
          <w:p w14:paraId="2EC5D332"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15</w:t>
            </w:r>
          </w:p>
        </w:tc>
        <w:tc>
          <w:tcPr>
            <w:tcW w:w="5529" w:type="dxa"/>
            <w:shd w:val="clear" w:color="auto" w:fill="auto"/>
            <w:noWrap/>
            <w:vAlign w:val="center"/>
          </w:tcPr>
          <w:p w14:paraId="7643EA9F"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1.</w:t>
            </w:r>
            <w:r>
              <w:rPr>
                <w:rFonts w:ascii="Arial" w:eastAsia="仿宋_GB2312" w:hAnsi="Arial" w:cs="Arial"/>
                <w:szCs w:val="24"/>
              </w:rPr>
              <w:t>估价资料完整，来源依据充分，取</w:t>
            </w:r>
            <w:r>
              <w:rPr>
                <w:rFonts w:ascii="Arial" w:eastAsia="仿宋_GB2312" w:hAnsi="Arial" w:cs="Arial"/>
                <w:szCs w:val="24"/>
              </w:rPr>
              <w:t>10</w:t>
            </w:r>
            <w:r>
              <w:rPr>
                <w:rFonts w:ascii="Arial" w:eastAsia="仿宋_GB2312" w:hAnsi="Arial" w:cs="Arial"/>
                <w:szCs w:val="24"/>
              </w:rPr>
              <w:t>～</w:t>
            </w:r>
            <w:r>
              <w:rPr>
                <w:rFonts w:ascii="Arial" w:eastAsia="仿宋_GB2312" w:hAnsi="Arial" w:cs="Arial"/>
                <w:szCs w:val="24"/>
              </w:rPr>
              <w:t>15</w:t>
            </w:r>
            <w:r>
              <w:rPr>
                <w:rFonts w:ascii="Arial" w:eastAsia="仿宋_GB2312" w:hAnsi="Arial" w:cs="Arial"/>
                <w:szCs w:val="24"/>
              </w:rPr>
              <w:t>分；</w:t>
            </w:r>
          </w:p>
        </w:tc>
        <w:tc>
          <w:tcPr>
            <w:tcW w:w="992" w:type="dxa"/>
            <w:vMerge w:val="restart"/>
            <w:shd w:val="clear" w:color="auto" w:fill="auto"/>
            <w:noWrap/>
            <w:vAlign w:val="center"/>
          </w:tcPr>
          <w:p w14:paraId="268CBE37"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7</w:t>
            </w:r>
          </w:p>
        </w:tc>
        <w:tc>
          <w:tcPr>
            <w:tcW w:w="853" w:type="dxa"/>
            <w:vMerge w:val="restart"/>
            <w:shd w:val="clear" w:color="auto" w:fill="auto"/>
            <w:noWrap/>
            <w:vAlign w:val="center"/>
          </w:tcPr>
          <w:p w14:paraId="0069FF8D"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15</w:t>
            </w:r>
          </w:p>
        </w:tc>
      </w:tr>
      <w:tr w:rsidR="0062768B" w14:paraId="375DE6EA" w14:textId="77777777" w:rsidTr="00791FE1">
        <w:trPr>
          <w:cantSplit/>
          <w:jc w:val="center"/>
        </w:trPr>
        <w:tc>
          <w:tcPr>
            <w:tcW w:w="990" w:type="dxa"/>
            <w:vMerge/>
            <w:vAlign w:val="center"/>
          </w:tcPr>
          <w:p w14:paraId="53B8E4EE" w14:textId="77777777" w:rsidR="0062768B" w:rsidRDefault="0062768B">
            <w:pPr>
              <w:widowControl/>
              <w:adjustRightInd/>
              <w:spacing w:line="240" w:lineRule="atLeast"/>
              <w:textAlignment w:val="auto"/>
              <w:rPr>
                <w:rFonts w:ascii="Arial" w:eastAsia="仿宋_GB2312" w:hAnsi="Arial" w:cs="Arial"/>
                <w:szCs w:val="24"/>
              </w:rPr>
            </w:pPr>
          </w:p>
        </w:tc>
        <w:tc>
          <w:tcPr>
            <w:tcW w:w="708" w:type="dxa"/>
            <w:vMerge/>
            <w:vAlign w:val="center"/>
          </w:tcPr>
          <w:p w14:paraId="77335D3E"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shd w:val="clear" w:color="auto" w:fill="auto"/>
            <w:noWrap/>
            <w:vAlign w:val="center"/>
          </w:tcPr>
          <w:p w14:paraId="088D0B1D"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2.</w:t>
            </w:r>
            <w:r>
              <w:rPr>
                <w:rFonts w:ascii="Arial" w:eastAsia="仿宋_GB2312" w:hAnsi="Arial" w:cs="Arial"/>
                <w:szCs w:val="24"/>
              </w:rPr>
              <w:t>估价资料有欠缺，来源依据较不充分，取</w:t>
            </w:r>
            <w:r>
              <w:rPr>
                <w:rFonts w:ascii="Arial" w:eastAsia="仿宋_GB2312" w:hAnsi="Arial" w:cs="Arial"/>
                <w:szCs w:val="24"/>
              </w:rPr>
              <w:t>0</w:t>
            </w:r>
            <w:r>
              <w:rPr>
                <w:rFonts w:ascii="Arial" w:eastAsia="仿宋_GB2312" w:hAnsi="Arial" w:cs="Arial"/>
                <w:szCs w:val="24"/>
              </w:rPr>
              <w:t>～</w:t>
            </w:r>
            <w:r>
              <w:rPr>
                <w:rFonts w:ascii="Arial" w:eastAsia="仿宋_GB2312" w:hAnsi="Arial" w:cs="Arial"/>
                <w:szCs w:val="24"/>
              </w:rPr>
              <w:t>9</w:t>
            </w:r>
            <w:r>
              <w:rPr>
                <w:rFonts w:ascii="Arial" w:eastAsia="仿宋_GB2312" w:hAnsi="Arial" w:cs="Arial"/>
                <w:szCs w:val="24"/>
              </w:rPr>
              <w:t>分；</w:t>
            </w:r>
          </w:p>
        </w:tc>
        <w:tc>
          <w:tcPr>
            <w:tcW w:w="992" w:type="dxa"/>
            <w:vMerge/>
            <w:vAlign w:val="center"/>
          </w:tcPr>
          <w:p w14:paraId="25F0071E" w14:textId="77777777" w:rsidR="0062768B" w:rsidRDefault="0062768B">
            <w:pPr>
              <w:widowControl/>
              <w:adjustRightInd/>
              <w:spacing w:line="240" w:lineRule="atLeast"/>
              <w:textAlignment w:val="auto"/>
              <w:rPr>
                <w:rFonts w:ascii="Arial" w:eastAsia="仿宋_GB2312" w:hAnsi="Arial" w:cs="Arial"/>
                <w:szCs w:val="24"/>
              </w:rPr>
            </w:pPr>
          </w:p>
        </w:tc>
        <w:tc>
          <w:tcPr>
            <w:tcW w:w="853" w:type="dxa"/>
            <w:vMerge/>
            <w:vAlign w:val="center"/>
          </w:tcPr>
          <w:p w14:paraId="044DCA7E" w14:textId="77777777" w:rsidR="0062768B" w:rsidRDefault="0062768B">
            <w:pPr>
              <w:widowControl/>
              <w:adjustRightInd/>
              <w:spacing w:line="240" w:lineRule="atLeast"/>
              <w:textAlignment w:val="auto"/>
              <w:rPr>
                <w:rFonts w:ascii="Arial" w:eastAsia="仿宋_GB2312" w:hAnsi="Arial" w:cs="Arial"/>
                <w:szCs w:val="24"/>
              </w:rPr>
            </w:pPr>
          </w:p>
        </w:tc>
      </w:tr>
      <w:tr w:rsidR="0062768B" w14:paraId="6E055F9A" w14:textId="77777777" w:rsidTr="00791FE1">
        <w:trPr>
          <w:cantSplit/>
          <w:jc w:val="center"/>
        </w:trPr>
        <w:tc>
          <w:tcPr>
            <w:tcW w:w="990" w:type="dxa"/>
            <w:vMerge w:val="restart"/>
            <w:shd w:val="clear" w:color="auto" w:fill="auto"/>
            <w:vAlign w:val="center"/>
          </w:tcPr>
          <w:p w14:paraId="2870801E"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参数选取的客观性</w:t>
            </w:r>
          </w:p>
        </w:tc>
        <w:tc>
          <w:tcPr>
            <w:tcW w:w="708" w:type="dxa"/>
            <w:vMerge w:val="restart"/>
            <w:shd w:val="clear" w:color="auto" w:fill="auto"/>
            <w:vAlign w:val="center"/>
          </w:tcPr>
          <w:p w14:paraId="7EEFC1F5"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15</w:t>
            </w:r>
          </w:p>
        </w:tc>
        <w:tc>
          <w:tcPr>
            <w:tcW w:w="5529" w:type="dxa"/>
            <w:shd w:val="clear" w:color="auto" w:fill="auto"/>
            <w:noWrap/>
            <w:vAlign w:val="center"/>
          </w:tcPr>
          <w:p w14:paraId="4EF0C3A6"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1.</w:t>
            </w:r>
            <w:r>
              <w:rPr>
                <w:rFonts w:ascii="Arial" w:eastAsia="仿宋_GB2312" w:hAnsi="Arial" w:cs="Arial"/>
                <w:szCs w:val="24"/>
              </w:rPr>
              <w:t>参数从市场上获取，或从权威机构发布的信息上获取，取</w:t>
            </w:r>
            <w:r>
              <w:rPr>
                <w:rFonts w:ascii="Arial" w:eastAsia="仿宋_GB2312" w:hAnsi="Arial" w:cs="Arial"/>
                <w:szCs w:val="24"/>
              </w:rPr>
              <w:t>10</w:t>
            </w:r>
            <w:r>
              <w:rPr>
                <w:rFonts w:ascii="Arial" w:eastAsia="仿宋_GB2312" w:hAnsi="Arial" w:cs="Arial"/>
                <w:szCs w:val="24"/>
              </w:rPr>
              <w:t>～</w:t>
            </w:r>
            <w:r>
              <w:rPr>
                <w:rFonts w:ascii="Arial" w:eastAsia="仿宋_GB2312" w:hAnsi="Arial" w:cs="Arial"/>
                <w:szCs w:val="24"/>
              </w:rPr>
              <w:t>15</w:t>
            </w:r>
            <w:r>
              <w:rPr>
                <w:rFonts w:ascii="Arial" w:eastAsia="仿宋_GB2312" w:hAnsi="Arial" w:cs="Arial"/>
                <w:szCs w:val="24"/>
              </w:rPr>
              <w:t>分；</w:t>
            </w:r>
          </w:p>
        </w:tc>
        <w:tc>
          <w:tcPr>
            <w:tcW w:w="992" w:type="dxa"/>
            <w:vMerge w:val="restart"/>
            <w:shd w:val="clear" w:color="auto" w:fill="auto"/>
            <w:noWrap/>
            <w:vAlign w:val="center"/>
          </w:tcPr>
          <w:p w14:paraId="058E83A9"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8</w:t>
            </w:r>
          </w:p>
        </w:tc>
        <w:tc>
          <w:tcPr>
            <w:tcW w:w="853" w:type="dxa"/>
            <w:vMerge w:val="restart"/>
            <w:shd w:val="clear" w:color="auto" w:fill="auto"/>
            <w:noWrap/>
            <w:vAlign w:val="center"/>
          </w:tcPr>
          <w:p w14:paraId="475DA164"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15</w:t>
            </w:r>
          </w:p>
        </w:tc>
      </w:tr>
      <w:tr w:rsidR="0062768B" w14:paraId="06B6B117" w14:textId="77777777" w:rsidTr="00791FE1">
        <w:trPr>
          <w:cantSplit/>
          <w:jc w:val="center"/>
        </w:trPr>
        <w:tc>
          <w:tcPr>
            <w:tcW w:w="990" w:type="dxa"/>
            <w:vMerge/>
            <w:vAlign w:val="center"/>
          </w:tcPr>
          <w:p w14:paraId="5F3194D3" w14:textId="77777777" w:rsidR="0062768B" w:rsidRDefault="0062768B">
            <w:pPr>
              <w:widowControl/>
              <w:adjustRightInd/>
              <w:spacing w:line="240" w:lineRule="atLeast"/>
              <w:textAlignment w:val="auto"/>
              <w:rPr>
                <w:rFonts w:ascii="Arial" w:eastAsia="仿宋_GB2312" w:hAnsi="Arial" w:cs="Arial"/>
                <w:szCs w:val="24"/>
              </w:rPr>
            </w:pPr>
          </w:p>
        </w:tc>
        <w:tc>
          <w:tcPr>
            <w:tcW w:w="708" w:type="dxa"/>
            <w:vMerge/>
            <w:vAlign w:val="center"/>
          </w:tcPr>
          <w:p w14:paraId="0C27427D"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shd w:val="clear" w:color="auto" w:fill="auto"/>
            <w:noWrap/>
            <w:vAlign w:val="center"/>
          </w:tcPr>
          <w:p w14:paraId="592E7519"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2.</w:t>
            </w:r>
            <w:r>
              <w:rPr>
                <w:rFonts w:ascii="Arial" w:eastAsia="仿宋_GB2312" w:hAnsi="Arial" w:cs="Arial"/>
                <w:szCs w:val="24"/>
              </w:rPr>
              <w:t>部分参数为自行分析取得，理由较充分，取</w:t>
            </w:r>
            <w:r>
              <w:rPr>
                <w:rFonts w:ascii="Arial" w:eastAsia="仿宋_GB2312" w:hAnsi="Arial" w:cs="Arial"/>
                <w:szCs w:val="24"/>
              </w:rPr>
              <w:t>0</w:t>
            </w:r>
            <w:r>
              <w:rPr>
                <w:rFonts w:ascii="Arial" w:eastAsia="仿宋_GB2312" w:hAnsi="Arial" w:cs="Arial"/>
                <w:szCs w:val="24"/>
              </w:rPr>
              <w:t>～</w:t>
            </w:r>
            <w:r>
              <w:rPr>
                <w:rFonts w:ascii="Arial" w:eastAsia="仿宋_GB2312" w:hAnsi="Arial" w:cs="Arial"/>
                <w:szCs w:val="24"/>
              </w:rPr>
              <w:t>9</w:t>
            </w:r>
            <w:r>
              <w:rPr>
                <w:rFonts w:ascii="Arial" w:eastAsia="仿宋_GB2312" w:hAnsi="Arial" w:cs="Arial"/>
                <w:szCs w:val="24"/>
              </w:rPr>
              <w:t>分；</w:t>
            </w:r>
          </w:p>
        </w:tc>
        <w:tc>
          <w:tcPr>
            <w:tcW w:w="992" w:type="dxa"/>
            <w:vMerge/>
            <w:vAlign w:val="center"/>
          </w:tcPr>
          <w:p w14:paraId="664F290E" w14:textId="77777777" w:rsidR="0062768B" w:rsidRDefault="0062768B">
            <w:pPr>
              <w:widowControl/>
              <w:adjustRightInd/>
              <w:spacing w:line="240" w:lineRule="atLeast"/>
              <w:textAlignment w:val="auto"/>
              <w:rPr>
                <w:rFonts w:ascii="Arial" w:eastAsia="仿宋_GB2312" w:hAnsi="Arial" w:cs="Arial"/>
                <w:szCs w:val="24"/>
              </w:rPr>
            </w:pPr>
          </w:p>
        </w:tc>
        <w:tc>
          <w:tcPr>
            <w:tcW w:w="853" w:type="dxa"/>
            <w:vMerge/>
            <w:vAlign w:val="center"/>
          </w:tcPr>
          <w:p w14:paraId="05E6EA49" w14:textId="77777777" w:rsidR="0062768B" w:rsidRDefault="0062768B">
            <w:pPr>
              <w:widowControl/>
              <w:adjustRightInd/>
              <w:spacing w:line="240" w:lineRule="atLeast"/>
              <w:textAlignment w:val="auto"/>
              <w:rPr>
                <w:rFonts w:ascii="Arial" w:eastAsia="仿宋_GB2312" w:hAnsi="Arial" w:cs="Arial"/>
                <w:szCs w:val="24"/>
              </w:rPr>
            </w:pPr>
          </w:p>
        </w:tc>
      </w:tr>
      <w:tr w:rsidR="0062768B" w14:paraId="54028502" w14:textId="77777777" w:rsidTr="00791FE1">
        <w:trPr>
          <w:cantSplit/>
          <w:jc w:val="center"/>
        </w:trPr>
        <w:tc>
          <w:tcPr>
            <w:tcW w:w="990" w:type="dxa"/>
            <w:vMerge w:val="restart"/>
            <w:shd w:val="clear" w:color="auto" w:fill="auto"/>
            <w:vAlign w:val="center"/>
          </w:tcPr>
          <w:p w14:paraId="29B4662C"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参数确定的时效性</w:t>
            </w:r>
          </w:p>
        </w:tc>
        <w:tc>
          <w:tcPr>
            <w:tcW w:w="708" w:type="dxa"/>
            <w:vMerge w:val="restart"/>
            <w:shd w:val="clear" w:color="auto" w:fill="auto"/>
            <w:vAlign w:val="center"/>
          </w:tcPr>
          <w:p w14:paraId="08C05CE9"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15</w:t>
            </w:r>
          </w:p>
        </w:tc>
        <w:tc>
          <w:tcPr>
            <w:tcW w:w="5529" w:type="dxa"/>
            <w:shd w:val="clear" w:color="auto" w:fill="auto"/>
            <w:noWrap/>
            <w:vAlign w:val="center"/>
          </w:tcPr>
          <w:p w14:paraId="56B90F97"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1.</w:t>
            </w:r>
            <w:r>
              <w:rPr>
                <w:rFonts w:ascii="Arial" w:eastAsia="仿宋_GB2312" w:hAnsi="Arial" w:cs="Arial"/>
                <w:szCs w:val="24"/>
              </w:rPr>
              <w:t>参数在规定的时效范围内，且距估价期日未超过</w:t>
            </w:r>
            <w:r>
              <w:rPr>
                <w:rFonts w:ascii="Arial" w:eastAsia="仿宋_GB2312" w:hAnsi="Arial" w:cs="Arial"/>
                <w:szCs w:val="24"/>
              </w:rPr>
              <w:t>1</w:t>
            </w:r>
            <w:r>
              <w:rPr>
                <w:rFonts w:ascii="Arial" w:eastAsia="仿宋_GB2312" w:hAnsi="Arial" w:cs="Arial"/>
                <w:szCs w:val="24"/>
              </w:rPr>
              <w:t>年，取</w:t>
            </w:r>
            <w:r>
              <w:rPr>
                <w:rFonts w:ascii="Arial" w:eastAsia="仿宋_GB2312" w:hAnsi="Arial" w:cs="Arial"/>
                <w:szCs w:val="24"/>
              </w:rPr>
              <w:t>10</w:t>
            </w:r>
            <w:r>
              <w:rPr>
                <w:rFonts w:ascii="Arial" w:eastAsia="仿宋_GB2312" w:hAnsi="Arial" w:cs="Arial"/>
                <w:szCs w:val="24"/>
              </w:rPr>
              <w:t>～</w:t>
            </w:r>
            <w:r>
              <w:rPr>
                <w:rFonts w:ascii="Arial" w:eastAsia="仿宋_GB2312" w:hAnsi="Arial" w:cs="Arial"/>
                <w:szCs w:val="24"/>
              </w:rPr>
              <w:t>15</w:t>
            </w:r>
            <w:r>
              <w:rPr>
                <w:rFonts w:ascii="Arial" w:eastAsia="仿宋_GB2312" w:hAnsi="Arial" w:cs="Arial"/>
                <w:szCs w:val="24"/>
              </w:rPr>
              <w:t>分；</w:t>
            </w:r>
          </w:p>
        </w:tc>
        <w:tc>
          <w:tcPr>
            <w:tcW w:w="992" w:type="dxa"/>
            <w:vMerge w:val="restart"/>
            <w:shd w:val="clear" w:color="auto" w:fill="auto"/>
            <w:noWrap/>
            <w:vAlign w:val="center"/>
          </w:tcPr>
          <w:p w14:paraId="1497EF7F"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8</w:t>
            </w:r>
          </w:p>
        </w:tc>
        <w:tc>
          <w:tcPr>
            <w:tcW w:w="853" w:type="dxa"/>
            <w:vMerge w:val="restart"/>
            <w:shd w:val="clear" w:color="auto" w:fill="auto"/>
            <w:noWrap/>
            <w:vAlign w:val="center"/>
          </w:tcPr>
          <w:p w14:paraId="23CB943C"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15</w:t>
            </w:r>
          </w:p>
        </w:tc>
      </w:tr>
      <w:tr w:rsidR="0062768B" w14:paraId="7D4FB6C2" w14:textId="77777777" w:rsidTr="00791FE1">
        <w:trPr>
          <w:cantSplit/>
          <w:jc w:val="center"/>
        </w:trPr>
        <w:tc>
          <w:tcPr>
            <w:tcW w:w="990" w:type="dxa"/>
            <w:vMerge/>
            <w:vAlign w:val="center"/>
          </w:tcPr>
          <w:p w14:paraId="7FB574F1" w14:textId="77777777" w:rsidR="0062768B" w:rsidRDefault="0062768B">
            <w:pPr>
              <w:widowControl/>
              <w:adjustRightInd/>
              <w:spacing w:line="240" w:lineRule="atLeast"/>
              <w:textAlignment w:val="auto"/>
              <w:rPr>
                <w:rFonts w:ascii="Arial" w:eastAsia="仿宋_GB2312" w:hAnsi="Arial" w:cs="Arial"/>
                <w:szCs w:val="24"/>
              </w:rPr>
            </w:pPr>
          </w:p>
        </w:tc>
        <w:tc>
          <w:tcPr>
            <w:tcW w:w="708" w:type="dxa"/>
            <w:vMerge/>
            <w:vAlign w:val="center"/>
          </w:tcPr>
          <w:p w14:paraId="6F542BDF"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shd w:val="clear" w:color="auto" w:fill="auto"/>
            <w:noWrap/>
            <w:vAlign w:val="center"/>
          </w:tcPr>
          <w:p w14:paraId="0B2400A0"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2.</w:t>
            </w:r>
            <w:r>
              <w:rPr>
                <w:rFonts w:ascii="Arial" w:eastAsia="仿宋_GB2312" w:hAnsi="Arial" w:cs="Arial"/>
                <w:szCs w:val="24"/>
              </w:rPr>
              <w:t>参数在规定的时效范围内，但距估价期日超过</w:t>
            </w:r>
            <w:r>
              <w:rPr>
                <w:rFonts w:ascii="Arial" w:eastAsia="仿宋_GB2312" w:hAnsi="Arial" w:cs="Arial"/>
                <w:szCs w:val="24"/>
              </w:rPr>
              <w:t>1</w:t>
            </w:r>
            <w:r>
              <w:rPr>
                <w:rFonts w:ascii="Arial" w:eastAsia="仿宋_GB2312" w:hAnsi="Arial" w:cs="Arial"/>
                <w:szCs w:val="24"/>
              </w:rPr>
              <w:t>年，取</w:t>
            </w:r>
            <w:r>
              <w:rPr>
                <w:rFonts w:ascii="Arial" w:eastAsia="仿宋_GB2312" w:hAnsi="Arial" w:cs="Arial"/>
                <w:szCs w:val="24"/>
              </w:rPr>
              <w:t>0</w:t>
            </w:r>
            <w:r>
              <w:rPr>
                <w:rFonts w:ascii="Arial" w:eastAsia="仿宋_GB2312" w:hAnsi="Arial" w:cs="Arial"/>
                <w:szCs w:val="24"/>
              </w:rPr>
              <w:t>～</w:t>
            </w:r>
            <w:r>
              <w:rPr>
                <w:rFonts w:ascii="Arial" w:eastAsia="仿宋_GB2312" w:hAnsi="Arial" w:cs="Arial"/>
                <w:szCs w:val="24"/>
              </w:rPr>
              <w:t>9</w:t>
            </w:r>
            <w:r>
              <w:rPr>
                <w:rFonts w:ascii="Arial" w:eastAsia="仿宋_GB2312" w:hAnsi="Arial" w:cs="Arial"/>
                <w:szCs w:val="24"/>
              </w:rPr>
              <w:t>分；</w:t>
            </w:r>
          </w:p>
        </w:tc>
        <w:tc>
          <w:tcPr>
            <w:tcW w:w="992" w:type="dxa"/>
            <w:vMerge/>
            <w:vAlign w:val="center"/>
          </w:tcPr>
          <w:p w14:paraId="7F38C247" w14:textId="77777777" w:rsidR="0062768B" w:rsidRDefault="0062768B">
            <w:pPr>
              <w:widowControl/>
              <w:adjustRightInd/>
              <w:spacing w:line="240" w:lineRule="atLeast"/>
              <w:textAlignment w:val="auto"/>
              <w:rPr>
                <w:rFonts w:ascii="Arial" w:eastAsia="仿宋_GB2312" w:hAnsi="Arial" w:cs="Arial"/>
                <w:szCs w:val="24"/>
              </w:rPr>
            </w:pPr>
          </w:p>
        </w:tc>
        <w:tc>
          <w:tcPr>
            <w:tcW w:w="853" w:type="dxa"/>
            <w:vMerge/>
            <w:vAlign w:val="center"/>
          </w:tcPr>
          <w:p w14:paraId="3F821AEC" w14:textId="77777777" w:rsidR="0062768B" w:rsidRDefault="0062768B">
            <w:pPr>
              <w:widowControl/>
              <w:adjustRightInd/>
              <w:spacing w:line="240" w:lineRule="atLeast"/>
              <w:textAlignment w:val="auto"/>
              <w:rPr>
                <w:rFonts w:ascii="Arial" w:eastAsia="仿宋_GB2312" w:hAnsi="Arial" w:cs="Arial"/>
                <w:szCs w:val="24"/>
              </w:rPr>
            </w:pPr>
          </w:p>
        </w:tc>
      </w:tr>
      <w:tr w:rsidR="0062768B" w14:paraId="0E98E179" w14:textId="77777777" w:rsidTr="00791FE1">
        <w:trPr>
          <w:cantSplit/>
          <w:jc w:val="center"/>
        </w:trPr>
        <w:tc>
          <w:tcPr>
            <w:tcW w:w="990" w:type="dxa"/>
            <w:vMerge w:val="restart"/>
            <w:shd w:val="clear" w:color="auto" w:fill="auto"/>
            <w:vAlign w:val="center"/>
          </w:tcPr>
          <w:p w14:paraId="7623274F"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估价结果的现势性</w:t>
            </w:r>
          </w:p>
        </w:tc>
        <w:tc>
          <w:tcPr>
            <w:tcW w:w="708" w:type="dxa"/>
            <w:vMerge w:val="restart"/>
            <w:shd w:val="clear" w:color="auto" w:fill="auto"/>
            <w:noWrap/>
            <w:vAlign w:val="center"/>
          </w:tcPr>
          <w:p w14:paraId="3DA80533"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30</w:t>
            </w:r>
          </w:p>
        </w:tc>
        <w:tc>
          <w:tcPr>
            <w:tcW w:w="5529" w:type="dxa"/>
            <w:shd w:val="clear" w:color="auto" w:fill="auto"/>
            <w:noWrap/>
            <w:vAlign w:val="center"/>
          </w:tcPr>
          <w:p w14:paraId="71DC46F9"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1.</w:t>
            </w:r>
            <w:r>
              <w:rPr>
                <w:rFonts w:ascii="Arial" w:eastAsia="仿宋_GB2312" w:hAnsi="Arial" w:cs="Arial"/>
                <w:szCs w:val="24"/>
              </w:rPr>
              <w:t>估价结果与同类用途房地产市场价格水平一致，且考虑了房地产市场发展趋势，取</w:t>
            </w:r>
            <w:r>
              <w:rPr>
                <w:rFonts w:ascii="Arial" w:eastAsia="仿宋_GB2312" w:hAnsi="Arial" w:cs="Arial"/>
                <w:szCs w:val="24"/>
              </w:rPr>
              <w:t>20</w:t>
            </w:r>
            <w:r>
              <w:rPr>
                <w:rFonts w:ascii="Arial" w:eastAsia="仿宋_GB2312" w:hAnsi="Arial" w:cs="Arial"/>
                <w:szCs w:val="24"/>
              </w:rPr>
              <w:t>～</w:t>
            </w:r>
            <w:r>
              <w:rPr>
                <w:rFonts w:ascii="Arial" w:eastAsia="仿宋_GB2312" w:hAnsi="Arial" w:cs="Arial"/>
                <w:szCs w:val="24"/>
              </w:rPr>
              <w:t>30</w:t>
            </w:r>
            <w:r>
              <w:rPr>
                <w:rFonts w:ascii="Arial" w:eastAsia="仿宋_GB2312" w:hAnsi="Arial" w:cs="Arial"/>
                <w:szCs w:val="24"/>
              </w:rPr>
              <w:t>分；</w:t>
            </w:r>
          </w:p>
        </w:tc>
        <w:tc>
          <w:tcPr>
            <w:tcW w:w="992" w:type="dxa"/>
            <w:vMerge w:val="restart"/>
            <w:shd w:val="clear" w:color="auto" w:fill="auto"/>
            <w:noWrap/>
            <w:vAlign w:val="center"/>
          </w:tcPr>
          <w:p w14:paraId="2A9BA94E"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5</w:t>
            </w:r>
          </w:p>
        </w:tc>
        <w:tc>
          <w:tcPr>
            <w:tcW w:w="853" w:type="dxa"/>
            <w:vMerge w:val="restart"/>
            <w:shd w:val="clear" w:color="auto" w:fill="auto"/>
            <w:noWrap/>
            <w:vAlign w:val="center"/>
          </w:tcPr>
          <w:p w14:paraId="30BAF013"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2</w:t>
            </w:r>
            <w:r>
              <w:rPr>
                <w:rFonts w:ascii="Arial" w:eastAsia="仿宋_GB2312" w:hAnsi="Arial" w:cs="Arial" w:hint="eastAsia"/>
                <w:szCs w:val="24"/>
              </w:rPr>
              <w:t>6</w:t>
            </w:r>
          </w:p>
        </w:tc>
      </w:tr>
      <w:tr w:rsidR="0062768B" w14:paraId="5950CA2C" w14:textId="77777777" w:rsidTr="00791FE1">
        <w:trPr>
          <w:cantSplit/>
          <w:jc w:val="center"/>
        </w:trPr>
        <w:tc>
          <w:tcPr>
            <w:tcW w:w="990" w:type="dxa"/>
            <w:vMerge/>
            <w:vAlign w:val="center"/>
          </w:tcPr>
          <w:p w14:paraId="1A0E86E5" w14:textId="77777777" w:rsidR="0062768B" w:rsidRDefault="0062768B">
            <w:pPr>
              <w:widowControl/>
              <w:adjustRightInd/>
              <w:spacing w:line="240" w:lineRule="atLeast"/>
              <w:textAlignment w:val="auto"/>
              <w:rPr>
                <w:rFonts w:ascii="Arial" w:eastAsia="仿宋_GB2312" w:hAnsi="Arial" w:cs="Arial"/>
                <w:szCs w:val="24"/>
              </w:rPr>
            </w:pPr>
          </w:p>
        </w:tc>
        <w:tc>
          <w:tcPr>
            <w:tcW w:w="708" w:type="dxa"/>
            <w:vMerge/>
            <w:vAlign w:val="center"/>
          </w:tcPr>
          <w:p w14:paraId="3A59D1EA"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shd w:val="clear" w:color="auto" w:fill="auto"/>
            <w:noWrap/>
            <w:vAlign w:val="center"/>
          </w:tcPr>
          <w:p w14:paraId="22D6C5DE"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2.</w:t>
            </w:r>
            <w:r>
              <w:rPr>
                <w:rFonts w:ascii="Arial" w:eastAsia="仿宋_GB2312" w:hAnsi="Arial" w:cs="Arial"/>
                <w:szCs w:val="24"/>
              </w:rPr>
              <w:t>估价结果与同类用途房地产价格水平基本一致，且适当考虑了房地产市场发展趋势，取</w:t>
            </w:r>
            <w:r>
              <w:rPr>
                <w:rFonts w:ascii="Arial" w:eastAsia="仿宋_GB2312" w:hAnsi="Arial" w:cs="Arial"/>
                <w:szCs w:val="24"/>
              </w:rPr>
              <w:t>10</w:t>
            </w:r>
            <w:r>
              <w:rPr>
                <w:rFonts w:ascii="Arial" w:eastAsia="仿宋_GB2312" w:hAnsi="Arial" w:cs="Arial"/>
                <w:szCs w:val="24"/>
              </w:rPr>
              <w:t>～</w:t>
            </w:r>
            <w:r>
              <w:rPr>
                <w:rFonts w:ascii="Arial" w:eastAsia="仿宋_GB2312" w:hAnsi="Arial" w:cs="Arial"/>
                <w:szCs w:val="24"/>
              </w:rPr>
              <w:t>19</w:t>
            </w:r>
            <w:r>
              <w:rPr>
                <w:rFonts w:ascii="Arial" w:eastAsia="仿宋_GB2312" w:hAnsi="Arial" w:cs="Arial"/>
                <w:szCs w:val="24"/>
              </w:rPr>
              <w:t>分；</w:t>
            </w:r>
          </w:p>
        </w:tc>
        <w:tc>
          <w:tcPr>
            <w:tcW w:w="992" w:type="dxa"/>
            <w:vMerge/>
            <w:vAlign w:val="center"/>
          </w:tcPr>
          <w:p w14:paraId="2471908B" w14:textId="77777777" w:rsidR="0062768B" w:rsidRDefault="0062768B">
            <w:pPr>
              <w:widowControl/>
              <w:adjustRightInd/>
              <w:spacing w:line="240" w:lineRule="atLeast"/>
              <w:textAlignment w:val="auto"/>
              <w:rPr>
                <w:rFonts w:ascii="Arial" w:eastAsia="仿宋_GB2312" w:hAnsi="Arial" w:cs="Arial"/>
                <w:szCs w:val="24"/>
              </w:rPr>
            </w:pPr>
          </w:p>
        </w:tc>
        <w:tc>
          <w:tcPr>
            <w:tcW w:w="853" w:type="dxa"/>
            <w:vMerge/>
            <w:vAlign w:val="center"/>
          </w:tcPr>
          <w:p w14:paraId="33C2F57F" w14:textId="77777777" w:rsidR="0062768B" w:rsidRDefault="0062768B">
            <w:pPr>
              <w:widowControl/>
              <w:adjustRightInd/>
              <w:spacing w:line="240" w:lineRule="atLeast"/>
              <w:textAlignment w:val="auto"/>
              <w:rPr>
                <w:rFonts w:ascii="Arial" w:eastAsia="仿宋_GB2312" w:hAnsi="Arial" w:cs="Arial"/>
                <w:szCs w:val="24"/>
              </w:rPr>
            </w:pPr>
          </w:p>
        </w:tc>
      </w:tr>
      <w:tr w:rsidR="0062768B" w14:paraId="1D31DF89" w14:textId="77777777" w:rsidTr="00791FE1">
        <w:trPr>
          <w:cantSplit/>
          <w:jc w:val="center"/>
        </w:trPr>
        <w:tc>
          <w:tcPr>
            <w:tcW w:w="990" w:type="dxa"/>
            <w:vMerge/>
            <w:vAlign w:val="center"/>
          </w:tcPr>
          <w:p w14:paraId="0B68ED4D" w14:textId="77777777" w:rsidR="0062768B" w:rsidRDefault="0062768B">
            <w:pPr>
              <w:widowControl/>
              <w:adjustRightInd/>
              <w:spacing w:line="240" w:lineRule="atLeast"/>
              <w:textAlignment w:val="auto"/>
              <w:rPr>
                <w:rFonts w:ascii="Arial" w:eastAsia="仿宋_GB2312" w:hAnsi="Arial" w:cs="Arial"/>
                <w:szCs w:val="24"/>
              </w:rPr>
            </w:pPr>
          </w:p>
        </w:tc>
        <w:tc>
          <w:tcPr>
            <w:tcW w:w="708" w:type="dxa"/>
            <w:vMerge/>
            <w:vAlign w:val="center"/>
          </w:tcPr>
          <w:p w14:paraId="53646B5A"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shd w:val="clear" w:color="auto" w:fill="auto"/>
            <w:noWrap/>
            <w:vAlign w:val="center"/>
          </w:tcPr>
          <w:p w14:paraId="4E77475E"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3.</w:t>
            </w:r>
            <w:r>
              <w:rPr>
                <w:rFonts w:ascii="Arial" w:eastAsia="仿宋_GB2312" w:hAnsi="Arial" w:cs="Arial"/>
                <w:szCs w:val="24"/>
              </w:rPr>
              <w:t>估价结果与同类用途房地产价格水平有一定差距，且适当考虑房地产市场发展趋势，取</w:t>
            </w:r>
            <w:r>
              <w:rPr>
                <w:rFonts w:ascii="Arial" w:eastAsia="仿宋_GB2312" w:hAnsi="Arial" w:cs="Arial"/>
                <w:szCs w:val="24"/>
              </w:rPr>
              <w:t>0</w:t>
            </w:r>
            <w:r>
              <w:rPr>
                <w:rFonts w:ascii="Arial" w:eastAsia="仿宋_GB2312" w:hAnsi="Arial" w:cs="Arial"/>
                <w:szCs w:val="24"/>
              </w:rPr>
              <w:t>～</w:t>
            </w:r>
            <w:r>
              <w:rPr>
                <w:rFonts w:ascii="Arial" w:eastAsia="仿宋_GB2312" w:hAnsi="Arial" w:cs="Arial"/>
                <w:szCs w:val="24"/>
              </w:rPr>
              <w:t>9</w:t>
            </w:r>
            <w:r>
              <w:rPr>
                <w:rFonts w:ascii="Arial" w:eastAsia="仿宋_GB2312" w:hAnsi="Arial" w:cs="Arial"/>
                <w:szCs w:val="24"/>
              </w:rPr>
              <w:t>分；</w:t>
            </w:r>
          </w:p>
        </w:tc>
        <w:tc>
          <w:tcPr>
            <w:tcW w:w="992" w:type="dxa"/>
            <w:vMerge/>
            <w:vAlign w:val="center"/>
          </w:tcPr>
          <w:p w14:paraId="50F9BBA9" w14:textId="77777777" w:rsidR="0062768B" w:rsidRDefault="0062768B">
            <w:pPr>
              <w:widowControl/>
              <w:adjustRightInd/>
              <w:spacing w:line="240" w:lineRule="atLeast"/>
              <w:textAlignment w:val="auto"/>
              <w:rPr>
                <w:rFonts w:ascii="Arial" w:eastAsia="仿宋_GB2312" w:hAnsi="Arial" w:cs="Arial"/>
                <w:szCs w:val="24"/>
              </w:rPr>
            </w:pPr>
          </w:p>
        </w:tc>
        <w:tc>
          <w:tcPr>
            <w:tcW w:w="853" w:type="dxa"/>
            <w:vMerge/>
            <w:vAlign w:val="center"/>
          </w:tcPr>
          <w:p w14:paraId="17A12C6C" w14:textId="77777777" w:rsidR="0062768B" w:rsidRDefault="0062768B">
            <w:pPr>
              <w:widowControl/>
              <w:adjustRightInd/>
              <w:spacing w:line="240" w:lineRule="atLeast"/>
              <w:textAlignment w:val="auto"/>
              <w:rPr>
                <w:rFonts w:ascii="Arial" w:eastAsia="仿宋_GB2312" w:hAnsi="Arial" w:cs="Arial"/>
                <w:szCs w:val="24"/>
              </w:rPr>
            </w:pPr>
          </w:p>
        </w:tc>
      </w:tr>
      <w:tr w:rsidR="0062768B" w14:paraId="114F9C59" w14:textId="77777777" w:rsidTr="00791FE1">
        <w:trPr>
          <w:cantSplit/>
          <w:jc w:val="center"/>
        </w:trPr>
        <w:tc>
          <w:tcPr>
            <w:tcW w:w="7227" w:type="dxa"/>
            <w:gridSpan w:val="3"/>
            <w:shd w:val="clear" w:color="auto" w:fill="auto"/>
            <w:noWrap/>
            <w:vAlign w:val="center"/>
          </w:tcPr>
          <w:p w14:paraId="1D595C5E" w14:textId="77777777" w:rsidR="0062768B" w:rsidRDefault="00136729">
            <w:pPr>
              <w:widowControl/>
              <w:adjustRightInd/>
              <w:spacing w:line="240" w:lineRule="atLeast"/>
              <w:jc w:val="center"/>
              <w:textAlignment w:val="auto"/>
              <w:rPr>
                <w:rFonts w:ascii="Arial" w:eastAsia="仿宋_GB2312" w:hAnsi="Arial" w:cs="Arial"/>
                <w:b/>
                <w:bCs/>
                <w:szCs w:val="24"/>
              </w:rPr>
            </w:pPr>
            <w:r>
              <w:rPr>
                <w:rFonts w:ascii="Arial" w:eastAsia="仿宋_GB2312" w:hAnsi="Arial" w:cs="Arial"/>
                <w:b/>
                <w:bCs/>
                <w:szCs w:val="24"/>
              </w:rPr>
              <w:t>分值</w:t>
            </w:r>
          </w:p>
        </w:tc>
        <w:tc>
          <w:tcPr>
            <w:tcW w:w="992" w:type="dxa"/>
            <w:shd w:val="clear" w:color="auto" w:fill="auto"/>
            <w:noWrap/>
            <w:vAlign w:val="center"/>
          </w:tcPr>
          <w:p w14:paraId="08395493"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39</w:t>
            </w:r>
          </w:p>
        </w:tc>
        <w:tc>
          <w:tcPr>
            <w:tcW w:w="853" w:type="dxa"/>
            <w:shd w:val="clear" w:color="auto" w:fill="auto"/>
            <w:noWrap/>
            <w:vAlign w:val="center"/>
          </w:tcPr>
          <w:p w14:paraId="1A6E3763"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9</w:t>
            </w:r>
            <w:r>
              <w:rPr>
                <w:rFonts w:ascii="Arial" w:eastAsia="仿宋_GB2312" w:hAnsi="Arial" w:cs="Arial" w:hint="eastAsia"/>
                <w:szCs w:val="24"/>
              </w:rPr>
              <w:t>1</w:t>
            </w:r>
          </w:p>
        </w:tc>
      </w:tr>
      <w:tr w:rsidR="0062768B" w14:paraId="619544A9" w14:textId="77777777" w:rsidTr="00791FE1">
        <w:trPr>
          <w:cantSplit/>
          <w:jc w:val="center"/>
        </w:trPr>
        <w:tc>
          <w:tcPr>
            <w:tcW w:w="7227" w:type="dxa"/>
            <w:gridSpan w:val="3"/>
            <w:shd w:val="clear" w:color="auto" w:fill="auto"/>
            <w:noWrap/>
            <w:vAlign w:val="center"/>
          </w:tcPr>
          <w:p w14:paraId="362DAB78" w14:textId="77777777" w:rsidR="0062768B" w:rsidRDefault="00136729">
            <w:pPr>
              <w:widowControl/>
              <w:adjustRightInd/>
              <w:spacing w:line="240" w:lineRule="atLeast"/>
              <w:jc w:val="center"/>
              <w:textAlignment w:val="auto"/>
              <w:rPr>
                <w:rFonts w:ascii="Arial" w:eastAsia="仿宋_GB2312" w:hAnsi="Arial" w:cs="Arial"/>
                <w:b/>
                <w:bCs/>
                <w:szCs w:val="24"/>
              </w:rPr>
            </w:pPr>
            <w:r>
              <w:rPr>
                <w:rFonts w:ascii="Arial" w:eastAsia="仿宋_GB2312" w:hAnsi="Arial" w:cs="Arial"/>
                <w:b/>
                <w:bCs/>
                <w:szCs w:val="24"/>
              </w:rPr>
              <w:lastRenderedPageBreak/>
              <w:t>权重</w:t>
            </w:r>
          </w:p>
        </w:tc>
        <w:tc>
          <w:tcPr>
            <w:tcW w:w="992" w:type="dxa"/>
            <w:shd w:val="clear" w:color="auto" w:fill="auto"/>
            <w:noWrap/>
            <w:vAlign w:val="center"/>
          </w:tcPr>
          <w:p w14:paraId="1117E9B9"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3</w:t>
            </w:r>
            <w:r>
              <w:rPr>
                <w:rFonts w:ascii="Arial" w:eastAsia="仿宋_GB2312" w:hAnsi="Arial" w:cs="Arial"/>
                <w:szCs w:val="24"/>
              </w:rPr>
              <w:t>0%</w:t>
            </w:r>
          </w:p>
        </w:tc>
        <w:tc>
          <w:tcPr>
            <w:tcW w:w="853" w:type="dxa"/>
            <w:shd w:val="clear" w:color="auto" w:fill="auto"/>
            <w:noWrap/>
            <w:vAlign w:val="center"/>
          </w:tcPr>
          <w:p w14:paraId="5D6E0A7D"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7</w:t>
            </w:r>
            <w:r>
              <w:rPr>
                <w:rFonts w:ascii="Arial" w:eastAsia="仿宋_GB2312" w:hAnsi="Arial" w:cs="Arial"/>
                <w:szCs w:val="24"/>
              </w:rPr>
              <w:t>0%</w:t>
            </w:r>
          </w:p>
        </w:tc>
      </w:tr>
    </w:tbl>
    <w:p w14:paraId="31C3388E" w14:textId="77777777" w:rsidR="0062768B" w:rsidRDefault="00136729">
      <w:pPr>
        <w:spacing w:beforeLines="50" w:before="120" w:line="300" w:lineRule="auto"/>
        <w:jc w:val="center"/>
        <w:rPr>
          <w:rFonts w:ascii="仿宋" w:eastAsia="仿宋" w:hAnsi="仿宋" w:cs="Arial"/>
          <w:sz w:val="28"/>
          <w:szCs w:val="28"/>
        </w:rPr>
      </w:pPr>
      <w:r>
        <w:rPr>
          <w:rFonts w:ascii="Arial" w:eastAsia="仿宋_GB2312" w:hAnsi="Arial" w:cs="Arial"/>
          <w:b/>
          <w:sz w:val="28"/>
        </w:rPr>
        <w:br w:type="page"/>
      </w:r>
      <w:r>
        <w:rPr>
          <w:rFonts w:ascii="仿宋" w:eastAsia="仿宋" w:hAnsi="仿宋" w:cs="Arial" w:hint="eastAsia"/>
          <w:sz w:val="28"/>
          <w:szCs w:val="28"/>
        </w:rPr>
        <w:lastRenderedPageBreak/>
        <w:t>公共服务</w:t>
      </w:r>
      <w:r>
        <w:rPr>
          <w:rFonts w:ascii="仿宋" w:eastAsia="仿宋" w:hAnsi="仿宋" w:cs="Arial"/>
          <w:sz w:val="28"/>
          <w:szCs w:val="28"/>
        </w:rPr>
        <w:t>用途权重确定打分评价体系</w:t>
      </w:r>
    </w:p>
    <w:tbl>
      <w:tblPr>
        <w:tblW w:w="938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49"/>
        <w:gridCol w:w="708"/>
        <w:gridCol w:w="5387"/>
        <w:gridCol w:w="1334"/>
        <w:gridCol w:w="804"/>
      </w:tblGrid>
      <w:tr w:rsidR="0062768B" w14:paraId="43333EC3" w14:textId="77777777">
        <w:trPr>
          <w:cantSplit/>
          <w:trHeight w:val="309"/>
          <w:tblHeader/>
          <w:jc w:val="center"/>
        </w:trPr>
        <w:tc>
          <w:tcPr>
            <w:tcW w:w="1149" w:type="dxa"/>
            <w:vMerge w:val="restart"/>
            <w:noWrap/>
            <w:vAlign w:val="center"/>
          </w:tcPr>
          <w:p w14:paraId="295D6426"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评价因素</w:t>
            </w:r>
          </w:p>
        </w:tc>
        <w:tc>
          <w:tcPr>
            <w:tcW w:w="708" w:type="dxa"/>
            <w:vMerge w:val="restart"/>
            <w:noWrap/>
            <w:vAlign w:val="center"/>
          </w:tcPr>
          <w:p w14:paraId="7ED7C0FF"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标准分值</w:t>
            </w:r>
          </w:p>
        </w:tc>
        <w:tc>
          <w:tcPr>
            <w:tcW w:w="5387" w:type="dxa"/>
            <w:vMerge w:val="restart"/>
            <w:noWrap/>
            <w:vAlign w:val="center"/>
          </w:tcPr>
          <w:p w14:paraId="3613E382"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打分考虑因素</w:t>
            </w:r>
          </w:p>
        </w:tc>
        <w:tc>
          <w:tcPr>
            <w:tcW w:w="2138" w:type="dxa"/>
            <w:gridSpan w:val="2"/>
            <w:noWrap/>
            <w:vAlign w:val="center"/>
          </w:tcPr>
          <w:p w14:paraId="340BC938"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估价对象</w:t>
            </w:r>
          </w:p>
        </w:tc>
      </w:tr>
      <w:tr w:rsidR="0062768B" w14:paraId="600D7ECC" w14:textId="77777777">
        <w:trPr>
          <w:cantSplit/>
          <w:trHeight w:val="163"/>
          <w:tblHeader/>
          <w:jc w:val="center"/>
        </w:trPr>
        <w:tc>
          <w:tcPr>
            <w:tcW w:w="1149" w:type="dxa"/>
            <w:vMerge/>
            <w:vAlign w:val="center"/>
          </w:tcPr>
          <w:p w14:paraId="1FFB9B61" w14:textId="77777777" w:rsidR="0062768B" w:rsidRDefault="0062768B">
            <w:pPr>
              <w:widowControl/>
              <w:adjustRightInd/>
              <w:spacing w:line="240" w:lineRule="atLeast"/>
              <w:textAlignment w:val="auto"/>
              <w:rPr>
                <w:rFonts w:ascii="Arial" w:eastAsia="仿宋" w:hAnsi="Arial" w:cs="Arial"/>
                <w:szCs w:val="24"/>
              </w:rPr>
            </w:pPr>
          </w:p>
        </w:tc>
        <w:tc>
          <w:tcPr>
            <w:tcW w:w="708" w:type="dxa"/>
            <w:vMerge/>
            <w:vAlign w:val="center"/>
          </w:tcPr>
          <w:p w14:paraId="1284983B" w14:textId="77777777" w:rsidR="0062768B" w:rsidRDefault="0062768B">
            <w:pPr>
              <w:widowControl/>
              <w:adjustRightInd/>
              <w:spacing w:line="240" w:lineRule="atLeast"/>
              <w:textAlignment w:val="auto"/>
              <w:rPr>
                <w:rFonts w:ascii="Arial" w:eastAsia="仿宋" w:hAnsi="Arial" w:cs="Arial"/>
                <w:szCs w:val="24"/>
              </w:rPr>
            </w:pPr>
          </w:p>
        </w:tc>
        <w:tc>
          <w:tcPr>
            <w:tcW w:w="5387" w:type="dxa"/>
            <w:vMerge/>
            <w:vAlign w:val="center"/>
          </w:tcPr>
          <w:p w14:paraId="03D0C78F" w14:textId="77777777" w:rsidR="0062768B" w:rsidRDefault="0062768B">
            <w:pPr>
              <w:widowControl/>
              <w:adjustRightInd/>
              <w:spacing w:line="240" w:lineRule="atLeast"/>
              <w:textAlignment w:val="auto"/>
              <w:rPr>
                <w:rFonts w:ascii="Arial" w:eastAsia="仿宋" w:hAnsi="Arial" w:cs="Arial"/>
                <w:szCs w:val="24"/>
              </w:rPr>
            </w:pPr>
          </w:p>
        </w:tc>
        <w:tc>
          <w:tcPr>
            <w:tcW w:w="1334" w:type="dxa"/>
            <w:noWrap/>
            <w:vAlign w:val="center"/>
          </w:tcPr>
          <w:p w14:paraId="7B846E4B"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基准地价系数修正法</w:t>
            </w:r>
          </w:p>
        </w:tc>
        <w:tc>
          <w:tcPr>
            <w:tcW w:w="804" w:type="dxa"/>
            <w:noWrap/>
            <w:vAlign w:val="center"/>
          </w:tcPr>
          <w:p w14:paraId="2288400A"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剩余法</w:t>
            </w:r>
          </w:p>
        </w:tc>
      </w:tr>
      <w:tr w:rsidR="0062768B" w14:paraId="00F0675A" w14:textId="77777777">
        <w:trPr>
          <w:cantSplit/>
          <w:trHeight w:val="369"/>
          <w:jc w:val="center"/>
        </w:trPr>
        <w:tc>
          <w:tcPr>
            <w:tcW w:w="1149" w:type="dxa"/>
            <w:vMerge w:val="restart"/>
            <w:vAlign w:val="center"/>
          </w:tcPr>
          <w:p w14:paraId="00C636AC"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估价方法的代表性</w:t>
            </w:r>
          </w:p>
        </w:tc>
        <w:tc>
          <w:tcPr>
            <w:tcW w:w="708" w:type="dxa"/>
            <w:vMerge w:val="restart"/>
            <w:noWrap/>
            <w:vAlign w:val="center"/>
          </w:tcPr>
          <w:p w14:paraId="4F2C20CD"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25</w:t>
            </w:r>
          </w:p>
        </w:tc>
        <w:tc>
          <w:tcPr>
            <w:tcW w:w="5387" w:type="dxa"/>
            <w:noWrap/>
            <w:vAlign w:val="center"/>
          </w:tcPr>
          <w:p w14:paraId="6AF33AC7" w14:textId="77777777" w:rsidR="0062768B" w:rsidRDefault="00136729">
            <w:pPr>
              <w:spacing w:line="240" w:lineRule="atLeast"/>
              <w:rPr>
                <w:rFonts w:ascii="Arial" w:eastAsia="仿宋" w:hAnsi="Arial" w:cs="Arial"/>
                <w:szCs w:val="24"/>
              </w:rPr>
            </w:pPr>
            <w:r>
              <w:rPr>
                <w:rFonts w:ascii="Arial" w:eastAsia="仿宋" w:hAnsi="Arial" w:cs="Arial"/>
                <w:szCs w:val="24"/>
              </w:rPr>
              <w:t>1.</w:t>
            </w:r>
            <w:r>
              <w:rPr>
                <w:rFonts w:ascii="Arial" w:eastAsia="仿宋" w:hAnsi="Arial" w:cs="Arial"/>
                <w:szCs w:val="24"/>
              </w:rPr>
              <w:t>估价方法选取分析充分、合理，取</w:t>
            </w:r>
            <w:r>
              <w:rPr>
                <w:rFonts w:ascii="Arial" w:eastAsia="仿宋" w:hAnsi="Arial" w:cs="Arial"/>
                <w:szCs w:val="24"/>
              </w:rPr>
              <w:t>20</w:t>
            </w:r>
            <w:r>
              <w:rPr>
                <w:rFonts w:ascii="Arial" w:eastAsia="仿宋" w:hAnsi="Arial" w:cs="Arial"/>
                <w:szCs w:val="24"/>
              </w:rPr>
              <w:t>～</w:t>
            </w:r>
            <w:r>
              <w:rPr>
                <w:rFonts w:ascii="Arial" w:eastAsia="仿宋" w:hAnsi="Arial" w:cs="Arial"/>
                <w:szCs w:val="24"/>
              </w:rPr>
              <w:t>25</w:t>
            </w:r>
            <w:r>
              <w:rPr>
                <w:rFonts w:ascii="Arial" w:eastAsia="仿宋" w:hAnsi="Arial" w:cs="Arial"/>
                <w:szCs w:val="24"/>
              </w:rPr>
              <w:t>分；</w:t>
            </w:r>
          </w:p>
        </w:tc>
        <w:tc>
          <w:tcPr>
            <w:tcW w:w="1334" w:type="dxa"/>
            <w:vMerge w:val="restart"/>
            <w:noWrap/>
            <w:vAlign w:val="center"/>
          </w:tcPr>
          <w:p w14:paraId="1022D596"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20</w:t>
            </w:r>
          </w:p>
        </w:tc>
        <w:tc>
          <w:tcPr>
            <w:tcW w:w="804" w:type="dxa"/>
            <w:vMerge w:val="restart"/>
            <w:noWrap/>
            <w:vAlign w:val="center"/>
          </w:tcPr>
          <w:p w14:paraId="2368A78C" w14:textId="77777777" w:rsidR="0062768B" w:rsidRDefault="00136729">
            <w:pPr>
              <w:spacing w:line="240" w:lineRule="atLeast"/>
              <w:jc w:val="center"/>
              <w:rPr>
                <w:rFonts w:ascii="Arial" w:eastAsia="仿宋" w:hAnsi="Arial" w:cs="Arial"/>
                <w:szCs w:val="24"/>
              </w:rPr>
            </w:pPr>
            <w:r>
              <w:rPr>
                <w:rFonts w:ascii="Arial" w:eastAsia="仿宋" w:hAnsi="Arial" w:cs="Arial"/>
                <w:szCs w:val="24"/>
              </w:rPr>
              <w:t>20</w:t>
            </w:r>
          </w:p>
        </w:tc>
      </w:tr>
      <w:tr w:rsidR="0062768B" w14:paraId="571D4A99" w14:textId="77777777">
        <w:trPr>
          <w:cantSplit/>
          <w:trHeight w:val="432"/>
          <w:jc w:val="center"/>
        </w:trPr>
        <w:tc>
          <w:tcPr>
            <w:tcW w:w="1149" w:type="dxa"/>
            <w:vMerge/>
            <w:vAlign w:val="center"/>
          </w:tcPr>
          <w:p w14:paraId="21B991BB" w14:textId="77777777" w:rsidR="0062768B" w:rsidRDefault="0062768B">
            <w:pPr>
              <w:widowControl/>
              <w:adjustRightInd/>
              <w:spacing w:line="240" w:lineRule="atLeast"/>
              <w:textAlignment w:val="auto"/>
              <w:rPr>
                <w:rFonts w:ascii="Arial" w:eastAsia="仿宋" w:hAnsi="Arial" w:cs="Arial"/>
                <w:szCs w:val="24"/>
              </w:rPr>
            </w:pPr>
          </w:p>
        </w:tc>
        <w:tc>
          <w:tcPr>
            <w:tcW w:w="708" w:type="dxa"/>
            <w:vMerge/>
            <w:vAlign w:val="center"/>
          </w:tcPr>
          <w:p w14:paraId="671888F3" w14:textId="77777777" w:rsidR="0062768B" w:rsidRDefault="0062768B">
            <w:pPr>
              <w:widowControl/>
              <w:adjustRightInd/>
              <w:spacing w:line="240" w:lineRule="atLeast"/>
              <w:textAlignment w:val="auto"/>
              <w:rPr>
                <w:rFonts w:ascii="Arial" w:eastAsia="仿宋" w:hAnsi="Arial" w:cs="Arial"/>
                <w:szCs w:val="24"/>
              </w:rPr>
            </w:pPr>
          </w:p>
        </w:tc>
        <w:tc>
          <w:tcPr>
            <w:tcW w:w="5387" w:type="dxa"/>
            <w:noWrap/>
            <w:vAlign w:val="center"/>
          </w:tcPr>
          <w:p w14:paraId="334ACBB3" w14:textId="77777777" w:rsidR="0062768B" w:rsidRDefault="00136729">
            <w:pPr>
              <w:spacing w:line="240" w:lineRule="atLeast"/>
              <w:rPr>
                <w:rFonts w:ascii="Arial" w:eastAsia="仿宋" w:hAnsi="Arial" w:cs="Arial"/>
                <w:szCs w:val="24"/>
              </w:rPr>
            </w:pPr>
            <w:r>
              <w:rPr>
                <w:rFonts w:ascii="Arial" w:eastAsia="仿宋" w:hAnsi="Arial" w:cs="Arial"/>
                <w:szCs w:val="24"/>
              </w:rPr>
              <w:t>2.</w:t>
            </w:r>
            <w:r>
              <w:rPr>
                <w:rFonts w:ascii="Arial" w:eastAsia="仿宋" w:hAnsi="Arial" w:cs="Arial"/>
                <w:szCs w:val="24"/>
              </w:rPr>
              <w:t>估价方法选取分析较充分、合理，取</w:t>
            </w:r>
            <w:r>
              <w:rPr>
                <w:rFonts w:ascii="Arial" w:eastAsia="仿宋" w:hAnsi="Arial" w:cs="Arial"/>
                <w:szCs w:val="24"/>
              </w:rPr>
              <w:t>10</w:t>
            </w:r>
            <w:r>
              <w:rPr>
                <w:rFonts w:ascii="Arial" w:eastAsia="仿宋" w:hAnsi="Arial" w:cs="Arial"/>
                <w:szCs w:val="24"/>
              </w:rPr>
              <w:t>～</w:t>
            </w:r>
            <w:r>
              <w:rPr>
                <w:rFonts w:ascii="Arial" w:eastAsia="仿宋" w:hAnsi="Arial" w:cs="Arial"/>
                <w:szCs w:val="24"/>
              </w:rPr>
              <w:t>19</w:t>
            </w:r>
            <w:r>
              <w:rPr>
                <w:rFonts w:ascii="Arial" w:eastAsia="仿宋" w:hAnsi="Arial" w:cs="Arial"/>
                <w:szCs w:val="24"/>
              </w:rPr>
              <w:t>分；</w:t>
            </w:r>
          </w:p>
        </w:tc>
        <w:tc>
          <w:tcPr>
            <w:tcW w:w="1334" w:type="dxa"/>
            <w:vMerge/>
            <w:vAlign w:val="center"/>
          </w:tcPr>
          <w:p w14:paraId="57756619" w14:textId="77777777" w:rsidR="0062768B" w:rsidRDefault="0062768B">
            <w:pPr>
              <w:widowControl/>
              <w:adjustRightInd/>
              <w:spacing w:line="240" w:lineRule="atLeast"/>
              <w:textAlignment w:val="auto"/>
              <w:rPr>
                <w:rFonts w:ascii="Arial" w:eastAsia="仿宋" w:hAnsi="Arial" w:cs="Arial"/>
                <w:szCs w:val="24"/>
              </w:rPr>
            </w:pPr>
          </w:p>
        </w:tc>
        <w:tc>
          <w:tcPr>
            <w:tcW w:w="804" w:type="dxa"/>
            <w:vMerge/>
            <w:vAlign w:val="center"/>
          </w:tcPr>
          <w:p w14:paraId="4DDA9F47" w14:textId="77777777" w:rsidR="0062768B" w:rsidRDefault="0062768B">
            <w:pPr>
              <w:widowControl/>
              <w:adjustRightInd/>
              <w:spacing w:line="240" w:lineRule="atLeast"/>
              <w:textAlignment w:val="auto"/>
              <w:rPr>
                <w:rFonts w:ascii="Arial" w:eastAsia="仿宋" w:hAnsi="Arial" w:cs="Arial"/>
                <w:szCs w:val="24"/>
              </w:rPr>
            </w:pPr>
          </w:p>
        </w:tc>
      </w:tr>
      <w:tr w:rsidR="0062768B" w14:paraId="139924C8" w14:textId="77777777">
        <w:trPr>
          <w:cantSplit/>
          <w:trHeight w:val="432"/>
          <w:jc w:val="center"/>
        </w:trPr>
        <w:tc>
          <w:tcPr>
            <w:tcW w:w="1149" w:type="dxa"/>
            <w:vMerge/>
            <w:vAlign w:val="center"/>
          </w:tcPr>
          <w:p w14:paraId="19C3A753" w14:textId="77777777" w:rsidR="0062768B" w:rsidRDefault="0062768B">
            <w:pPr>
              <w:widowControl/>
              <w:adjustRightInd/>
              <w:spacing w:line="240" w:lineRule="atLeast"/>
              <w:textAlignment w:val="auto"/>
              <w:rPr>
                <w:rFonts w:ascii="Arial" w:eastAsia="仿宋" w:hAnsi="Arial" w:cs="Arial"/>
                <w:szCs w:val="24"/>
              </w:rPr>
            </w:pPr>
          </w:p>
        </w:tc>
        <w:tc>
          <w:tcPr>
            <w:tcW w:w="708" w:type="dxa"/>
            <w:vMerge/>
            <w:vAlign w:val="center"/>
          </w:tcPr>
          <w:p w14:paraId="01F6E988" w14:textId="77777777" w:rsidR="0062768B" w:rsidRDefault="0062768B">
            <w:pPr>
              <w:widowControl/>
              <w:adjustRightInd/>
              <w:spacing w:line="240" w:lineRule="atLeast"/>
              <w:textAlignment w:val="auto"/>
              <w:rPr>
                <w:rFonts w:ascii="Arial" w:eastAsia="仿宋" w:hAnsi="Arial" w:cs="Arial"/>
                <w:szCs w:val="24"/>
              </w:rPr>
            </w:pPr>
          </w:p>
        </w:tc>
        <w:tc>
          <w:tcPr>
            <w:tcW w:w="5387" w:type="dxa"/>
            <w:noWrap/>
            <w:vAlign w:val="center"/>
          </w:tcPr>
          <w:p w14:paraId="7869B9BB" w14:textId="77777777" w:rsidR="0062768B" w:rsidRDefault="00136729">
            <w:pPr>
              <w:spacing w:line="240" w:lineRule="atLeast"/>
              <w:rPr>
                <w:rFonts w:ascii="Arial" w:eastAsia="仿宋" w:hAnsi="Arial" w:cs="Arial"/>
                <w:szCs w:val="24"/>
              </w:rPr>
            </w:pPr>
            <w:r>
              <w:rPr>
                <w:rFonts w:ascii="Arial" w:eastAsia="仿宋" w:hAnsi="Arial" w:cs="Arial"/>
                <w:szCs w:val="24"/>
              </w:rPr>
              <w:t>3.</w:t>
            </w:r>
            <w:r>
              <w:rPr>
                <w:rFonts w:ascii="Arial" w:eastAsia="仿宋" w:hAnsi="Arial" w:cs="Arial"/>
                <w:szCs w:val="24"/>
              </w:rPr>
              <w:t>估价方法选取分析较不充分，取</w:t>
            </w:r>
            <w:r>
              <w:rPr>
                <w:rFonts w:ascii="Arial" w:eastAsia="仿宋" w:hAnsi="Arial" w:cs="Arial"/>
                <w:szCs w:val="24"/>
              </w:rPr>
              <w:t>0</w:t>
            </w:r>
            <w:r>
              <w:rPr>
                <w:rFonts w:ascii="Arial" w:eastAsia="仿宋" w:hAnsi="Arial" w:cs="Arial"/>
                <w:szCs w:val="24"/>
              </w:rPr>
              <w:t>～</w:t>
            </w:r>
            <w:r>
              <w:rPr>
                <w:rFonts w:ascii="Arial" w:eastAsia="仿宋" w:hAnsi="Arial" w:cs="Arial"/>
                <w:szCs w:val="24"/>
              </w:rPr>
              <w:t>9</w:t>
            </w:r>
            <w:r>
              <w:rPr>
                <w:rFonts w:ascii="Arial" w:eastAsia="仿宋" w:hAnsi="Arial" w:cs="Arial"/>
                <w:szCs w:val="24"/>
              </w:rPr>
              <w:t>分；</w:t>
            </w:r>
          </w:p>
        </w:tc>
        <w:tc>
          <w:tcPr>
            <w:tcW w:w="1334" w:type="dxa"/>
            <w:vMerge/>
            <w:vAlign w:val="center"/>
          </w:tcPr>
          <w:p w14:paraId="0B07250A" w14:textId="77777777" w:rsidR="0062768B" w:rsidRDefault="0062768B">
            <w:pPr>
              <w:widowControl/>
              <w:adjustRightInd/>
              <w:spacing w:line="240" w:lineRule="atLeast"/>
              <w:textAlignment w:val="auto"/>
              <w:rPr>
                <w:rFonts w:ascii="Arial" w:eastAsia="仿宋" w:hAnsi="Arial" w:cs="Arial"/>
                <w:szCs w:val="24"/>
              </w:rPr>
            </w:pPr>
          </w:p>
        </w:tc>
        <w:tc>
          <w:tcPr>
            <w:tcW w:w="804" w:type="dxa"/>
            <w:vMerge/>
            <w:vAlign w:val="center"/>
          </w:tcPr>
          <w:p w14:paraId="2C249C9E" w14:textId="77777777" w:rsidR="0062768B" w:rsidRDefault="0062768B">
            <w:pPr>
              <w:widowControl/>
              <w:adjustRightInd/>
              <w:spacing w:line="240" w:lineRule="atLeast"/>
              <w:textAlignment w:val="auto"/>
              <w:rPr>
                <w:rFonts w:ascii="Arial" w:eastAsia="仿宋" w:hAnsi="Arial" w:cs="Arial"/>
                <w:szCs w:val="24"/>
              </w:rPr>
            </w:pPr>
          </w:p>
        </w:tc>
      </w:tr>
      <w:tr w:rsidR="0062768B" w14:paraId="7F76D263" w14:textId="77777777">
        <w:trPr>
          <w:cantSplit/>
          <w:trHeight w:val="309"/>
          <w:jc w:val="center"/>
        </w:trPr>
        <w:tc>
          <w:tcPr>
            <w:tcW w:w="1149" w:type="dxa"/>
            <w:vMerge w:val="restart"/>
            <w:vAlign w:val="center"/>
          </w:tcPr>
          <w:p w14:paraId="7524B5CA"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估价方法所要求的估价资料的完整性</w:t>
            </w:r>
          </w:p>
        </w:tc>
        <w:tc>
          <w:tcPr>
            <w:tcW w:w="708" w:type="dxa"/>
            <w:vMerge w:val="restart"/>
            <w:vAlign w:val="center"/>
          </w:tcPr>
          <w:p w14:paraId="1C5EFBDF"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15</w:t>
            </w:r>
          </w:p>
        </w:tc>
        <w:tc>
          <w:tcPr>
            <w:tcW w:w="5387" w:type="dxa"/>
            <w:noWrap/>
            <w:vAlign w:val="center"/>
          </w:tcPr>
          <w:p w14:paraId="02F16CA9" w14:textId="77777777" w:rsidR="0062768B" w:rsidRDefault="00136729">
            <w:pPr>
              <w:spacing w:line="240" w:lineRule="atLeast"/>
              <w:rPr>
                <w:rFonts w:ascii="Arial" w:eastAsia="仿宋" w:hAnsi="Arial" w:cs="Arial"/>
                <w:szCs w:val="24"/>
              </w:rPr>
            </w:pPr>
            <w:r>
              <w:rPr>
                <w:rFonts w:ascii="Arial" w:eastAsia="仿宋" w:hAnsi="Arial" w:cs="Arial"/>
                <w:szCs w:val="24"/>
              </w:rPr>
              <w:t>1.</w:t>
            </w:r>
            <w:r>
              <w:rPr>
                <w:rFonts w:ascii="Arial" w:eastAsia="仿宋" w:hAnsi="Arial" w:cs="Arial"/>
                <w:szCs w:val="24"/>
              </w:rPr>
              <w:t>估价资料完整，来源依据充分，取</w:t>
            </w:r>
            <w:r>
              <w:rPr>
                <w:rFonts w:ascii="Arial" w:eastAsia="仿宋" w:hAnsi="Arial" w:cs="Arial"/>
                <w:szCs w:val="24"/>
              </w:rPr>
              <w:t>10</w:t>
            </w:r>
            <w:r>
              <w:rPr>
                <w:rFonts w:ascii="Arial" w:eastAsia="仿宋" w:hAnsi="Arial" w:cs="Arial"/>
                <w:szCs w:val="24"/>
              </w:rPr>
              <w:t>～</w:t>
            </w:r>
            <w:r>
              <w:rPr>
                <w:rFonts w:ascii="Arial" w:eastAsia="仿宋" w:hAnsi="Arial" w:cs="Arial"/>
                <w:szCs w:val="24"/>
              </w:rPr>
              <w:t>15</w:t>
            </w:r>
            <w:r>
              <w:rPr>
                <w:rFonts w:ascii="Arial" w:eastAsia="仿宋" w:hAnsi="Arial" w:cs="Arial"/>
                <w:szCs w:val="24"/>
              </w:rPr>
              <w:t>分；</w:t>
            </w:r>
          </w:p>
        </w:tc>
        <w:tc>
          <w:tcPr>
            <w:tcW w:w="1334" w:type="dxa"/>
            <w:vMerge w:val="restart"/>
            <w:noWrap/>
            <w:vAlign w:val="center"/>
          </w:tcPr>
          <w:p w14:paraId="02E25049"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15</w:t>
            </w:r>
          </w:p>
        </w:tc>
        <w:tc>
          <w:tcPr>
            <w:tcW w:w="804" w:type="dxa"/>
            <w:vMerge w:val="restart"/>
            <w:noWrap/>
            <w:vAlign w:val="center"/>
          </w:tcPr>
          <w:p w14:paraId="3F2EBF89" w14:textId="77777777" w:rsidR="0062768B" w:rsidRDefault="00136729">
            <w:pPr>
              <w:spacing w:line="240" w:lineRule="atLeast"/>
              <w:jc w:val="center"/>
              <w:rPr>
                <w:rFonts w:ascii="Arial" w:eastAsia="仿宋" w:hAnsi="Arial" w:cs="Arial"/>
                <w:szCs w:val="24"/>
              </w:rPr>
            </w:pPr>
            <w:r>
              <w:rPr>
                <w:rFonts w:ascii="Arial" w:eastAsia="仿宋" w:hAnsi="Arial" w:cs="Arial"/>
                <w:szCs w:val="24"/>
              </w:rPr>
              <w:t>15</w:t>
            </w:r>
          </w:p>
        </w:tc>
      </w:tr>
      <w:tr w:rsidR="0062768B" w14:paraId="64DC9F58" w14:textId="77777777">
        <w:trPr>
          <w:cantSplit/>
          <w:trHeight w:val="732"/>
          <w:jc w:val="center"/>
        </w:trPr>
        <w:tc>
          <w:tcPr>
            <w:tcW w:w="1149" w:type="dxa"/>
            <w:vMerge/>
            <w:vAlign w:val="center"/>
          </w:tcPr>
          <w:p w14:paraId="0C72208C" w14:textId="77777777" w:rsidR="0062768B" w:rsidRDefault="0062768B">
            <w:pPr>
              <w:widowControl/>
              <w:adjustRightInd/>
              <w:spacing w:line="240" w:lineRule="atLeast"/>
              <w:textAlignment w:val="auto"/>
              <w:rPr>
                <w:rFonts w:ascii="Arial" w:eastAsia="仿宋" w:hAnsi="Arial" w:cs="Arial"/>
                <w:szCs w:val="24"/>
              </w:rPr>
            </w:pPr>
          </w:p>
        </w:tc>
        <w:tc>
          <w:tcPr>
            <w:tcW w:w="708" w:type="dxa"/>
            <w:vMerge/>
            <w:vAlign w:val="center"/>
          </w:tcPr>
          <w:p w14:paraId="115742A6" w14:textId="77777777" w:rsidR="0062768B" w:rsidRDefault="0062768B">
            <w:pPr>
              <w:widowControl/>
              <w:adjustRightInd/>
              <w:spacing w:line="240" w:lineRule="atLeast"/>
              <w:textAlignment w:val="auto"/>
              <w:rPr>
                <w:rFonts w:ascii="Arial" w:eastAsia="仿宋" w:hAnsi="Arial" w:cs="Arial"/>
                <w:szCs w:val="24"/>
              </w:rPr>
            </w:pPr>
          </w:p>
        </w:tc>
        <w:tc>
          <w:tcPr>
            <w:tcW w:w="5387" w:type="dxa"/>
            <w:noWrap/>
            <w:vAlign w:val="center"/>
          </w:tcPr>
          <w:p w14:paraId="5BA49F16" w14:textId="77777777" w:rsidR="0062768B" w:rsidRDefault="00136729">
            <w:pPr>
              <w:spacing w:line="240" w:lineRule="atLeast"/>
              <w:rPr>
                <w:rFonts w:ascii="Arial" w:eastAsia="仿宋" w:hAnsi="Arial" w:cs="Arial"/>
                <w:szCs w:val="24"/>
              </w:rPr>
            </w:pPr>
            <w:r>
              <w:rPr>
                <w:rFonts w:ascii="Arial" w:eastAsia="仿宋" w:hAnsi="Arial" w:cs="Arial"/>
                <w:szCs w:val="24"/>
              </w:rPr>
              <w:t>2.</w:t>
            </w:r>
            <w:r>
              <w:rPr>
                <w:rFonts w:ascii="Arial" w:eastAsia="仿宋" w:hAnsi="Arial" w:cs="Arial"/>
                <w:szCs w:val="24"/>
              </w:rPr>
              <w:t>估价资料有欠缺，来源依据较不充分，取</w:t>
            </w:r>
            <w:r>
              <w:rPr>
                <w:rFonts w:ascii="Arial" w:eastAsia="仿宋" w:hAnsi="Arial" w:cs="Arial"/>
                <w:szCs w:val="24"/>
              </w:rPr>
              <w:t>0</w:t>
            </w:r>
            <w:r>
              <w:rPr>
                <w:rFonts w:ascii="Arial" w:eastAsia="仿宋" w:hAnsi="Arial" w:cs="Arial"/>
                <w:szCs w:val="24"/>
              </w:rPr>
              <w:t>～</w:t>
            </w:r>
            <w:r>
              <w:rPr>
                <w:rFonts w:ascii="Arial" w:eastAsia="仿宋" w:hAnsi="Arial" w:cs="Arial"/>
                <w:szCs w:val="24"/>
              </w:rPr>
              <w:t>9</w:t>
            </w:r>
            <w:r>
              <w:rPr>
                <w:rFonts w:ascii="Arial" w:eastAsia="仿宋" w:hAnsi="Arial" w:cs="Arial"/>
                <w:szCs w:val="24"/>
              </w:rPr>
              <w:t>分；</w:t>
            </w:r>
          </w:p>
        </w:tc>
        <w:tc>
          <w:tcPr>
            <w:tcW w:w="1334" w:type="dxa"/>
            <w:vMerge/>
            <w:vAlign w:val="center"/>
          </w:tcPr>
          <w:p w14:paraId="55780574" w14:textId="77777777" w:rsidR="0062768B" w:rsidRDefault="0062768B">
            <w:pPr>
              <w:widowControl/>
              <w:adjustRightInd/>
              <w:spacing w:line="240" w:lineRule="atLeast"/>
              <w:textAlignment w:val="auto"/>
              <w:rPr>
                <w:rFonts w:ascii="Arial" w:eastAsia="仿宋" w:hAnsi="Arial" w:cs="Arial"/>
                <w:szCs w:val="24"/>
              </w:rPr>
            </w:pPr>
          </w:p>
        </w:tc>
        <w:tc>
          <w:tcPr>
            <w:tcW w:w="804" w:type="dxa"/>
            <w:vMerge/>
            <w:vAlign w:val="center"/>
          </w:tcPr>
          <w:p w14:paraId="787613A5" w14:textId="77777777" w:rsidR="0062768B" w:rsidRDefault="0062768B">
            <w:pPr>
              <w:widowControl/>
              <w:adjustRightInd/>
              <w:spacing w:line="240" w:lineRule="atLeast"/>
              <w:textAlignment w:val="auto"/>
              <w:rPr>
                <w:rFonts w:ascii="Arial" w:eastAsia="仿宋" w:hAnsi="Arial" w:cs="Arial"/>
                <w:szCs w:val="24"/>
              </w:rPr>
            </w:pPr>
          </w:p>
        </w:tc>
      </w:tr>
      <w:tr w:rsidR="0062768B" w14:paraId="4192B477" w14:textId="77777777">
        <w:trPr>
          <w:cantSplit/>
          <w:trHeight w:val="556"/>
          <w:jc w:val="center"/>
        </w:trPr>
        <w:tc>
          <w:tcPr>
            <w:tcW w:w="1149" w:type="dxa"/>
            <w:vMerge w:val="restart"/>
            <w:vAlign w:val="center"/>
          </w:tcPr>
          <w:p w14:paraId="7ED9DD4A"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参数选取的客观性</w:t>
            </w:r>
          </w:p>
        </w:tc>
        <w:tc>
          <w:tcPr>
            <w:tcW w:w="708" w:type="dxa"/>
            <w:vMerge w:val="restart"/>
            <w:vAlign w:val="center"/>
          </w:tcPr>
          <w:p w14:paraId="070B566C"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15</w:t>
            </w:r>
          </w:p>
        </w:tc>
        <w:tc>
          <w:tcPr>
            <w:tcW w:w="5387" w:type="dxa"/>
            <w:noWrap/>
            <w:vAlign w:val="center"/>
          </w:tcPr>
          <w:p w14:paraId="58FF2E7F" w14:textId="77777777" w:rsidR="0062768B" w:rsidRDefault="00136729">
            <w:pPr>
              <w:spacing w:line="240" w:lineRule="atLeast"/>
              <w:rPr>
                <w:rFonts w:ascii="Arial" w:eastAsia="仿宋" w:hAnsi="Arial" w:cs="Arial"/>
                <w:szCs w:val="24"/>
              </w:rPr>
            </w:pPr>
            <w:r>
              <w:rPr>
                <w:rFonts w:ascii="Arial" w:eastAsia="仿宋" w:hAnsi="Arial" w:cs="Arial"/>
                <w:szCs w:val="24"/>
              </w:rPr>
              <w:t>1.</w:t>
            </w:r>
            <w:r>
              <w:rPr>
                <w:rFonts w:ascii="Arial" w:eastAsia="仿宋" w:hAnsi="Arial" w:cs="Arial"/>
                <w:szCs w:val="24"/>
              </w:rPr>
              <w:t>参数从市场上获取，或从权威机构发布的信息上获取，取</w:t>
            </w:r>
            <w:r>
              <w:rPr>
                <w:rFonts w:ascii="Arial" w:eastAsia="仿宋" w:hAnsi="Arial" w:cs="Arial"/>
                <w:szCs w:val="24"/>
              </w:rPr>
              <w:t>10</w:t>
            </w:r>
            <w:r>
              <w:rPr>
                <w:rFonts w:ascii="Arial" w:eastAsia="仿宋" w:hAnsi="Arial" w:cs="Arial"/>
                <w:szCs w:val="24"/>
              </w:rPr>
              <w:t>～</w:t>
            </w:r>
            <w:r>
              <w:rPr>
                <w:rFonts w:ascii="Arial" w:eastAsia="仿宋" w:hAnsi="Arial" w:cs="Arial"/>
                <w:szCs w:val="24"/>
              </w:rPr>
              <w:t>15</w:t>
            </w:r>
            <w:r>
              <w:rPr>
                <w:rFonts w:ascii="Arial" w:eastAsia="仿宋" w:hAnsi="Arial" w:cs="Arial"/>
                <w:szCs w:val="24"/>
              </w:rPr>
              <w:t>分；</w:t>
            </w:r>
          </w:p>
        </w:tc>
        <w:tc>
          <w:tcPr>
            <w:tcW w:w="1334" w:type="dxa"/>
            <w:vMerge w:val="restart"/>
            <w:noWrap/>
            <w:vAlign w:val="center"/>
          </w:tcPr>
          <w:p w14:paraId="50A79FFE"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15</w:t>
            </w:r>
          </w:p>
        </w:tc>
        <w:tc>
          <w:tcPr>
            <w:tcW w:w="804" w:type="dxa"/>
            <w:vMerge w:val="restart"/>
            <w:noWrap/>
            <w:vAlign w:val="center"/>
          </w:tcPr>
          <w:p w14:paraId="49B1B5A7" w14:textId="77777777" w:rsidR="0062768B" w:rsidRDefault="00136729">
            <w:pPr>
              <w:spacing w:line="240" w:lineRule="atLeast"/>
              <w:jc w:val="center"/>
              <w:rPr>
                <w:rFonts w:ascii="Arial" w:eastAsia="仿宋" w:hAnsi="Arial" w:cs="Arial"/>
                <w:szCs w:val="24"/>
              </w:rPr>
            </w:pPr>
            <w:r>
              <w:rPr>
                <w:rFonts w:ascii="Arial" w:eastAsia="仿宋" w:hAnsi="Arial" w:cs="Arial"/>
                <w:szCs w:val="24"/>
              </w:rPr>
              <w:t>15</w:t>
            </w:r>
          </w:p>
        </w:tc>
      </w:tr>
      <w:tr w:rsidR="0062768B" w14:paraId="5A6A5504" w14:textId="77777777">
        <w:trPr>
          <w:cantSplit/>
          <w:trHeight w:val="309"/>
          <w:jc w:val="center"/>
        </w:trPr>
        <w:tc>
          <w:tcPr>
            <w:tcW w:w="1149" w:type="dxa"/>
            <w:vMerge/>
            <w:vAlign w:val="center"/>
          </w:tcPr>
          <w:p w14:paraId="3422092E" w14:textId="77777777" w:rsidR="0062768B" w:rsidRDefault="0062768B">
            <w:pPr>
              <w:widowControl/>
              <w:adjustRightInd/>
              <w:spacing w:line="240" w:lineRule="atLeast"/>
              <w:textAlignment w:val="auto"/>
              <w:rPr>
                <w:rFonts w:ascii="Arial" w:eastAsia="仿宋" w:hAnsi="Arial" w:cs="Arial"/>
                <w:szCs w:val="24"/>
              </w:rPr>
            </w:pPr>
          </w:p>
        </w:tc>
        <w:tc>
          <w:tcPr>
            <w:tcW w:w="708" w:type="dxa"/>
            <w:vMerge/>
            <w:vAlign w:val="center"/>
          </w:tcPr>
          <w:p w14:paraId="18C6FC49" w14:textId="77777777" w:rsidR="0062768B" w:rsidRDefault="0062768B">
            <w:pPr>
              <w:widowControl/>
              <w:adjustRightInd/>
              <w:spacing w:line="240" w:lineRule="atLeast"/>
              <w:textAlignment w:val="auto"/>
              <w:rPr>
                <w:rFonts w:ascii="Arial" w:eastAsia="仿宋" w:hAnsi="Arial" w:cs="Arial"/>
                <w:szCs w:val="24"/>
              </w:rPr>
            </w:pPr>
          </w:p>
        </w:tc>
        <w:tc>
          <w:tcPr>
            <w:tcW w:w="5387" w:type="dxa"/>
            <w:noWrap/>
            <w:vAlign w:val="center"/>
          </w:tcPr>
          <w:p w14:paraId="24C93671" w14:textId="77777777" w:rsidR="0062768B" w:rsidRDefault="00136729">
            <w:pPr>
              <w:spacing w:line="240" w:lineRule="atLeast"/>
              <w:rPr>
                <w:rFonts w:ascii="Arial" w:eastAsia="仿宋" w:hAnsi="Arial" w:cs="Arial"/>
                <w:szCs w:val="24"/>
              </w:rPr>
            </w:pPr>
            <w:r>
              <w:rPr>
                <w:rFonts w:ascii="Arial" w:eastAsia="仿宋" w:hAnsi="Arial" w:cs="Arial"/>
                <w:szCs w:val="24"/>
              </w:rPr>
              <w:t>2.</w:t>
            </w:r>
            <w:r>
              <w:rPr>
                <w:rFonts w:ascii="Arial" w:eastAsia="仿宋" w:hAnsi="Arial" w:cs="Arial"/>
                <w:szCs w:val="24"/>
              </w:rPr>
              <w:t>部分参数为自行分析取得，理由较充分，取</w:t>
            </w:r>
            <w:r>
              <w:rPr>
                <w:rFonts w:ascii="Arial" w:eastAsia="仿宋" w:hAnsi="Arial" w:cs="Arial"/>
                <w:szCs w:val="24"/>
              </w:rPr>
              <w:t>0</w:t>
            </w:r>
            <w:r>
              <w:rPr>
                <w:rFonts w:ascii="Arial" w:eastAsia="仿宋" w:hAnsi="Arial" w:cs="Arial"/>
                <w:szCs w:val="24"/>
              </w:rPr>
              <w:t>～</w:t>
            </w:r>
            <w:r>
              <w:rPr>
                <w:rFonts w:ascii="Arial" w:eastAsia="仿宋" w:hAnsi="Arial" w:cs="Arial"/>
                <w:szCs w:val="24"/>
              </w:rPr>
              <w:t>9</w:t>
            </w:r>
            <w:r>
              <w:rPr>
                <w:rFonts w:ascii="Arial" w:eastAsia="仿宋" w:hAnsi="Arial" w:cs="Arial"/>
                <w:szCs w:val="24"/>
              </w:rPr>
              <w:t>分；</w:t>
            </w:r>
          </w:p>
        </w:tc>
        <w:tc>
          <w:tcPr>
            <w:tcW w:w="1334" w:type="dxa"/>
            <w:vMerge/>
            <w:vAlign w:val="center"/>
          </w:tcPr>
          <w:p w14:paraId="563A502F" w14:textId="77777777" w:rsidR="0062768B" w:rsidRDefault="0062768B">
            <w:pPr>
              <w:widowControl/>
              <w:adjustRightInd/>
              <w:spacing w:line="240" w:lineRule="atLeast"/>
              <w:textAlignment w:val="auto"/>
              <w:rPr>
                <w:rFonts w:ascii="Arial" w:eastAsia="仿宋" w:hAnsi="Arial" w:cs="Arial"/>
                <w:szCs w:val="24"/>
              </w:rPr>
            </w:pPr>
          </w:p>
        </w:tc>
        <w:tc>
          <w:tcPr>
            <w:tcW w:w="804" w:type="dxa"/>
            <w:vMerge/>
            <w:vAlign w:val="center"/>
          </w:tcPr>
          <w:p w14:paraId="162311B0" w14:textId="77777777" w:rsidR="0062768B" w:rsidRDefault="0062768B">
            <w:pPr>
              <w:widowControl/>
              <w:adjustRightInd/>
              <w:spacing w:line="240" w:lineRule="atLeast"/>
              <w:textAlignment w:val="auto"/>
              <w:rPr>
                <w:rFonts w:ascii="Arial" w:eastAsia="仿宋" w:hAnsi="Arial" w:cs="Arial"/>
                <w:szCs w:val="24"/>
              </w:rPr>
            </w:pPr>
          </w:p>
        </w:tc>
      </w:tr>
      <w:tr w:rsidR="0062768B" w14:paraId="7AE5DD12" w14:textId="77777777">
        <w:trPr>
          <w:cantSplit/>
          <w:trHeight w:val="556"/>
          <w:jc w:val="center"/>
        </w:trPr>
        <w:tc>
          <w:tcPr>
            <w:tcW w:w="1149" w:type="dxa"/>
            <w:vMerge w:val="restart"/>
            <w:vAlign w:val="center"/>
          </w:tcPr>
          <w:p w14:paraId="3C4C709E"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参数确定的时效性</w:t>
            </w:r>
          </w:p>
        </w:tc>
        <w:tc>
          <w:tcPr>
            <w:tcW w:w="708" w:type="dxa"/>
            <w:vMerge w:val="restart"/>
            <w:vAlign w:val="center"/>
          </w:tcPr>
          <w:p w14:paraId="5B892208"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15</w:t>
            </w:r>
          </w:p>
        </w:tc>
        <w:tc>
          <w:tcPr>
            <w:tcW w:w="5387" w:type="dxa"/>
            <w:noWrap/>
            <w:vAlign w:val="center"/>
          </w:tcPr>
          <w:p w14:paraId="36EB756F" w14:textId="77777777" w:rsidR="0062768B" w:rsidRDefault="00136729">
            <w:pPr>
              <w:spacing w:line="240" w:lineRule="atLeast"/>
              <w:rPr>
                <w:rFonts w:ascii="Arial" w:eastAsia="仿宋" w:hAnsi="Arial" w:cs="Arial"/>
                <w:szCs w:val="24"/>
              </w:rPr>
            </w:pPr>
            <w:r>
              <w:rPr>
                <w:rFonts w:ascii="Arial" w:eastAsia="仿宋" w:hAnsi="Arial" w:cs="Arial"/>
                <w:szCs w:val="24"/>
              </w:rPr>
              <w:t>1.</w:t>
            </w:r>
            <w:r>
              <w:rPr>
                <w:rFonts w:ascii="Arial" w:eastAsia="仿宋" w:hAnsi="Arial" w:cs="Arial"/>
                <w:szCs w:val="24"/>
              </w:rPr>
              <w:t>参数在规定的时效范围内，且距估价期日未超过</w:t>
            </w:r>
            <w:r>
              <w:rPr>
                <w:rFonts w:ascii="Arial" w:eastAsia="仿宋" w:hAnsi="Arial" w:cs="Arial"/>
                <w:szCs w:val="24"/>
              </w:rPr>
              <w:t>1</w:t>
            </w:r>
            <w:r>
              <w:rPr>
                <w:rFonts w:ascii="Arial" w:eastAsia="仿宋" w:hAnsi="Arial" w:cs="Arial"/>
                <w:szCs w:val="24"/>
              </w:rPr>
              <w:t>年，取</w:t>
            </w:r>
            <w:r>
              <w:rPr>
                <w:rFonts w:ascii="Arial" w:eastAsia="仿宋" w:hAnsi="Arial" w:cs="Arial"/>
                <w:szCs w:val="24"/>
              </w:rPr>
              <w:t>10</w:t>
            </w:r>
            <w:r>
              <w:rPr>
                <w:rFonts w:ascii="Arial" w:eastAsia="仿宋" w:hAnsi="Arial" w:cs="Arial"/>
                <w:szCs w:val="24"/>
              </w:rPr>
              <w:t>～</w:t>
            </w:r>
            <w:r>
              <w:rPr>
                <w:rFonts w:ascii="Arial" w:eastAsia="仿宋" w:hAnsi="Arial" w:cs="Arial"/>
                <w:szCs w:val="24"/>
              </w:rPr>
              <w:t>15</w:t>
            </w:r>
            <w:r>
              <w:rPr>
                <w:rFonts w:ascii="Arial" w:eastAsia="仿宋" w:hAnsi="Arial" w:cs="Arial"/>
                <w:szCs w:val="24"/>
              </w:rPr>
              <w:t>分；</w:t>
            </w:r>
          </w:p>
        </w:tc>
        <w:tc>
          <w:tcPr>
            <w:tcW w:w="1334" w:type="dxa"/>
            <w:vMerge w:val="restart"/>
            <w:noWrap/>
            <w:vAlign w:val="center"/>
          </w:tcPr>
          <w:p w14:paraId="0204E5B7"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15</w:t>
            </w:r>
          </w:p>
        </w:tc>
        <w:tc>
          <w:tcPr>
            <w:tcW w:w="804" w:type="dxa"/>
            <w:vMerge w:val="restart"/>
            <w:noWrap/>
            <w:vAlign w:val="center"/>
          </w:tcPr>
          <w:p w14:paraId="10ED4E69" w14:textId="77777777" w:rsidR="0062768B" w:rsidRDefault="00136729">
            <w:pPr>
              <w:spacing w:line="240" w:lineRule="atLeast"/>
              <w:jc w:val="center"/>
              <w:rPr>
                <w:rFonts w:ascii="Arial" w:eastAsia="仿宋" w:hAnsi="Arial" w:cs="Arial"/>
                <w:szCs w:val="24"/>
              </w:rPr>
            </w:pPr>
            <w:r>
              <w:rPr>
                <w:rFonts w:ascii="Arial" w:eastAsia="仿宋" w:hAnsi="Arial" w:cs="Arial"/>
                <w:szCs w:val="24"/>
              </w:rPr>
              <w:t>15</w:t>
            </w:r>
          </w:p>
        </w:tc>
      </w:tr>
      <w:tr w:rsidR="0062768B" w14:paraId="18B26023" w14:textId="77777777">
        <w:trPr>
          <w:cantSplit/>
          <w:trHeight w:val="556"/>
          <w:jc w:val="center"/>
        </w:trPr>
        <w:tc>
          <w:tcPr>
            <w:tcW w:w="1149" w:type="dxa"/>
            <w:vMerge/>
            <w:vAlign w:val="center"/>
          </w:tcPr>
          <w:p w14:paraId="5F5F04F5" w14:textId="77777777" w:rsidR="0062768B" w:rsidRDefault="0062768B">
            <w:pPr>
              <w:widowControl/>
              <w:adjustRightInd/>
              <w:spacing w:line="240" w:lineRule="atLeast"/>
              <w:textAlignment w:val="auto"/>
              <w:rPr>
                <w:rFonts w:ascii="Arial" w:eastAsia="仿宋" w:hAnsi="Arial" w:cs="Arial"/>
                <w:szCs w:val="24"/>
              </w:rPr>
            </w:pPr>
          </w:p>
        </w:tc>
        <w:tc>
          <w:tcPr>
            <w:tcW w:w="708" w:type="dxa"/>
            <w:vMerge/>
            <w:vAlign w:val="center"/>
          </w:tcPr>
          <w:p w14:paraId="5B4E09F0" w14:textId="77777777" w:rsidR="0062768B" w:rsidRDefault="0062768B">
            <w:pPr>
              <w:widowControl/>
              <w:adjustRightInd/>
              <w:spacing w:line="240" w:lineRule="atLeast"/>
              <w:textAlignment w:val="auto"/>
              <w:rPr>
                <w:rFonts w:ascii="Arial" w:eastAsia="仿宋" w:hAnsi="Arial" w:cs="Arial"/>
                <w:szCs w:val="24"/>
              </w:rPr>
            </w:pPr>
          </w:p>
        </w:tc>
        <w:tc>
          <w:tcPr>
            <w:tcW w:w="5387" w:type="dxa"/>
            <w:noWrap/>
            <w:vAlign w:val="center"/>
          </w:tcPr>
          <w:p w14:paraId="5BE01B58" w14:textId="77777777" w:rsidR="0062768B" w:rsidRDefault="00136729">
            <w:pPr>
              <w:spacing w:line="240" w:lineRule="atLeast"/>
              <w:rPr>
                <w:rFonts w:ascii="Arial" w:eastAsia="仿宋" w:hAnsi="Arial" w:cs="Arial"/>
                <w:szCs w:val="24"/>
              </w:rPr>
            </w:pPr>
            <w:r>
              <w:rPr>
                <w:rFonts w:ascii="Arial" w:eastAsia="仿宋" w:hAnsi="Arial" w:cs="Arial"/>
                <w:szCs w:val="24"/>
              </w:rPr>
              <w:t>2.</w:t>
            </w:r>
            <w:r>
              <w:rPr>
                <w:rFonts w:ascii="Arial" w:eastAsia="仿宋" w:hAnsi="Arial" w:cs="Arial"/>
                <w:szCs w:val="24"/>
              </w:rPr>
              <w:t>参数在规定的时效范围内，但距估价期日超过</w:t>
            </w:r>
            <w:r>
              <w:rPr>
                <w:rFonts w:ascii="Arial" w:eastAsia="仿宋" w:hAnsi="Arial" w:cs="Arial"/>
                <w:szCs w:val="24"/>
              </w:rPr>
              <w:t>1</w:t>
            </w:r>
            <w:r>
              <w:rPr>
                <w:rFonts w:ascii="Arial" w:eastAsia="仿宋" w:hAnsi="Arial" w:cs="Arial"/>
                <w:szCs w:val="24"/>
              </w:rPr>
              <w:t>年，取</w:t>
            </w:r>
            <w:r>
              <w:rPr>
                <w:rFonts w:ascii="Arial" w:eastAsia="仿宋" w:hAnsi="Arial" w:cs="Arial"/>
                <w:szCs w:val="24"/>
              </w:rPr>
              <w:t>0</w:t>
            </w:r>
            <w:r>
              <w:rPr>
                <w:rFonts w:ascii="Arial" w:eastAsia="仿宋" w:hAnsi="Arial" w:cs="Arial"/>
                <w:szCs w:val="24"/>
              </w:rPr>
              <w:t>～</w:t>
            </w:r>
            <w:r>
              <w:rPr>
                <w:rFonts w:ascii="Arial" w:eastAsia="仿宋" w:hAnsi="Arial" w:cs="Arial"/>
                <w:szCs w:val="24"/>
              </w:rPr>
              <w:t>9</w:t>
            </w:r>
            <w:r>
              <w:rPr>
                <w:rFonts w:ascii="Arial" w:eastAsia="仿宋" w:hAnsi="Arial" w:cs="Arial"/>
                <w:szCs w:val="24"/>
              </w:rPr>
              <w:t>分；</w:t>
            </w:r>
          </w:p>
        </w:tc>
        <w:tc>
          <w:tcPr>
            <w:tcW w:w="1334" w:type="dxa"/>
            <w:vMerge/>
            <w:vAlign w:val="center"/>
          </w:tcPr>
          <w:p w14:paraId="3F85F308" w14:textId="77777777" w:rsidR="0062768B" w:rsidRDefault="0062768B">
            <w:pPr>
              <w:widowControl/>
              <w:adjustRightInd/>
              <w:spacing w:line="240" w:lineRule="atLeast"/>
              <w:textAlignment w:val="auto"/>
              <w:rPr>
                <w:rFonts w:ascii="Arial" w:eastAsia="仿宋" w:hAnsi="Arial" w:cs="Arial"/>
                <w:szCs w:val="24"/>
              </w:rPr>
            </w:pPr>
          </w:p>
        </w:tc>
        <w:tc>
          <w:tcPr>
            <w:tcW w:w="804" w:type="dxa"/>
            <w:vMerge/>
            <w:vAlign w:val="center"/>
          </w:tcPr>
          <w:p w14:paraId="10C9619C" w14:textId="77777777" w:rsidR="0062768B" w:rsidRDefault="0062768B">
            <w:pPr>
              <w:widowControl/>
              <w:adjustRightInd/>
              <w:spacing w:line="240" w:lineRule="atLeast"/>
              <w:textAlignment w:val="auto"/>
              <w:rPr>
                <w:rFonts w:ascii="Arial" w:eastAsia="仿宋" w:hAnsi="Arial" w:cs="Arial"/>
                <w:szCs w:val="24"/>
              </w:rPr>
            </w:pPr>
          </w:p>
        </w:tc>
      </w:tr>
      <w:tr w:rsidR="0062768B" w14:paraId="101FF400" w14:textId="77777777">
        <w:trPr>
          <w:cantSplit/>
          <w:trHeight w:val="556"/>
          <w:jc w:val="center"/>
        </w:trPr>
        <w:tc>
          <w:tcPr>
            <w:tcW w:w="1149" w:type="dxa"/>
            <w:vMerge w:val="restart"/>
            <w:vAlign w:val="center"/>
          </w:tcPr>
          <w:p w14:paraId="0E1ED69D"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估价结果的现势性</w:t>
            </w:r>
          </w:p>
        </w:tc>
        <w:tc>
          <w:tcPr>
            <w:tcW w:w="708" w:type="dxa"/>
            <w:vMerge w:val="restart"/>
            <w:noWrap/>
            <w:vAlign w:val="center"/>
          </w:tcPr>
          <w:p w14:paraId="501C0BD7"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30</w:t>
            </w:r>
          </w:p>
        </w:tc>
        <w:tc>
          <w:tcPr>
            <w:tcW w:w="5387" w:type="dxa"/>
            <w:noWrap/>
            <w:vAlign w:val="center"/>
          </w:tcPr>
          <w:p w14:paraId="5EFF29E5" w14:textId="77777777" w:rsidR="0062768B" w:rsidRDefault="00136729">
            <w:pPr>
              <w:spacing w:line="240" w:lineRule="atLeast"/>
              <w:rPr>
                <w:rFonts w:ascii="Arial" w:eastAsia="仿宋" w:hAnsi="Arial" w:cs="Arial"/>
                <w:szCs w:val="24"/>
              </w:rPr>
            </w:pPr>
            <w:r>
              <w:rPr>
                <w:rFonts w:ascii="Arial" w:eastAsia="仿宋" w:hAnsi="Arial" w:cs="Arial"/>
                <w:szCs w:val="24"/>
              </w:rPr>
              <w:t>1.</w:t>
            </w:r>
            <w:r>
              <w:rPr>
                <w:rFonts w:ascii="Arial" w:eastAsia="仿宋" w:hAnsi="Arial" w:cs="Arial"/>
                <w:szCs w:val="24"/>
              </w:rPr>
              <w:t>估价结果与同类用途房地产市场价格水平一致，且考虑了房地产市场发展趋势，取</w:t>
            </w:r>
            <w:r>
              <w:rPr>
                <w:rFonts w:ascii="Arial" w:eastAsia="仿宋" w:hAnsi="Arial" w:cs="Arial"/>
                <w:szCs w:val="24"/>
              </w:rPr>
              <w:t>20</w:t>
            </w:r>
            <w:r>
              <w:rPr>
                <w:rFonts w:ascii="Arial" w:eastAsia="仿宋" w:hAnsi="Arial" w:cs="Arial"/>
                <w:szCs w:val="24"/>
              </w:rPr>
              <w:t>～</w:t>
            </w:r>
            <w:r>
              <w:rPr>
                <w:rFonts w:ascii="Arial" w:eastAsia="仿宋" w:hAnsi="Arial" w:cs="Arial"/>
                <w:szCs w:val="24"/>
              </w:rPr>
              <w:t>30</w:t>
            </w:r>
            <w:r>
              <w:rPr>
                <w:rFonts w:ascii="Arial" w:eastAsia="仿宋" w:hAnsi="Arial" w:cs="Arial"/>
                <w:szCs w:val="24"/>
              </w:rPr>
              <w:t>分；</w:t>
            </w:r>
          </w:p>
        </w:tc>
        <w:tc>
          <w:tcPr>
            <w:tcW w:w="1334" w:type="dxa"/>
            <w:vMerge w:val="restart"/>
            <w:noWrap/>
            <w:vAlign w:val="center"/>
          </w:tcPr>
          <w:p w14:paraId="7DF71A84"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25</w:t>
            </w:r>
          </w:p>
        </w:tc>
        <w:tc>
          <w:tcPr>
            <w:tcW w:w="804" w:type="dxa"/>
            <w:vMerge w:val="restart"/>
            <w:noWrap/>
            <w:vAlign w:val="center"/>
          </w:tcPr>
          <w:p w14:paraId="0BC1427A" w14:textId="77777777" w:rsidR="0062768B" w:rsidRDefault="00136729">
            <w:pPr>
              <w:spacing w:line="240" w:lineRule="atLeast"/>
              <w:jc w:val="center"/>
              <w:rPr>
                <w:rFonts w:ascii="Arial" w:eastAsia="仿宋" w:hAnsi="Arial" w:cs="Arial"/>
                <w:szCs w:val="24"/>
              </w:rPr>
            </w:pPr>
            <w:r>
              <w:rPr>
                <w:rFonts w:ascii="Arial" w:eastAsia="仿宋" w:hAnsi="Arial" w:cs="Arial"/>
                <w:szCs w:val="24"/>
              </w:rPr>
              <w:t>25</w:t>
            </w:r>
          </w:p>
        </w:tc>
      </w:tr>
      <w:tr w:rsidR="0062768B" w14:paraId="6FB4A554" w14:textId="77777777">
        <w:trPr>
          <w:cantSplit/>
          <w:trHeight w:val="602"/>
          <w:jc w:val="center"/>
        </w:trPr>
        <w:tc>
          <w:tcPr>
            <w:tcW w:w="1149" w:type="dxa"/>
            <w:vMerge/>
            <w:vAlign w:val="center"/>
          </w:tcPr>
          <w:p w14:paraId="34E067E3" w14:textId="77777777" w:rsidR="0062768B" w:rsidRDefault="0062768B">
            <w:pPr>
              <w:widowControl/>
              <w:adjustRightInd/>
              <w:spacing w:line="240" w:lineRule="atLeast"/>
              <w:textAlignment w:val="auto"/>
              <w:rPr>
                <w:rFonts w:ascii="Arial" w:eastAsia="仿宋" w:hAnsi="Arial" w:cs="Arial"/>
                <w:szCs w:val="24"/>
              </w:rPr>
            </w:pPr>
          </w:p>
        </w:tc>
        <w:tc>
          <w:tcPr>
            <w:tcW w:w="708" w:type="dxa"/>
            <w:vMerge/>
            <w:vAlign w:val="center"/>
          </w:tcPr>
          <w:p w14:paraId="1FFE38AC" w14:textId="77777777" w:rsidR="0062768B" w:rsidRDefault="0062768B">
            <w:pPr>
              <w:widowControl/>
              <w:adjustRightInd/>
              <w:spacing w:line="240" w:lineRule="atLeast"/>
              <w:textAlignment w:val="auto"/>
              <w:rPr>
                <w:rFonts w:ascii="Arial" w:eastAsia="仿宋" w:hAnsi="Arial" w:cs="Arial"/>
                <w:szCs w:val="24"/>
              </w:rPr>
            </w:pPr>
          </w:p>
        </w:tc>
        <w:tc>
          <w:tcPr>
            <w:tcW w:w="5387" w:type="dxa"/>
            <w:noWrap/>
            <w:vAlign w:val="center"/>
          </w:tcPr>
          <w:p w14:paraId="76D0E3B7" w14:textId="77777777" w:rsidR="0062768B" w:rsidRDefault="00136729">
            <w:pPr>
              <w:spacing w:line="240" w:lineRule="atLeast"/>
              <w:rPr>
                <w:rFonts w:ascii="Arial" w:eastAsia="仿宋" w:hAnsi="Arial" w:cs="Arial"/>
                <w:szCs w:val="24"/>
              </w:rPr>
            </w:pPr>
            <w:r>
              <w:rPr>
                <w:rFonts w:ascii="Arial" w:eastAsia="仿宋" w:hAnsi="Arial" w:cs="Arial"/>
                <w:szCs w:val="24"/>
              </w:rPr>
              <w:t>2.</w:t>
            </w:r>
            <w:r>
              <w:rPr>
                <w:rFonts w:ascii="Arial" w:eastAsia="仿宋" w:hAnsi="Arial" w:cs="Arial"/>
                <w:szCs w:val="24"/>
              </w:rPr>
              <w:t>估价结果与同类用途房地产价格水平基本一致，且适当考虑了房地产市场发展趋势，取</w:t>
            </w:r>
            <w:r>
              <w:rPr>
                <w:rFonts w:ascii="Arial" w:eastAsia="仿宋" w:hAnsi="Arial" w:cs="Arial"/>
                <w:szCs w:val="24"/>
              </w:rPr>
              <w:t>10</w:t>
            </w:r>
            <w:r>
              <w:rPr>
                <w:rFonts w:ascii="Arial" w:eastAsia="仿宋" w:hAnsi="Arial" w:cs="Arial"/>
                <w:szCs w:val="24"/>
              </w:rPr>
              <w:t>～</w:t>
            </w:r>
            <w:r>
              <w:rPr>
                <w:rFonts w:ascii="Arial" w:eastAsia="仿宋" w:hAnsi="Arial" w:cs="Arial"/>
                <w:szCs w:val="24"/>
              </w:rPr>
              <w:t>19</w:t>
            </w:r>
            <w:r>
              <w:rPr>
                <w:rFonts w:ascii="Arial" w:eastAsia="仿宋" w:hAnsi="Arial" w:cs="Arial"/>
                <w:szCs w:val="24"/>
              </w:rPr>
              <w:t>分；</w:t>
            </w:r>
          </w:p>
        </w:tc>
        <w:tc>
          <w:tcPr>
            <w:tcW w:w="1334" w:type="dxa"/>
            <w:vMerge/>
            <w:vAlign w:val="center"/>
          </w:tcPr>
          <w:p w14:paraId="46BCDD64" w14:textId="77777777" w:rsidR="0062768B" w:rsidRDefault="0062768B">
            <w:pPr>
              <w:widowControl/>
              <w:adjustRightInd/>
              <w:spacing w:line="240" w:lineRule="atLeast"/>
              <w:textAlignment w:val="auto"/>
              <w:rPr>
                <w:rFonts w:ascii="Arial" w:eastAsia="仿宋" w:hAnsi="Arial" w:cs="Arial"/>
                <w:szCs w:val="24"/>
              </w:rPr>
            </w:pPr>
          </w:p>
        </w:tc>
        <w:tc>
          <w:tcPr>
            <w:tcW w:w="804" w:type="dxa"/>
            <w:vMerge/>
            <w:vAlign w:val="center"/>
          </w:tcPr>
          <w:p w14:paraId="56860D2F" w14:textId="77777777" w:rsidR="0062768B" w:rsidRDefault="0062768B">
            <w:pPr>
              <w:widowControl/>
              <w:adjustRightInd/>
              <w:spacing w:line="240" w:lineRule="atLeast"/>
              <w:textAlignment w:val="auto"/>
              <w:rPr>
                <w:rFonts w:ascii="Arial" w:eastAsia="仿宋" w:hAnsi="Arial" w:cs="Arial"/>
                <w:szCs w:val="24"/>
              </w:rPr>
            </w:pPr>
          </w:p>
        </w:tc>
      </w:tr>
      <w:tr w:rsidR="0062768B" w14:paraId="2BCD25C4" w14:textId="77777777">
        <w:trPr>
          <w:cantSplit/>
          <w:trHeight w:val="556"/>
          <w:jc w:val="center"/>
        </w:trPr>
        <w:tc>
          <w:tcPr>
            <w:tcW w:w="1149" w:type="dxa"/>
            <w:vMerge/>
            <w:vAlign w:val="center"/>
          </w:tcPr>
          <w:p w14:paraId="00377EE1" w14:textId="77777777" w:rsidR="0062768B" w:rsidRDefault="0062768B">
            <w:pPr>
              <w:widowControl/>
              <w:adjustRightInd/>
              <w:spacing w:line="240" w:lineRule="atLeast"/>
              <w:textAlignment w:val="auto"/>
              <w:rPr>
                <w:rFonts w:ascii="Arial" w:eastAsia="仿宋" w:hAnsi="Arial" w:cs="Arial"/>
                <w:szCs w:val="24"/>
              </w:rPr>
            </w:pPr>
          </w:p>
        </w:tc>
        <w:tc>
          <w:tcPr>
            <w:tcW w:w="708" w:type="dxa"/>
            <w:vMerge/>
            <w:vAlign w:val="center"/>
          </w:tcPr>
          <w:p w14:paraId="6C0B3ED9" w14:textId="77777777" w:rsidR="0062768B" w:rsidRDefault="0062768B">
            <w:pPr>
              <w:widowControl/>
              <w:adjustRightInd/>
              <w:spacing w:line="240" w:lineRule="atLeast"/>
              <w:textAlignment w:val="auto"/>
              <w:rPr>
                <w:rFonts w:ascii="Arial" w:eastAsia="仿宋" w:hAnsi="Arial" w:cs="Arial"/>
                <w:szCs w:val="24"/>
              </w:rPr>
            </w:pPr>
          </w:p>
        </w:tc>
        <w:tc>
          <w:tcPr>
            <w:tcW w:w="5387" w:type="dxa"/>
            <w:noWrap/>
            <w:vAlign w:val="center"/>
          </w:tcPr>
          <w:p w14:paraId="0677051F" w14:textId="77777777" w:rsidR="0062768B" w:rsidRDefault="00136729">
            <w:pPr>
              <w:spacing w:line="240" w:lineRule="atLeast"/>
              <w:rPr>
                <w:rFonts w:ascii="Arial" w:eastAsia="仿宋" w:hAnsi="Arial" w:cs="Arial"/>
                <w:szCs w:val="24"/>
              </w:rPr>
            </w:pPr>
            <w:r>
              <w:rPr>
                <w:rFonts w:ascii="Arial" w:eastAsia="仿宋" w:hAnsi="Arial" w:cs="Arial"/>
                <w:szCs w:val="24"/>
              </w:rPr>
              <w:t>3.</w:t>
            </w:r>
            <w:r>
              <w:rPr>
                <w:rFonts w:ascii="Arial" w:eastAsia="仿宋" w:hAnsi="Arial" w:cs="Arial"/>
                <w:szCs w:val="24"/>
              </w:rPr>
              <w:t>估价结果与同类用途房地产价格水平有一定差距，且适当考虑房地产市场发展趋势，取</w:t>
            </w:r>
            <w:r>
              <w:rPr>
                <w:rFonts w:ascii="Arial" w:eastAsia="仿宋" w:hAnsi="Arial" w:cs="Arial"/>
                <w:szCs w:val="24"/>
              </w:rPr>
              <w:t>0</w:t>
            </w:r>
            <w:r>
              <w:rPr>
                <w:rFonts w:ascii="Arial" w:eastAsia="仿宋" w:hAnsi="Arial" w:cs="Arial"/>
                <w:szCs w:val="24"/>
              </w:rPr>
              <w:t>～</w:t>
            </w:r>
            <w:r>
              <w:rPr>
                <w:rFonts w:ascii="Arial" w:eastAsia="仿宋" w:hAnsi="Arial" w:cs="Arial"/>
                <w:szCs w:val="24"/>
              </w:rPr>
              <w:t>9</w:t>
            </w:r>
            <w:r>
              <w:rPr>
                <w:rFonts w:ascii="Arial" w:eastAsia="仿宋" w:hAnsi="Arial" w:cs="Arial"/>
                <w:szCs w:val="24"/>
              </w:rPr>
              <w:t>分；</w:t>
            </w:r>
          </w:p>
        </w:tc>
        <w:tc>
          <w:tcPr>
            <w:tcW w:w="1334" w:type="dxa"/>
            <w:vMerge/>
            <w:vAlign w:val="center"/>
          </w:tcPr>
          <w:p w14:paraId="1F0C228C" w14:textId="77777777" w:rsidR="0062768B" w:rsidRDefault="0062768B">
            <w:pPr>
              <w:widowControl/>
              <w:adjustRightInd/>
              <w:spacing w:line="240" w:lineRule="atLeast"/>
              <w:textAlignment w:val="auto"/>
              <w:rPr>
                <w:rFonts w:ascii="Arial" w:eastAsia="仿宋" w:hAnsi="Arial" w:cs="Arial"/>
                <w:szCs w:val="24"/>
              </w:rPr>
            </w:pPr>
          </w:p>
        </w:tc>
        <w:tc>
          <w:tcPr>
            <w:tcW w:w="804" w:type="dxa"/>
            <w:vMerge/>
            <w:vAlign w:val="center"/>
          </w:tcPr>
          <w:p w14:paraId="2F9615C0" w14:textId="77777777" w:rsidR="0062768B" w:rsidRDefault="0062768B">
            <w:pPr>
              <w:widowControl/>
              <w:adjustRightInd/>
              <w:spacing w:line="240" w:lineRule="atLeast"/>
              <w:textAlignment w:val="auto"/>
              <w:rPr>
                <w:rFonts w:ascii="Arial" w:eastAsia="仿宋" w:hAnsi="Arial" w:cs="Arial"/>
                <w:szCs w:val="24"/>
              </w:rPr>
            </w:pPr>
          </w:p>
        </w:tc>
      </w:tr>
      <w:tr w:rsidR="0062768B" w14:paraId="39587CBF" w14:textId="77777777">
        <w:trPr>
          <w:cantSplit/>
          <w:trHeight w:val="247"/>
          <w:jc w:val="center"/>
        </w:trPr>
        <w:tc>
          <w:tcPr>
            <w:tcW w:w="7244" w:type="dxa"/>
            <w:gridSpan w:val="3"/>
            <w:noWrap/>
            <w:vAlign w:val="center"/>
          </w:tcPr>
          <w:p w14:paraId="782EA0D3" w14:textId="77777777" w:rsidR="0062768B" w:rsidRDefault="00136729">
            <w:pPr>
              <w:widowControl/>
              <w:adjustRightInd/>
              <w:spacing w:line="240" w:lineRule="atLeast"/>
              <w:jc w:val="center"/>
              <w:textAlignment w:val="auto"/>
              <w:rPr>
                <w:rFonts w:ascii="Arial" w:eastAsia="仿宋" w:hAnsi="Arial" w:cs="Arial"/>
                <w:b/>
                <w:bCs/>
                <w:szCs w:val="24"/>
              </w:rPr>
            </w:pPr>
            <w:r>
              <w:rPr>
                <w:rFonts w:ascii="Arial" w:eastAsia="仿宋" w:hAnsi="Arial" w:cs="Arial"/>
                <w:b/>
                <w:bCs/>
                <w:szCs w:val="24"/>
              </w:rPr>
              <w:t>分值</w:t>
            </w:r>
          </w:p>
        </w:tc>
        <w:tc>
          <w:tcPr>
            <w:tcW w:w="1334" w:type="dxa"/>
            <w:noWrap/>
            <w:vAlign w:val="center"/>
          </w:tcPr>
          <w:p w14:paraId="2FDCA994"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90</w:t>
            </w:r>
          </w:p>
        </w:tc>
        <w:tc>
          <w:tcPr>
            <w:tcW w:w="804" w:type="dxa"/>
            <w:noWrap/>
            <w:vAlign w:val="center"/>
          </w:tcPr>
          <w:p w14:paraId="3F624E09" w14:textId="77777777" w:rsidR="0062768B" w:rsidRDefault="00136729">
            <w:pPr>
              <w:spacing w:line="240" w:lineRule="atLeast"/>
              <w:jc w:val="center"/>
              <w:rPr>
                <w:rFonts w:ascii="Arial" w:eastAsia="仿宋" w:hAnsi="Arial" w:cs="Arial"/>
                <w:szCs w:val="24"/>
              </w:rPr>
            </w:pPr>
            <w:r>
              <w:rPr>
                <w:rFonts w:ascii="Arial" w:eastAsia="仿宋" w:hAnsi="Arial" w:cs="Arial"/>
                <w:szCs w:val="24"/>
              </w:rPr>
              <w:t>90</w:t>
            </w:r>
          </w:p>
        </w:tc>
      </w:tr>
      <w:tr w:rsidR="0062768B" w14:paraId="1C9BB2C0" w14:textId="77777777">
        <w:trPr>
          <w:cantSplit/>
          <w:trHeight w:val="262"/>
          <w:jc w:val="center"/>
        </w:trPr>
        <w:tc>
          <w:tcPr>
            <w:tcW w:w="7244" w:type="dxa"/>
            <w:gridSpan w:val="3"/>
            <w:noWrap/>
            <w:vAlign w:val="center"/>
          </w:tcPr>
          <w:p w14:paraId="12B67E30" w14:textId="77777777" w:rsidR="0062768B" w:rsidRDefault="00136729">
            <w:pPr>
              <w:widowControl/>
              <w:adjustRightInd/>
              <w:spacing w:line="240" w:lineRule="atLeast"/>
              <w:jc w:val="center"/>
              <w:textAlignment w:val="auto"/>
              <w:rPr>
                <w:rFonts w:ascii="Arial" w:eastAsia="仿宋" w:hAnsi="Arial" w:cs="Arial"/>
                <w:b/>
                <w:bCs/>
                <w:szCs w:val="24"/>
              </w:rPr>
            </w:pPr>
            <w:r>
              <w:rPr>
                <w:rFonts w:ascii="Arial" w:eastAsia="仿宋" w:hAnsi="Arial" w:cs="Arial"/>
                <w:b/>
                <w:bCs/>
                <w:szCs w:val="24"/>
              </w:rPr>
              <w:t>权重</w:t>
            </w:r>
          </w:p>
        </w:tc>
        <w:tc>
          <w:tcPr>
            <w:tcW w:w="1334" w:type="dxa"/>
            <w:noWrap/>
            <w:vAlign w:val="center"/>
          </w:tcPr>
          <w:p w14:paraId="7E139FE5"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5</w:t>
            </w:r>
            <w:r>
              <w:rPr>
                <w:rFonts w:ascii="Arial" w:eastAsia="仿宋" w:hAnsi="Arial" w:cs="Arial"/>
                <w:szCs w:val="24"/>
              </w:rPr>
              <w:t>0%</w:t>
            </w:r>
          </w:p>
        </w:tc>
        <w:tc>
          <w:tcPr>
            <w:tcW w:w="804" w:type="dxa"/>
            <w:noWrap/>
            <w:vAlign w:val="center"/>
          </w:tcPr>
          <w:p w14:paraId="51EA17B1"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5</w:t>
            </w:r>
            <w:r>
              <w:rPr>
                <w:rFonts w:ascii="Arial" w:eastAsia="仿宋" w:hAnsi="Arial" w:cs="Arial"/>
                <w:szCs w:val="24"/>
              </w:rPr>
              <w:t>0%</w:t>
            </w:r>
          </w:p>
        </w:tc>
      </w:tr>
    </w:tbl>
    <w:p w14:paraId="1C25343D" w14:textId="77777777" w:rsidR="0062768B" w:rsidRDefault="0062768B">
      <w:pPr>
        <w:spacing w:beforeLines="50" w:before="120" w:line="300" w:lineRule="auto"/>
        <w:jc w:val="both"/>
        <w:rPr>
          <w:rFonts w:ascii="Arial" w:eastAsia="仿宋_GB2312" w:hAnsi="Arial" w:cs="Arial"/>
          <w:b/>
          <w:sz w:val="28"/>
        </w:rPr>
      </w:pPr>
    </w:p>
    <w:p w14:paraId="5A51BC62" w14:textId="77777777" w:rsidR="0062768B" w:rsidRDefault="0062768B">
      <w:pPr>
        <w:spacing w:beforeLines="50" w:before="120" w:line="300" w:lineRule="auto"/>
        <w:jc w:val="both"/>
        <w:rPr>
          <w:rFonts w:ascii="Arial" w:eastAsia="仿宋_GB2312" w:hAnsi="Arial" w:cs="Arial"/>
          <w:b/>
          <w:sz w:val="28"/>
        </w:rPr>
      </w:pPr>
    </w:p>
    <w:p w14:paraId="0CB4EC99" w14:textId="77777777" w:rsidR="0062768B" w:rsidRDefault="0062768B">
      <w:pPr>
        <w:spacing w:beforeLines="50" w:before="120" w:line="300" w:lineRule="auto"/>
        <w:jc w:val="both"/>
        <w:rPr>
          <w:rFonts w:ascii="Arial" w:eastAsia="仿宋_GB2312" w:hAnsi="Arial" w:cs="Arial"/>
          <w:b/>
          <w:sz w:val="28"/>
        </w:rPr>
      </w:pPr>
    </w:p>
    <w:p w14:paraId="13E559C4" w14:textId="77777777" w:rsidR="0062768B" w:rsidRDefault="0062768B">
      <w:pPr>
        <w:spacing w:beforeLines="50" w:before="120" w:line="300" w:lineRule="auto"/>
        <w:jc w:val="both"/>
        <w:rPr>
          <w:rFonts w:ascii="Arial" w:eastAsia="仿宋_GB2312" w:hAnsi="Arial" w:cs="Arial"/>
          <w:b/>
          <w:sz w:val="28"/>
        </w:rPr>
      </w:pPr>
    </w:p>
    <w:p w14:paraId="60B15FCF" w14:textId="77777777" w:rsidR="0062768B" w:rsidRDefault="0062768B">
      <w:pPr>
        <w:spacing w:beforeLines="50" w:before="120" w:line="300" w:lineRule="auto"/>
        <w:jc w:val="both"/>
        <w:rPr>
          <w:rFonts w:ascii="Arial" w:eastAsia="仿宋_GB2312" w:hAnsi="Arial" w:cs="Arial"/>
          <w:b/>
          <w:sz w:val="28"/>
        </w:rPr>
      </w:pPr>
    </w:p>
    <w:p w14:paraId="0FB57D77" w14:textId="77777777" w:rsidR="0062768B" w:rsidRDefault="00136729">
      <w:pPr>
        <w:spacing w:beforeLines="50" w:before="120" w:line="300" w:lineRule="auto"/>
        <w:jc w:val="both"/>
        <w:rPr>
          <w:rFonts w:ascii="Arial" w:eastAsia="仿宋_GB2312" w:hAnsi="Arial" w:cs="Arial"/>
          <w:sz w:val="28"/>
        </w:rPr>
      </w:pPr>
      <w:r>
        <w:rPr>
          <w:rFonts w:ascii="Arial" w:eastAsia="仿宋_GB2312" w:hAnsi="Arial" w:cs="Arial" w:hint="eastAsia"/>
          <w:b/>
          <w:sz w:val="28"/>
        </w:rPr>
        <w:lastRenderedPageBreak/>
        <w:t>则：</w:t>
      </w:r>
    </w:p>
    <w:tbl>
      <w:tblPr>
        <w:tblW w:w="9072" w:type="dxa"/>
        <w:jc w:val="center"/>
        <w:tblLayout w:type="fixed"/>
        <w:tblCellMar>
          <w:top w:w="57" w:type="dxa"/>
          <w:left w:w="28" w:type="dxa"/>
          <w:bottom w:w="57" w:type="dxa"/>
          <w:right w:w="28" w:type="dxa"/>
        </w:tblCellMar>
        <w:tblLook w:val="04A0" w:firstRow="1" w:lastRow="0" w:firstColumn="1" w:lastColumn="0" w:noHBand="0" w:noVBand="1"/>
      </w:tblPr>
      <w:tblGrid>
        <w:gridCol w:w="852"/>
        <w:gridCol w:w="2551"/>
        <w:gridCol w:w="1786"/>
        <w:gridCol w:w="1375"/>
        <w:gridCol w:w="2508"/>
      </w:tblGrid>
      <w:tr w:rsidR="0062768B" w14:paraId="7A2066DE" w14:textId="77777777">
        <w:trPr>
          <w:cantSplit/>
          <w:jc w:val="center"/>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409AFBF9" w14:textId="77777777" w:rsidR="0062768B" w:rsidRDefault="00136729">
            <w:pPr>
              <w:widowControl/>
              <w:adjustRightInd/>
              <w:spacing w:line="300" w:lineRule="auto"/>
              <w:jc w:val="center"/>
              <w:textAlignment w:val="auto"/>
              <w:rPr>
                <w:rFonts w:ascii="Arial" w:hAnsi="Arial" w:cs="Arial"/>
                <w:b/>
                <w:bCs/>
                <w:szCs w:val="24"/>
              </w:rPr>
            </w:pPr>
            <w:r>
              <w:rPr>
                <w:rFonts w:ascii="Arial" w:eastAsia="仿宋_GB2312" w:hAnsi="Arial" w:cs="Arial"/>
                <w:b/>
                <w:bCs/>
                <w:szCs w:val="24"/>
              </w:rPr>
              <w:t>用途</w:t>
            </w:r>
          </w:p>
        </w:tc>
        <w:tc>
          <w:tcPr>
            <w:tcW w:w="2551" w:type="dxa"/>
            <w:tcBorders>
              <w:top w:val="single" w:sz="4" w:space="0" w:color="auto"/>
              <w:left w:val="nil"/>
              <w:bottom w:val="single" w:sz="4" w:space="0" w:color="auto"/>
              <w:right w:val="single" w:sz="4" w:space="0" w:color="auto"/>
            </w:tcBorders>
            <w:shd w:val="clear" w:color="auto" w:fill="auto"/>
            <w:vAlign w:val="center"/>
          </w:tcPr>
          <w:p w14:paraId="14C14CB6" w14:textId="77777777" w:rsidR="0062768B" w:rsidRDefault="00136729">
            <w:pPr>
              <w:widowControl/>
              <w:adjustRightInd/>
              <w:spacing w:line="300" w:lineRule="auto"/>
              <w:jc w:val="center"/>
              <w:textAlignment w:val="auto"/>
              <w:rPr>
                <w:rFonts w:ascii="Arial" w:hAnsi="Arial" w:cs="Arial"/>
                <w:b/>
                <w:bCs/>
                <w:szCs w:val="24"/>
              </w:rPr>
            </w:pPr>
            <w:r>
              <w:rPr>
                <w:rFonts w:ascii="Arial" w:eastAsia="仿宋_GB2312" w:hAnsi="Arial" w:cs="Arial"/>
                <w:b/>
                <w:bCs/>
                <w:szCs w:val="24"/>
              </w:rPr>
              <w:t>方法</w:t>
            </w:r>
          </w:p>
        </w:tc>
        <w:tc>
          <w:tcPr>
            <w:tcW w:w="1786" w:type="dxa"/>
            <w:tcBorders>
              <w:top w:val="single" w:sz="4" w:space="0" w:color="auto"/>
              <w:left w:val="nil"/>
              <w:bottom w:val="single" w:sz="4" w:space="0" w:color="auto"/>
              <w:right w:val="single" w:sz="4" w:space="0" w:color="auto"/>
            </w:tcBorders>
            <w:shd w:val="clear" w:color="auto" w:fill="auto"/>
            <w:vAlign w:val="center"/>
          </w:tcPr>
          <w:p w14:paraId="56A8A002" w14:textId="77777777" w:rsidR="0062768B" w:rsidRDefault="00136729">
            <w:pPr>
              <w:widowControl/>
              <w:adjustRightInd/>
              <w:spacing w:line="300" w:lineRule="auto"/>
              <w:jc w:val="center"/>
              <w:textAlignment w:val="auto"/>
              <w:rPr>
                <w:rFonts w:ascii="Arial" w:eastAsia="仿宋_GB2312" w:hAnsi="Arial" w:cs="Arial"/>
                <w:b/>
                <w:bCs/>
                <w:szCs w:val="24"/>
              </w:rPr>
            </w:pPr>
            <w:r>
              <w:rPr>
                <w:rFonts w:ascii="Arial" w:eastAsia="仿宋_GB2312" w:hAnsi="Arial" w:cs="Arial"/>
                <w:b/>
                <w:bCs/>
                <w:szCs w:val="24"/>
              </w:rPr>
              <w:t>熟地价</w:t>
            </w:r>
            <w:r>
              <w:rPr>
                <w:rFonts w:ascii="Arial" w:eastAsia="仿宋_GB2312" w:hAnsi="Arial" w:cs="Arial" w:hint="eastAsia"/>
                <w:b/>
                <w:bCs/>
                <w:szCs w:val="24"/>
              </w:rPr>
              <w:t>楼面单价</w:t>
            </w:r>
          </w:p>
          <w:p w14:paraId="1E0F47EB" w14:textId="77777777" w:rsidR="0062768B" w:rsidRDefault="00136729">
            <w:pPr>
              <w:widowControl/>
              <w:adjustRightInd/>
              <w:spacing w:line="300" w:lineRule="auto"/>
              <w:jc w:val="center"/>
              <w:textAlignment w:val="auto"/>
              <w:rPr>
                <w:rFonts w:ascii="Arial" w:hAnsi="Arial" w:cs="Arial"/>
                <w:b/>
                <w:bCs/>
                <w:szCs w:val="24"/>
              </w:rPr>
            </w:pPr>
            <w:r>
              <w:rPr>
                <w:rFonts w:ascii="Arial" w:eastAsia="仿宋_GB2312" w:hAnsi="Arial" w:cs="Arial"/>
                <w:b/>
                <w:bCs/>
                <w:szCs w:val="24"/>
              </w:rPr>
              <w:t>（元</w:t>
            </w:r>
            <w:r>
              <w:rPr>
                <w:rFonts w:ascii="Arial" w:eastAsia="仿宋_GB2312" w:hAnsi="Arial" w:cs="Arial"/>
                <w:b/>
                <w:bCs/>
                <w:szCs w:val="24"/>
              </w:rPr>
              <w:t>/</w:t>
            </w:r>
            <w:r>
              <w:rPr>
                <w:rFonts w:ascii="Arial" w:eastAsia="仿宋_GB2312" w:hAnsi="Arial" w:cs="Arial"/>
                <w:b/>
                <w:bCs/>
                <w:szCs w:val="24"/>
              </w:rPr>
              <w:t>平方米）</w:t>
            </w:r>
          </w:p>
        </w:tc>
        <w:tc>
          <w:tcPr>
            <w:tcW w:w="1375" w:type="dxa"/>
            <w:tcBorders>
              <w:top w:val="single" w:sz="4" w:space="0" w:color="auto"/>
              <w:left w:val="nil"/>
              <w:bottom w:val="single" w:sz="4" w:space="0" w:color="auto"/>
              <w:right w:val="single" w:sz="4" w:space="0" w:color="auto"/>
            </w:tcBorders>
            <w:shd w:val="clear" w:color="auto" w:fill="auto"/>
            <w:vAlign w:val="center"/>
          </w:tcPr>
          <w:p w14:paraId="4B46B805" w14:textId="77777777" w:rsidR="0062768B" w:rsidRDefault="00136729">
            <w:pPr>
              <w:widowControl/>
              <w:adjustRightInd/>
              <w:spacing w:line="300" w:lineRule="auto"/>
              <w:jc w:val="center"/>
              <w:textAlignment w:val="auto"/>
              <w:rPr>
                <w:rFonts w:ascii="Arial" w:hAnsi="Arial" w:cs="Arial"/>
                <w:b/>
                <w:bCs/>
                <w:szCs w:val="24"/>
              </w:rPr>
            </w:pPr>
            <w:r>
              <w:rPr>
                <w:rFonts w:ascii="Arial" w:eastAsia="仿宋_GB2312" w:hAnsi="Arial" w:cs="Arial"/>
                <w:b/>
                <w:bCs/>
                <w:szCs w:val="24"/>
              </w:rPr>
              <w:t>权重</w:t>
            </w:r>
          </w:p>
        </w:tc>
        <w:tc>
          <w:tcPr>
            <w:tcW w:w="2508" w:type="dxa"/>
            <w:tcBorders>
              <w:top w:val="single" w:sz="4" w:space="0" w:color="auto"/>
              <w:left w:val="nil"/>
              <w:bottom w:val="single" w:sz="4" w:space="0" w:color="auto"/>
              <w:right w:val="single" w:sz="4" w:space="0" w:color="auto"/>
            </w:tcBorders>
            <w:shd w:val="clear" w:color="auto" w:fill="auto"/>
            <w:vAlign w:val="center"/>
          </w:tcPr>
          <w:p w14:paraId="730E73C0" w14:textId="77777777" w:rsidR="0062768B" w:rsidRDefault="00136729">
            <w:pPr>
              <w:widowControl/>
              <w:adjustRightInd/>
              <w:spacing w:line="300" w:lineRule="auto"/>
              <w:jc w:val="center"/>
              <w:textAlignment w:val="auto"/>
              <w:rPr>
                <w:rFonts w:ascii="Arial" w:eastAsia="仿宋_GB2312" w:hAnsi="Arial" w:cs="Arial"/>
                <w:b/>
                <w:bCs/>
                <w:szCs w:val="24"/>
              </w:rPr>
            </w:pPr>
            <w:r>
              <w:rPr>
                <w:rFonts w:ascii="Arial" w:eastAsia="仿宋_GB2312" w:hAnsi="Arial" w:cs="Arial"/>
                <w:b/>
                <w:bCs/>
                <w:szCs w:val="24"/>
              </w:rPr>
              <w:t>权重后熟地价</w:t>
            </w:r>
            <w:r>
              <w:rPr>
                <w:rFonts w:ascii="Arial" w:eastAsia="仿宋_GB2312" w:hAnsi="Arial" w:cs="Arial" w:hint="eastAsia"/>
                <w:b/>
                <w:bCs/>
                <w:szCs w:val="24"/>
              </w:rPr>
              <w:t>楼面单价</w:t>
            </w:r>
          </w:p>
          <w:p w14:paraId="0C7B8816" w14:textId="77777777" w:rsidR="0062768B" w:rsidRDefault="00136729">
            <w:pPr>
              <w:widowControl/>
              <w:adjustRightInd/>
              <w:spacing w:line="300" w:lineRule="auto"/>
              <w:jc w:val="center"/>
              <w:textAlignment w:val="auto"/>
              <w:rPr>
                <w:rFonts w:ascii="Arial" w:eastAsia="仿宋_GB2312" w:hAnsi="Arial" w:cs="Arial"/>
                <w:b/>
                <w:bCs/>
                <w:szCs w:val="24"/>
              </w:rPr>
            </w:pPr>
            <w:r>
              <w:rPr>
                <w:rFonts w:ascii="Arial" w:eastAsia="仿宋_GB2312" w:hAnsi="Arial" w:cs="Arial"/>
                <w:b/>
                <w:bCs/>
                <w:szCs w:val="24"/>
              </w:rPr>
              <w:t>（元</w:t>
            </w:r>
            <w:r>
              <w:rPr>
                <w:rFonts w:ascii="Arial" w:eastAsia="仿宋_GB2312" w:hAnsi="Arial" w:cs="Arial"/>
                <w:b/>
                <w:bCs/>
                <w:szCs w:val="24"/>
              </w:rPr>
              <w:t>/</w:t>
            </w:r>
            <w:r>
              <w:rPr>
                <w:rFonts w:ascii="Arial" w:eastAsia="仿宋_GB2312" w:hAnsi="Arial" w:cs="Arial"/>
                <w:b/>
                <w:bCs/>
                <w:szCs w:val="24"/>
              </w:rPr>
              <w:t>平方米）</w:t>
            </w:r>
          </w:p>
        </w:tc>
      </w:tr>
      <w:tr w:rsidR="0062768B" w14:paraId="03025078" w14:textId="77777777">
        <w:trPr>
          <w:cantSplit/>
          <w:jc w:val="center"/>
        </w:trPr>
        <w:tc>
          <w:tcPr>
            <w:tcW w:w="852" w:type="dxa"/>
            <w:vMerge w:val="restart"/>
            <w:tcBorders>
              <w:top w:val="nil"/>
              <w:left w:val="single" w:sz="4" w:space="0" w:color="auto"/>
              <w:bottom w:val="single" w:sz="4" w:space="0" w:color="auto"/>
              <w:right w:val="single" w:sz="4" w:space="0" w:color="auto"/>
            </w:tcBorders>
            <w:shd w:val="clear" w:color="auto" w:fill="auto"/>
            <w:vAlign w:val="center"/>
          </w:tcPr>
          <w:p w14:paraId="4817394D" w14:textId="77777777" w:rsidR="0062768B" w:rsidRDefault="00136729">
            <w:pPr>
              <w:widowControl/>
              <w:adjustRightInd/>
              <w:spacing w:line="300" w:lineRule="auto"/>
              <w:jc w:val="center"/>
              <w:textAlignment w:val="auto"/>
              <w:rPr>
                <w:rFonts w:ascii="Arial" w:hAnsi="Arial" w:cs="Arial"/>
                <w:szCs w:val="24"/>
              </w:rPr>
            </w:pPr>
            <w:r>
              <w:rPr>
                <w:rFonts w:ascii="Arial" w:eastAsia="仿宋_GB2312" w:hAnsi="Arial" w:cs="Arial"/>
                <w:szCs w:val="24"/>
              </w:rPr>
              <w:t>住宅</w:t>
            </w:r>
          </w:p>
        </w:tc>
        <w:tc>
          <w:tcPr>
            <w:tcW w:w="2551" w:type="dxa"/>
            <w:tcBorders>
              <w:top w:val="nil"/>
              <w:left w:val="nil"/>
              <w:bottom w:val="single" w:sz="4" w:space="0" w:color="auto"/>
              <w:right w:val="single" w:sz="4" w:space="0" w:color="auto"/>
            </w:tcBorders>
            <w:shd w:val="clear" w:color="auto" w:fill="auto"/>
            <w:vAlign w:val="center"/>
          </w:tcPr>
          <w:p w14:paraId="3DFE131E" w14:textId="77777777" w:rsidR="0062768B" w:rsidRDefault="00136729">
            <w:pPr>
              <w:widowControl/>
              <w:adjustRightInd/>
              <w:spacing w:line="300" w:lineRule="auto"/>
              <w:textAlignment w:val="auto"/>
              <w:rPr>
                <w:rFonts w:ascii="Arial" w:eastAsia="仿宋_GB2312" w:hAnsi="Arial" w:cs="Arial"/>
                <w:szCs w:val="24"/>
              </w:rPr>
            </w:pPr>
            <w:r>
              <w:rPr>
                <w:rFonts w:ascii="Arial" w:eastAsia="仿宋_GB2312" w:hAnsi="Arial" w:cs="Arial"/>
                <w:szCs w:val="24"/>
              </w:rPr>
              <w:t>基准地价系数修正法</w:t>
            </w:r>
          </w:p>
        </w:tc>
        <w:tc>
          <w:tcPr>
            <w:tcW w:w="1786" w:type="dxa"/>
            <w:tcBorders>
              <w:top w:val="nil"/>
              <w:left w:val="nil"/>
              <w:bottom w:val="single" w:sz="4" w:space="0" w:color="auto"/>
              <w:right w:val="single" w:sz="4" w:space="0" w:color="auto"/>
            </w:tcBorders>
            <w:shd w:val="clear" w:color="auto" w:fill="auto"/>
            <w:vAlign w:val="center"/>
          </w:tcPr>
          <w:p w14:paraId="57303F10"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szCs w:val="24"/>
              </w:rPr>
              <w:t>7428</w:t>
            </w:r>
          </w:p>
        </w:tc>
        <w:tc>
          <w:tcPr>
            <w:tcW w:w="1375" w:type="dxa"/>
            <w:tcBorders>
              <w:top w:val="nil"/>
              <w:left w:val="nil"/>
              <w:bottom w:val="single" w:sz="4" w:space="0" w:color="auto"/>
              <w:right w:val="single" w:sz="4" w:space="0" w:color="auto"/>
            </w:tcBorders>
            <w:shd w:val="clear" w:color="auto" w:fill="auto"/>
            <w:vAlign w:val="center"/>
          </w:tcPr>
          <w:p w14:paraId="70F0287E"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hint="eastAsia"/>
                <w:szCs w:val="24"/>
              </w:rPr>
              <w:t>3</w:t>
            </w:r>
            <w:r>
              <w:rPr>
                <w:rFonts w:ascii="Arial" w:hAnsi="Arial" w:cs="Arial"/>
                <w:szCs w:val="24"/>
              </w:rPr>
              <w:t>0.00%</w:t>
            </w:r>
          </w:p>
        </w:tc>
        <w:tc>
          <w:tcPr>
            <w:tcW w:w="2508" w:type="dxa"/>
            <w:vMerge w:val="restart"/>
            <w:tcBorders>
              <w:top w:val="nil"/>
              <w:left w:val="single" w:sz="4" w:space="0" w:color="auto"/>
              <w:bottom w:val="single" w:sz="4" w:space="0" w:color="000000"/>
              <w:right w:val="single" w:sz="4" w:space="0" w:color="auto"/>
            </w:tcBorders>
            <w:shd w:val="clear" w:color="auto" w:fill="auto"/>
            <w:vAlign w:val="center"/>
          </w:tcPr>
          <w:p w14:paraId="484E6841" w14:textId="77777777" w:rsidR="0062768B" w:rsidRDefault="00136729">
            <w:pPr>
              <w:widowControl/>
              <w:adjustRightInd/>
              <w:spacing w:line="300" w:lineRule="auto"/>
              <w:jc w:val="center"/>
              <w:textAlignment w:val="auto"/>
              <w:rPr>
                <w:rFonts w:ascii="Arial" w:hAnsi="Arial" w:cs="Arial"/>
                <w:b/>
                <w:szCs w:val="24"/>
              </w:rPr>
            </w:pPr>
            <w:r>
              <w:rPr>
                <w:rFonts w:ascii="Arial" w:hAnsi="Arial" w:cs="Arial"/>
                <w:b/>
                <w:szCs w:val="24"/>
              </w:rPr>
              <w:t>15150</w:t>
            </w:r>
          </w:p>
        </w:tc>
      </w:tr>
      <w:tr w:rsidR="0062768B" w14:paraId="3E6AB833" w14:textId="77777777">
        <w:trPr>
          <w:cantSplit/>
          <w:jc w:val="center"/>
        </w:trPr>
        <w:tc>
          <w:tcPr>
            <w:tcW w:w="852" w:type="dxa"/>
            <w:vMerge/>
            <w:tcBorders>
              <w:top w:val="nil"/>
              <w:left w:val="single" w:sz="4" w:space="0" w:color="auto"/>
              <w:bottom w:val="single" w:sz="4" w:space="0" w:color="auto"/>
              <w:right w:val="single" w:sz="4" w:space="0" w:color="auto"/>
            </w:tcBorders>
            <w:vAlign w:val="center"/>
          </w:tcPr>
          <w:p w14:paraId="0AD5D0AE" w14:textId="77777777" w:rsidR="0062768B" w:rsidRDefault="0062768B">
            <w:pPr>
              <w:widowControl/>
              <w:adjustRightInd/>
              <w:spacing w:line="300" w:lineRule="auto"/>
              <w:textAlignment w:val="auto"/>
              <w:rPr>
                <w:rFonts w:ascii="Arial" w:hAnsi="Arial" w:cs="Arial"/>
                <w:szCs w:val="24"/>
              </w:rPr>
            </w:pPr>
          </w:p>
        </w:tc>
        <w:tc>
          <w:tcPr>
            <w:tcW w:w="2551" w:type="dxa"/>
            <w:tcBorders>
              <w:top w:val="nil"/>
              <w:left w:val="nil"/>
              <w:bottom w:val="single" w:sz="4" w:space="0" w:color="auto"/>
              <w:right w:val="single" w:sz="4" w:space="0" w:color="auto"/>
            </w:tcBorders>
            <w:shd w:val="clear" w:color="auto" w:fill="auto"/>
            <w:vAlign w:val="center"/>
          </w:tcPr>
          <w:p w14:paraId="47B368D2" w14:textId="77777777" w:rsidR="0062768B" w:rsidRDefault="00136729">
            <w:pPr>
              <w:widowControl/>
              <w:adjustRightInd/>
              <w:spacing w:line="300" w:lineRule="auto"/>
              <w:textAlignment w:val="auto"/>
              <w:rPr>
                <w:rFonts w:ascii="Arial" w:hAnsi="Arial" w:cs="Arial"/>
                <w:szCs w:val="24"/>
              </w:rPr>
            </w:pPr>
            <w:r>
              <w:rPr>
                <w:rFonts w:ascii="Arial" w:eastAsia="仿宋_GB2312" w:hAnsi="Arial" w:cs="Arial"/>
                <w:szCs w:val="24"/>
              </w:rPr>
              <w:t>剩余法</w:t>
            </w:r>
          </w:p>
        </w:tc>
        <w:tc>
          <w:tcPr>
            <w:tcW w:w="1786" w:type="dxa"/>
            <w:tcBorders>
              <w:top w:val="nil"/>
              <w:left w:val="nil"/>
              <w:bottom w:val="single" w:sz="4" w:space="0" w:color="auto"/>
              <w:right w:val="single" w:sz="4" w:space="0" w:color="auto"/>
            </w:tcBorders>
            <w:shd w:val="clear" w:color="auto" w:fill="auto"/>
            <w:vAlign w:val="center"/>
          </w:tcPr>
          <w:p w14:paraId="48C9274E"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szCs w:val="24"/>
              </w:rPr>
              <w:t>18459</w:t>
            </w:r>
          </w:p>
        </w:tc>
        <w:tc>
          <w:tcPr>
            <w:tcW w:w="1375" w:type="dxa"/>
            <w:tcBorders>
              <w:top w:val="nil"/>
              <w:left w:val="nil"/>
              <w:bottom w:val="single" w:sz="4" w:space="0" w:color="auto"/>
              <w:right w:val="single" w:sz="4" w:space="0" w:color="auto"/>
            </w:tcBorders>
            <w:shd w:val="clear" w:color="auto" w:fill="auto"/>
            <w:vAlign w:val="center"/>
          </w:tcPr>
          <w:p w14:paraId="67F5C2E2"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hint="eastAsia"/>
                <w:szCs w:val="24"/>
              </w:rPr>
              <w:t>7</w:t>
            </w:r>
            <w:r>
              <w:rPr>
                <w:rFonts w:ascii="Arial" w:hAnsi="Arial" w:cs="Arial"/>
                <w:szCs w:val="24"/>
              </w:rPr>
              <w:t>0.00%</w:t>
            </w:r>
          </w:p>
        </w:tc>
        <w:tc>
          <w:tcPr>
            <w:tcW w:w="2508" w:type="dxa"/>
            <w:vMerge/>
            <w:tcBorders>
              <w:top w:val="nil"/>
              <w:left w:val="single" w:sz="4" w:space="0" w:color="auto"/>
              <w:bottom w:val="single" w:sz="4" w:space="0" w:color="000000"/>
              <w:right w:val="single" w:sz="4" w:space="0" w:color="auto"/>
            </w:tcBorders>
            <w:vAlign w:val="center"/>
          </w:tcPr>
          <w:p w14:paraId="5A42595A" w14:textId="77777777" w:rsidR="0062768B" w:rsidRDefault="0062768B">
            <w:pPr>
              <w:widowControl/>
              <w:adjustRightInd/>
              <w:spacing w:line="300" w:lineRule="auto"/>
              <w:textAlignment w:val="auto"/>
              <w:rPr>
                <w:rFonts w:ascii="Arial" w:hAnsi="Arial" w:cs="Arial"/>
                <w:b/>
                <w:szCs w:val="24"/>
              </w:rPr>
            </w:pPr>
          </w:p>
        </w:tc>
      </w:tr>
      <w:tr w:rsidR="0062768B" w14:paraId="7A7CF2CD" w14:textId="77777777">
        <w:trPr>
          <w:cantSplit/>
          <w:jc w:val="center"/>
        </w:trPr>
        <w:tc>
          <w:tcPr>
            <w:tcW w:w="852" w:type="dxa"/>
            <w:vMerge w:val="restart"/>
            <w:tcBorders>
              <w:top w:val="nil"/>
              <w:left w:val="single" w:sz="4" w:space="0" w:color="auto"/>
              <w:bottom w:val="single" w:sz="4" w:space="0" w:color="auto"/>
              <w:right w:val="single" w:sz="4" w:space="0" w:color="auto"/>
            </w:tcBorders>
            <w:shd w:val="clear" w:color="auto" w:fill="auto"/>
            <w:vAlign w:val="center"/>
          </w:tcPr>
          <w:p w14:paraId="1F294296" w14:textId="77777777" w:rsidR="0062768B" w:rsidRDefault="00136729">
            <w:pPr>
              <w:widowControl/>
              <w:adjustRightInd/>
              <w:spacing w:line="300" w:lineRule="auto"/>
              <w:jc w:val="center"/>
              <w:textAlignment w:val="auto"/>
              <w:rPr>
                <w:rFonts w:ascii="Arial" w:hAnsi="Arial" w:cs="Arial"/>
                <w:szCs w:val="24"/>
              </w:rPr>
            </w:pPr>
            <w:r>
              <w:rPr>
                <w:rFonts w:ascii="Arial" w:eastAsia="仿宋_GB2312" w:hAnsi="Arial" w:cs="Arial"/>
                <w:szCs w:val="24"/>
              </w:rPr>
              <w:t>商业</w:t>
            </w:r>
          </w:p>
        </w:tc>
        <w:tc>
          <w:tcPr>
            <w:tcW w:w="2551" w:type="dxa"/>
            <w:tcBorders>
              <w:top w:val="nil"/>
              <w:left w:val="nil"/>
              <w:bottom w:val="single" w:sz="4" w:space="0" w:color="auto"/>
              <w:right w:val="single" w:sz="4" w:space="0" w:color="auto"/>
            </w:tcBorders>
            <w:shd w:val="clear" w:color="auto" w:fill="auto"/>
            <w:vAlign w:val="center"/>
          </w:tcPr>
          <w:p w14:paraId="0CEC47F7" w14:textId="77777777" w:rsidR="0062768B" w:rsidRDefault="00136729">
            <w:pPr>
              <w:widowControl/>
              <w:adjustRightInd/>
              <w:spacing w:line="300" w:lineRule="auto"/>
              <w:textAlignment w:val="auto"/>
              <w:rPr>
                <w:rFonts w:ascii="Arial" w:eastAsia="仿宋_GB2312" w:hAnsi="Arial" w:cs="Arial"/>
                <w:szCs w:val="24"/>
              </w:rPr>
            </w:pPr>
            <w:r>
              <w:rPr>
                <w:rFonts w:ascii="Arial" w:eastAsia="仿宋_GB2312" w:hAnsi="Arial" w:cs="Arial"/>
                <w:szCs w:val="24"/>
              </w:rPr>
              <w:t>基准地价系数修正法</w:t>
            </w:r>
          </w:p>
        </w:tc>
        <w:tc>
          <w:tcPr>
            <w:tcW w:w="1786" w:type="dxa"/>
            <w:tcBorders>
              <w:top w:val="nil"/>
              <w:left w:val="nil"/>
              <w:bottom w:val="single" w:sz="4" w:space="0" w:color="auto"/>
              <w:right w:val="single" w:sz="4" w:space="0" w:color="auto"/>
            </w:tcBorders>
            <w:shd w:val="clear" w:color="auto" w:fill="auto"/>
            <w:vAlign w:val="center"/>
          </w:tcPr>
          <w:p w14:paraId="5F918F8B"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szCs w:val="24"/>
              </w:rPr>
              <w:t>5098</w:t>
            </w:r>
          </w:p>
        </w:tc>
        <w:tc>
          <w:tcPr>
            <w:tcW w:w="1375" w:type="dxa"/>
            <w:tcBorders>
              <w:top w:val="nil"/>
              <w:left w:val="nil"/>
              <w:bottom w:val="single" w:sz="4" w:space="0" w:color="auto"/>
              <w:right w:val="single" w:sz="4" w:space="0" w:color="auto"/>
            </w:tcBorders>
            <w:shd w:val="clear" w:color="auto" w:fill="auto"/>
            <w:vAlign w:val="center"/>
          </w:tcPr>
          <w:p w14:paraId="6E3CA5E7"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hint="eastAsia"/>
                <w:szCs w:val="24"/>
              </w:rPr>
              <w:t>3</w:t>
            </w:r>
            <w:r>
              <w:rPr>
                <w:rFonts w:ascii="Arial" w:hAnsi="Arial" w:cs="Arial"/>
                <w:szCs w:val="24"/>
              </w:rPr>
              <w:t>0.00%</w:t>
            </w:r>
          </w:p>
        </w:tc>
        <w:tc>
          <w:tcPr>
            <w:tcW w:w="2508" w:type="dxa"/>
            <w:vMerge w:val="restart"/>
            <w:tcBorders>
              <w:top w:val="nil"/>
              <w:left w:val="single" w:sz="4" w:space="0" w:color="auto"/>
              <w:bottom w:val="single" w:sz="4" w:space="0" w:color="000000"/>
              <w:right w:val="single" w:sz="4" w:space="0" w:color="auto"/>
            </w:tcBorders>
            <w:shd w:val="clear" w:color="auto" w:fill="auto"/>
            <w:vAlign w:val="center"/>
          </w:tcPr>
          <w:p w14:paraId="27B58A07" w14:textId="77777777" w:rsidR="0062768B" w:rsidRDefault="00136729">
            <w:pPr>
              <w:widowControl/>
              <w:adjustRightInd/>
              <w:spacing w:line="300" w:lineRule="auto"/>
              <w:jc w:val="center"/>
              <w:textAlignment w:val="auto"/>
              <w:rPr>
                <w:rFonts w:ascii="Arial" w:hAnsi="Arial" w:cs="Arial"/>
                <w:b/>
                <w:szCs w:val="24"/>
              </w:rPr>
            </w:pPr>
            <w:r>
              <w:rPr>
                <w:rFonts w:ascii="Arial" w:hAnsi="Arial" w:cs="Arial"/>
                <w:b/>
                <w:szCs w:val="24"/>
              </w:rPr>
              <w:t>8128</w:t>
            </w:r>
          </w:p>
        </w:tc>
      </w:tr>
      <w:tr w:rsidR="0062768B" w14:paraId="1E38CFDB" w14:textId="77777777">
        <w:trPr>
          <w:cantSplit/>
          <w:jc w:val="center"/>
        </w:trPr>
        <w:tc>
          <w:tcPr>
            <w:tcW w:w="852" w:type="dxa"/>
            <w:vMerge/>
            <w:tcBorders>
              <w:top w:val="nil"/>
              <w:left w:val="single" w:sz="4" w:space="0" w:color="auto"/>
              <w:bottom w:val="single" w:sz="4" w:space="0" w:color="auto"/>
              <w:right w:val="single" w:sz="4" w:space="0" w:color="auto"/>
            </w:tcBorders>
            <w:vAlign w:val="center"/>
          </w:tcPr>
          <w:p w14:paraId="267B8E85" w14:textId="77777777" w:rsidR="0062768B" w:rsidRDefault="0062768B">
            <w:pPr>
              <w:widowControl/>
              <w:adjustRightInd/>
              <w:spacing w:line="300" w:lineRule="auto"/>
              <w:textAlignment w:val="auto"/>
              <w:rPr>
                <w:rFonts w:ascii="Arial" w:hAnsi="Arial" w:cs="Arial"/>
                <w:szCs w:val="24"/>
              </w:rPr>
            </w:pPr>
          </w:p>
        </w:tc>
        <w:tc>
          <w:tcPr>
            <w:tcW w:w="2551" w:type="dxa"/>
            <w:tcBorders>
              <w:top w:val="nil"/>
              <w:left w:val="nil"/>
              <w:bottom w:val="single" w:sz="4" w:space="0" w:color="auto"/>
              <w:right w:val="single" w:sz="4" w:space="0" w:color="auto"/>
            </w:tcBorders>
            <w:shd w:val="clear" w:color="auto" w:fill="auto"/>
            <w:vAlign w:val="center"/>
          </w:tcPr>
          <w:p w14:paraId="6D175B75" w14:textId="77777777" w:rsidR="0062768B" w:rsidRDefault="00136729">
            <w:pPr>
              <w:widowControl/>
              <w:adjustRightInd/>
              <w:spacing w:line="300" w:lineRule="auto"/>
              <w:textAlignment w:val="auto"/>
              <w:rPr>
                <w:rFonts w:ascii="Arial" w:eastAsia="仿宋_GB2312" w:hAnsi="Arial" w:cs="Arial"/>
                <w:szCs w:val="24"/>
              </w:rPr>
            </w:pPr>
            <w:r>
              <w:rPr>
                <w:rFonts w:ascii="Arial" w:eastAsia="仿宋_GB2312" w:hAnsi="Arial" w:cs="Arial"/>
                <w:szCs w:val="24"/>
              </w:rPr>
              <w:t>剩余法</w:t>
            </w:r>
          </w:p>
        </w:tc>
        <w:tc>
          <w:tcPr>
            <w:tcW w:w="1786" w:type="dxa"/>
            <w:tcBorders>
              <w:top w:val="nil"/>
              <w:left w:val="nil"/>
              <w:bottom w:val="single" w:sz="4" w:space="0" w:color="auto"/>
              <w:right w:val="single" w:sz="4" w:space="0" w:color="auto"/>
            </w:tcBorders>
            <w:shd w:val="clear" w:color="auto" w:fill="auto"/>
            <w:vAlign w:val="center"/>
          </w:tcPr>
          <w:p w14:paraId="341C7ADC"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szCs w:val="24"/>
              </w:rPr>
              <w:t>9426</w:t>
            </w:r>
          </w:p>
        </w:tc>
        <w:tc>
          <w:tcPr>
            <w:tcW w:w="1375" w:type="dxa"/>
            <w:tcBorders>
              <w:top w:val="nil"/>
              <w:left w:val="nil"/>
              <w:bottom w:val="single" w:sz="4" w:space="0" w:color="auto"/>
              <w:right w:val="single" w:sz="4" w:space="0" w:color="auto"/>
            </w:tcBorders>
            <w:shd w:val="clear" w:color="auto" w:fill="auto"/>
            <w:vAlign w:val="center"/>
          </w:tcPr>
          <w:p w14:paraId="43A21E5E"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hint="eastAsia"/>
                <w:szCs w:val="24"/>
              </w:rPr>
              <w:t>7</w:t>
            </w:r>
            <w:r>
              <w:rPr>
                <w:rFonts w:ascii="Arial" w:hAnsi="Arial" w:cs="Arial"/>
                <w:szCs w:val="24"/>
              </w:rPr>
              <w:t>0.00%</w:t>
            </w:r>
          </w:p>
        </w:tc>
        <w:tc>
          <w:tcPr>
            <w:tcW w:w="2508" w:type="dxa"/>
            <w:vMerge/>
            <w:tcBorders>
              <w:top w:val="nil"/>
              <w:left w:val="single" w:sz="4" w:space="0" w:color="auto"/>
              <w:bottom w:val="single" w:sz="4" w:space="0" w:color="auto"/>
              <w:right w:val="single" w:sz="4" w:space="0" w:color="auto"/>
            </w:tcBorders>
            <w:vAlign w:val="center"/>
          </w:tcPr>
          <w:p w14:paraId="3D73CAD3" w14:textId="77777777" w:rsidR="0062768B" w:rsidRDefault="0062768B">
            <w:pPr>
              <w:widowControl/>
              <w:adjustRightInd/>
              <w:spacing w:line="300" w:lineRule="auto"/>
              <w:textAlignment w:val="auto"/>
              <w:rPr>
                <w:rFonts w:ascii="Arial" w:hAnsi="Arial" w:cs="Arial"/>
                <w:b/>
                <w:szCs w:val="24"/>
              </w:rPr>
            </w:pPr>
          </w:p>
        </w:tc>
      </w:tr>
      <w:tr w:rsidR="0062768B" w14:paraId="76DA3414" w14:textId="77777777">
        <w:trPr>
          <w:cantSplit/>
          <w:jc w:val="center"/>
        </w:trPr>
        <w:tc>
          <w:tcPr>
            <w:tcW w:w="852" w:type="dxa"/>
            <w:vMerge w:val="restart"/>
            <w:tcBorders>
              <w:top w:val="single" w:sz="4" w:space="0" w:color="auto"/>
              <w:left w:val="single" w:sz="4" w:space="0" w:color="auto"/>
              <w:right w:val="single" w:sz="4" w:space="0" w:color="auto"/>
            </w:tcBorders>
            <w:vAlign w:val="center"/>
          </w:tcPr>
          <w:p w14:paraId="048AB7D0" w14:textId="77777777" w:rsidR="0062768B" w:rsidRDefault="00136729">
            <w:pPr>
              <w:spacing w:line="300" w:lineRule="auto"/>
              <w:jc w:val="center"/>
              <w:rPr>
                <w:rFonts w:ascii="Arial" w:eastAsia="仿宋_GB2312" w:hAnsi="Arial" w:cs="Arial"/>
                <w:szCs w:val="24"/>
              </w:rPr>
            </w:pPr>
            <w:r>
              <w:rPr>
                <w:rFonts w:ascii="Arial" w:eastAsia="仿宋_GB2312" w:hAnsi="Arial" w:cs="Arial"/>
                <w:szCs w:val="24"/>
              </w:rPr>
              <w:t>办公</w:t>
            </w:r>
          </w:p>
        </w:tc>
        <w:tc>
          <w:tcPr>
            <w:tcW w:w="2551" w:type="dxa"/>
            <w:tcBorders>
              <w:top w:val="single" w:sz="4" w:space="0" w:color="auto"/>
              <w:left w:val="nil"/>
              <w:bottom w:val="single" w:sz="4" w:space="0" w:color="auto"/>
              <w:right w:val="single" w:sz="4" w:space="0" w:color="auto"/>
            </w:tcBorders>
            <w:shd w:val="clear" w:color="auto" w:fill="auto"/>
            <w:vAlign w:val="center"/>
          </w:tcPr>
          <w:p w14:paraId="58BA6354" w14:textId="77777777" w:rsidR="0062768B" w:rsidRDefault="00136729">
            <w:pPr>
              <w:widowControl/>
              <w:adjustRightInd/>
              <w:spacing w:line="300" w:lineRule="auto"/>
              <w:textAlignment w:val="auto"/>
              <w:rPr>
                <w:rFonts w:ascii="Arial" w:eastAsia="仿宋_GB2312" w:hAnsi="Arial" w:cs="Arial"/>
                <w:szCs w:val="24"/>
              </w:rPr>
            </w:pPr>
            <w:r>
              <w:rPr>
                <w:rFonts w:ascii="Arial" w:eastAsia="仿宋_GB2312" w:hAnsi="Arial" w:cs="Arial"/>
                <w:szCs w:val="24"/>
              </w:rPr>
              <w:t>基准地价系数修正法</w:t>
            </w:r>
          </w:p>
        </w:tc>
        <w:tc>
          <w:tcPr>
            <w:tcW w:w="1786" w:type="dxa"/>
            <w:tcBorders>
              <w:top w:val="single" w:sz="4" w:space="0" w:color="auto"/>
              <w:left w:val="nil"/>
              <w:bottom w:val="single" w:sz="4" w:space="0" w:color="auto"/>
              <w:right w:val="single" w:sz="4" w:space="0" w:color="auto"/>
            </w:tcBorders>
            <w:shd w:val="clear" w:color="auto" w:fill="auto"/>
            <w:vAlign w:val="center"/>
          </w:tcPr>
          <w:p w14:paraId="01817346"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szCs w:val="24"/>
              </w:rPr>
              <w:t>3507</w:t>
            </w:r>
          </w:p>
        </w:tc>
        <w:tc>
          <w:tcPr>
            <w:tcW w:w="1375" w:type="dxa"/>
            <w:tcBorders>
              <w:top w:val="single" w:sz="4" w:space="0" w:color="auto"/>
              <w:left w:val="nil"/>
              <w:bottom w:val="single" w:sz="4" w:space="0" w:color="auto"/>
              <w:right w:val="single" w:sz="4" w:space="0" w:color="auto"/>
            </w:tcBorders>
            <w:shd w:val="clear" w:color="auto" w:fill="auto"/>
            <w:vAlign w:val="center"/>
          </w:tcPr>
          <w:p w14:paraId="5E2FEB2B"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szCs w:val="24"/>
              </w:rPr>
              <w:t>50.00%</w:t>
            </w:r>
          </w:p>
        </w:tc>
        <w:tc>
          <w:tcPr>
            <w:tcW w:w="2508" w:type="dxa"/>
            <w:vMerge w:val="restart"/>
            <w:tcBorders>
              <w:top w:val="single" w:sz="4" w:space="0" w:color="auto"/>
              <w:left w:val="single" w:sz="4" w:space="0" w:color="auto"/>
              <w:right w:val="single" w:sz="4" w:space="0" w:color="auto"/>
            </w:tcBorders>
            <w:vAlign w:val="center"/>
          </w:tcPr>
          <w:p w14:paraId="6F5DA6F0" w14:textId="77777777" w:rsidR="0062768B" w:rsidRDefault="00136729">
            <w:pPr>
              <w:spacing w:line="300" w:lineRule="auto"/>
              <w:jc w:val="center"/>
              <w:rPr>
                <w:rFonts w:ascii="Arial" w:hAnsi="Arial" w:cs="Arial"/>
                <w:b/>
                <w:szCs w:val="24"/>
              </w:rPr>
            </w:pPr>
            <w:r>
              <w:rPr>
                <w:rFonts w:ascii="Arial" w:hAnsi="Arial" w:cs="Arial"/>
                <w:b/>
                <w:szCs w:val="24"/>
              </w:rPr>
              <w:t>3623</w:t>
            </w:r>
          </w:p>
        </w:tc>
      </w:tr>
      <w:tr w:rsidR="0062768B" w14:paraId="536082B3" w14:textId="77777777">
        <w:trPr>
          <w:cantSplit/>
          <w:jc w:val="center"/>
        </w:trPr>
        <w:tc>
          <w:tcPr>
            <w:tcW w:w="852" w:type="dxa"/>
            <w:vMerge/>
            <w:tcBorders>
              <w:left w:val="single" w:sz="4" w:space="0" w:color="auto"/>
              <w:bottom w:val="single" w:sz="4" w:space="0" w:color="auto"/>
              <w:right w:val="single" w:sz="4" w:space="0" w:color="auto"/>
            </w:tcBorders>
            <w:vAlign w:val="center"/>
          </w:tcPr>
          <w:p w14:paraId="2C0CDCE0" w14:textId="77777777" w:rsidR="0062768B" w:rsidRDefault="0062768B">
            <w:pPr>
              <w:spacing w:line="300" w:lineRule="auto"/>
              <w:jc w:val="center"/>
              <w:rPr>
                <w:rFonts w:ascii="Arial" w:eastAsia="仿宋_GB2312" w:hAnsi="Arial" w:cs="Arial"/>
                <w:szCs w:val="24"/>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04824FBA" w14:textId="77777777" w:rsidR="0062768B" w:rsidRDefault="00136729">
            <w:pPr>
              <w:widowControl/>
              <w:adjustRightInd/>
              <w:spacing w:line="300" w:lineRule="auto"/>
              <w:textAlignment w:val="auto"/>
              <w:rPr>
                <w:rFonts w:ascii="Arial" w:eastAsia="仿宋_GB2312" w:hAnsi="Arial" w:cs="Arial"/>
                <w:szCs w:val="24"/>
              </w:rPr>
            </w:pPr>
            <w:r>
              <w:rPr>
                <w:rFonts w:ascii="Arial" w:eastAsia="仿宋_GB2312" w:hAnsi="Arial" w:cs="Arial"/>
                <w:szCs w:val="24"/>
              </w:rPr>
              <w:t>剩余法</w:t>
            </w:r>
          </w:p>
        </w:tc>
        <w:tc>
          <w:tcPr>
            <w:tcW w:w="1786" w:type="dxa"/>
            <w:tcBorders>
              <w:top w:val="single" w:sz="4" w:space="0" w:color="auto"/>
              <w:left w:val="nil"/>
              <w:bottom w:val="single" w:sz="4" w:space="0" w:color="auto"/>
              <w:right w:val="single" w:sz="4" w:space="0" w:color="auto"/>
            </w:tcBorders>
            <w:shd w:val="clear" w:color="auto" w:fill="auto"/>
            <w:vAlign w:val="center"/>
          </w:tcPr>
          <w:p w14:paraId="16393796"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szCs w:val="24"/>
              </w:rPr>
              <w:t>3738</w:t>
            </w:r>
          </w:p>
        </w:tc>
        <w:tc>
          <w:tcPr>
            <w:tcW w:w="1375" w:type="dxa"/>
            <w:tcBorders>
              <w:top w:val="single" w:sz="4" w:space="0" w:color="auto"/>
              <w:left w:val="nil"/>
              <w:bottom w:val="single" w:sz="4" w:space="0" w:color="auto"/>
              <w:right w:val="single" w:sz="4" w:space="0" w:color="auto"/>
            </w:tcBorders>
            <w:shd w:val="clear" w:color="auto" w:fill="auto"/>
            <w:vAlign w:val="center"/>
          </w:tcPr>
          <w:p w14:paraId="2C1644FE"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szCs w:val="24"/>
              </w:rPr>
              <w:t>50.00%</w:t>
            </w:r>
          </w:p>
        </w:tc>
        <w:tc>
          <w:tcPr>
            <w:tcW w:w="2508" w:type="dxa"/>
            <w:vMerge/>
            <w:tcBorders>
              <w:left w:val="single" w:sz="4" w:space="0" w:color="auto"/>
              <w:bottom w:val="single" w:sz="4" w:space="0" w:color="auto"/>
              <w:right w:val="single" w:sz="4" w:space="0" w:color="auto"/>
            </w:tcBorders>
            <w:vAlign w:val="center"/>
          </w:tcPr>
          <w:p w14:paraId="6D619365" w14:textId="77777777" w:rsidR="0062768B" w:rsidRDefault="0062768B">
            <w:pPr>
              <w:spacing w:line="300" w:lineRule="auto"/>
              <w:jc w:val="center"/>
              <w:rPr>
                <w:rFonts w:ascii="Arial" w:hAnsi="Arial" w:cs="Arial"/>
                <w:b/>
                <w:szCs w:val="24"/>
              </w:rPr>
            </w:pPr>
          </w:p>
        </w:tc>
      </w:tr>
    </w:tbl>
    <w:p w14:paraId="3882F45B" w14:textId="77777777" w:rsidR="0062768B" w:rsidRDefault="0062768B">
      <w:pPr>
        <w:spacing w:line="300" w:lineRule="auto"/>
        <w:ind w:firstLineChars="200" w:firstLine="560"/>
        <w:jc w:val="both"/>
        <w:rPr>
          <w:rFonts w:ascii="Arial" w:eastAsia="仿宋_GB2312" w:hAnsi="Arial" w:cs="Arial"/>
          <w:sz w:val="28"/>
        </w:rPr>
      </w:pPr>
    </w:p>
    <w:p w14:paraId="12E50D0B" w14:textId="77777777" w:rsidR="0062768B" w:rsidRDefault="00136729">
      <w:pPr>
        <w:spacing w:line="300" w:lineRule="auto"/>
        <w:ind w:firstLineChars="200" w:firstLine="562"/>
        <w:jc w:val="both"/>
        <w:rPr>
          <w:rFonts w:ascii="Arial" w:eastAsia="仿宋_GB2312" w:hAnsi="Arial" w:cs="Arial"/>
          <w:kern w:val="2"/>
          <w:sz w:val="28"/>
        </w:rPr>
      </w:pPr>
      <w:bookmarkStart w:id="177" w:name="_Toc416783537"/>
      <w:bookmarkStart w:id="178" w:name="_Toc418750900"/>
      <w:bookmarkStart w:id="179" w:name="_Toc425250322"/>
      <w:bookmarkStart w:id="180" w:name="_Toc469066320"/>
      <w:bookmarkStart w:id="181" w:name="_Toc515458377"/>
      <w:bookmarkStart w:id="182" w:name="_Toc520261150"/>
      <w:bookmarkStart w:id="183" w:name="_Toc531701572"/>
      <w:bookmarkStart w:id="184" w:name="_Toc416783538"/>
      <w:bookmarkStart w:id="185" w:name="_Toc418750901"/>
      <w:bookmarkStart w:id="186" w:name="_Toc425250323"/>
      <w:bookmarkStart w:id="187" w:name="_Toc469066321"/>
      <w:r>
        <w:rPr>
          <w:rFonts w:ascii="黑体" w:eastAsia="黑体" w:hAnsi="黑体" w:cs="Arial"/>
          <w:b/>
          <w:sz w:val="28"/>
        </w:rPr>
        <w:t>估价对象位于北京市基准地价住宅</w:t>
      </w:r>
      <w:r>
        <w:rPr>
          <w:rFonts w:ascii="黑体" w:eastAsia="黑体" w:hAnsi="黑体" w:cs="Arial" w:hint="eastAsia"/>
          <w:b/>
          <w:sz w:val="28"/>
        </w:rPr>
        <w:t>九级（IX-顺5）</w:t>
      </w:r>
      <w:r>
        <w:rPr>
          <w:rFonts w:ascii="黑体" w:eastAsia="黑体" w:hAnsi="黑体" w:cs="Arial"/>
          <w:b/>
          <w:sz w:val="28"/>
        </w:rPr>
        <w:t>、商业</w:t>
      </w:r>
      <w:r>
        <w:rPr>
          <w:rFonts w:ascii="黑体" w:eastAsia="黑体" w:hAnsi="黑体" w:cs="Arial" w:hint="eastAsia"/>
          <w:b/>
          <w:sz w:val="28"/>
        </w:rPr>
        <w:t>（其他商服）九级（IX-顺5）</w:t>
      </w:r>
      <w:r>
        <w:rPr>
          <w:rFonts w:ascii="黑体" w:eastAsia="黑体" w:hAnsi="黑体" w:cs="Arial"/>
          <w:b/>
          <w:sz w:val="28"/>
        </w:rPr>
        <w:t>、</w:t>
      </w:r>
      <w:r>
        <w:rPr>
          <w:rFonts w:ascii="黑体" w:eastAsia="黑体" w:hAnsi="黑体" w:cs="Arial" w:hint="eastAsia"/>
          <w:b/>
          <w:sz w:val="28"/>
        </w:rPr>
        <w:t>公共服务九级（IX-顺5）</w:t>
      </w:r>
      <w:r>
        <w:rPr>
          <w:rFonts w:ascii="黑体" w:eastAsia="黑体" w:hAnsi="黑体" w:cs="Arial"/>
          <w:b/>
          <w:sz w:val="28"/>
        </w:rPr>
        <w:t>范围内</w:t>
      </w:r>
      <w:r>
        <w:rPr>
          <w:rFonts w:ascii="Arial" w:eastAsia="黑体" w:hAnsi="Arial" w:cs="Arial"/>
          <w:b/>
          <w:sz w:val="28"/>
        </w:rPr>
        <w:t>。</w:t>
      </w:r>
      <w:r>
        <w:rPr>
          <w:rFonts w:ascii="Arial" w:eastAsia="仿宋_GB2312" w:hAnsi="Arial" w:cs="Arial"/>
          <w:kern w:val="2"/>
          <w:sz w:val="28"/>
        </w:rPr>
        <w:t>土地估价专业评估师根据估价的目的，按照估价的程序，采用科学的估价方法（基准地价系数修正法和剩余法），在认真分析现有资料的基础上，通过仔细测算和认真分析各种影响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w:t>
      </w:r>
      <w:r>
        <w:rPr>
          <w:rFonts w:ascii="Arial" w:eastAsia="仿宋_GB2312" w:hAnsi="Arial" w:cs="Arial"/>
          <w:kern w:val="2"/>
          <w:sz w:val="28"/>
        </w:rPr>
        <w:t>楼面熟地价、政府土地出让收益、土地开发总成本为：</w:t>
      </w:r>
    </w:p>
    <w:p w14:paraId="78322B7F" w14:textId="77777777" w:rsidR="0062768B" w:rsidRDefault="00136729">
      <w:pPr>
        <w:snapToGrid w:val="0"/>
        <w:spacing w:line="300" w:lineRule="auto"/>
        <w:ind w:firstLineChars="200" w:firstLine="562"/>
        <w:rPr>
          <w:rFonts w:ascii="Arial" w:eastAsia="仿宋_GB2312" w:hAnsi="Arial" w:cs="Arial"/>
          <w:b/>
          <w:kern w:val="2"/>
          <w:sz w:val="28"/>
        </w:rPr>
      </w:pPr>
      <w:r>
        <w:rPr>
          <w:rFonts w:ascii="Arial" w:eastAsia="仿宋_GB2312" w:hAnsi="Arial" w:cs="Arial"/>
          <w:b/>
          <w:kern w:val="2"/>
          <w:sz w:val="28"/>
        </w:rPr>
        <w:t>熟地价：</w:t>
      </w:r>
    </w:p>
    <w:p w14:paraId="37BB926F"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熟地价总额：</w:t>
      </w:r>
      <w:r>
        <w:rPr>
          <w:rFonts w:ascii="Arial" w:eastAsia="仿宋_GB2312" w:hAnsi="Arial" w:cs="Arial"/>
          <w:kern w:val="2"/>
          <w:sz w:val="28"/>
        </w:rPr>
        <w:t xml:space="preserve">103245.0381 </w:t>
      </w:r>
      <w:r>
        <w:rPr>
          <w:rFonts w:ascii="Arial" w:eastAsia="仿宋_GB2312" w:hAnsi="Arial" w:cs="Arial"/>
          <w:kern w:val="2"/>
          <w:sz w:val="28"/>
        </w:rPr>
        <w:t>万元</w:t>
      </w:r>
    </w:p>
    <w:p w14:paraId="31ED8A5C"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壹拾亿零叁仟贰佰肆拾伍万零叁佰捌拾壹</w:t>
      </w:r>
      <w:proofErr w:type="gramEnd"/>
      <w:r>
        <w:rPr>
          <w:rFonts w:ascii="Arial" w:eastAsia="仿宋_GB2312" w:hAnsi="Arial" w:cs="Arial"/>
          <w:kern w:val="2"/>
          <w:sz w:val="28"/>
        </w:rPr>
        <w:t>元整</w:t>
      </w:r>
    </w:p>
    <w:p w14:paraId="00E1C3B1" w14:textId="77777777" w:rsidR="0062768B" w:rsidRDefault="00136729">
      <w:pPr>
        <w:snapToGrid w:val="0"/>
        <w:spacing w:beforeLines="50" w:before="120" w:line="300" w:lineRule="auto"/>
        <w:ind w:firstLineChars="200" w:firstLine="562"/>
        <w:rPr>
          <w:rFonts w:ascii="Arial" w:eastAsia="仿宋_GB2312" w:hAnsi="Arial" w:cs="Arial"/>
          <w:b/>
          <w:kern w:val="2"/>
          <w:sz w:val="28"/>
        </w:rPr>
      </w:pPr>
      <w:r>
        <w:rPr>
          <w:rFonts w:ascii="Arial" w:eastAsia="仿宋_GB2312" w:hAnsi="Arial" w:cs="Arial"/>
          <w:b/>
          <w:kern w:val="2"/>
          <w:sz w:val="28"/>
        </w:rPr>
        <w:t>政府土地出让收益：</w:t>
      </w:r>
    </w:p>
    <w:p w14:paraId="701D0FBA"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政府土地出让收益总额：</w:t>
      </w:r>
      <w:r>
        <w:rPr>
          <w:rFonts w:ascii="Arial" w:eastAsia="仿宋_GB2312" w:hAnsi="Arial" w:cs="Arial"/>
          <w:kern w:val="2"/>
          <w:sz w:val="28"/>
        </w:rPr>
        <w:t>25814.6670</w:t>
      </w:r>
      <w:r>
        <w:rPr>
          <w:rFonts w:ascii="Arial" w:eastAsia="仿宋_GB2312" w:hAnsi="Arial" w:cs="Arial"/>
          <w:kern w:val="2"/>
          <w:sz w:val="28"/>
        </w:rPr>
        <w:t>万元</w:t>
      </w:r>
    </w:p>
    <w:p w14:paraId="25F135C7"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贰亿伍仟捌佰壹拾肆万陆仟陆佰柒拾</w:t>
      </w:r>
      <w:proofErr w:type="gramEnd"/>
      <w:r>
        <w:rPr>
          <w:rFonts w:ascii="Arial" w:eastAsia="仿宋_GB2312" w:hAnsi="Arial" w:cs="Arial"/>
          <w:kern w:val="2"/>
          <w:sz w:val="28"/>
        </w:rPr>
        <w:t>元整</w:t>
      </w:r>
    </w:p>
    <w:p w14:paraId="31A8E531"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详见《估价结果汇总表》</w:t>
      </w:r>
    </w:p>
    <w:p w14:paraId="376D50BC" w14:textId="77777777" w:rsidR="0062768B" w:rsidRDefault="00136729">
      <w:pPr>
        <w:snapToGrid w:val="0"/>
        <w:spacing w:beforeLines="50" w:before="120" w:line="300" w:lineRule="auto"/>
        <w:ind w:firstLineChars="200" w:firstLine="562"/>
        <w:rPr>
          <w:rFonts w:ascii="Arial" w:eastAsia="仿宋_GB2312" w:hAnsi="Arial" w:cs="Arial"/>
          <w:b/>
          <w:kern w:val="2"/>
          <w:sz w:val="28"/>
        </w:rPr>
      </w:pPr>
      <w:r>
        <w:rPr>
          <w:rFonts w:ascii="Arial" w:eastAsia="仿宋_GB2312" w:hAnsi="Arial" w:cs="Arial"/>
          <w:b/>
          <w:kern w:val="2"/>
          <w:sz w:val="28"/>
        </w:rPr>
        <w:t>土地开发总成本：</w:t>
      </w:r>
      <w:r>
        <w:rPr>
          <w:rFonts w:ascii="Arial" w:eastAsia="仿宋_GB2312" w:hAnsi="Arial" w:cs="Arial" w:hint="eastAsia"/>
          <w:b/>
          <w:kern w:val="2"/>
          <w:sz w:val="28"/>
        </w:rPr>
        <w:t xml:space="preserve"> </w:t>
      </w:r>
    </w:p>
    <w:p w14:paraId="77BEFE28"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土地开发总成本：</w:t>
      </w:r>
      <w:r w:rsidR="00550FB0">
        <w:rPr>
          <w:rFonts w:ascii="Arial" w:eastAsia="仿宋_GB2312" w:hAnsi="Arial" w:cs="Arial" w:hint="eastAsia"/>
          <w:kern w:val="2"/>
          <w:sz w:val="28"/>
        </w:rPr>
        <w:t>78853.6400</w:t>
      </w:r>
      <w:r>
        <w:rPr>
          <w:rFonts w:ascii="Arial" w:eastAsia="仿宋_GB2312" w:hAnsi="Arial" w:cs="Arial"/>
          <w:kern w:val="2"/>
          <w:sz w:val="28"/>
        </w:rPr>
        <w:t>万元</w:t>
      </w:r>
    </w:p>
    <w:p w14:paraId="752937C5"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大写金额：</w:t>
      </w:r>
      <w:proofErr w:type="gramStart"/>
      <w:r w:rsidR="00550FB0">
        <w:rPr>
          <w:rFonts w:ascii="Arial" w:eastAsia="仿宋_GB2312" w:hAnsi="Arial" w:cs="Arial" w:hint="eastAsia"/>
          <w:kern w:val="2"/>
          <w:sz w:val="28"/>
        </w:rPr>
        <w:t>柒亿捌仟捌佰伍拾叁万陆仟肆佰</w:t>
      </w:r>
      <w:proofErr w:type="gramEnd"/>
      <w:r>
        <w:rPr>
          <w:rFonts w:ascii="Arial" w:eastAsia="仿宋_GB2312" w:hAnsi="Arial" w:cs="Arial"/>
          <w:kern w:val="2"/>
          <w:sz w:val="28"/>
        </w:rPr>
        <w:t>元整</w:t>
      </w:r>
    </w:p>
    <w:p w14:paraId="494D687E"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详见《估价结果汇总表》</w:t>
      </w:r>
    </w:p>
    <w:p w14:paraId="39AE8137" w14:textId="77777777" w:rsidR="0062768B" w:rsidRDefault="00136729">
      <w:pPr>
        <w:snapToGrid w:val="0"/>
        <w:spacing w:beforeLines="50" w:before="120" w:line="300" w:lineRule="auto"/>
        <w:ind w:firstLineChars="200" w:firstLine="562"/>
        <w:rPr>
          <w:rFonts w:ascii="Arial" w:eastAsia="仿宋_GB2312" w:hAnsi="Arial" w:cs="Arial"/>
          <w:b/>
          <w:kern w:val="2"/>
          <w:sz w:val="28"/>
        </w:rPr>
      </w:pPr>
      <w:r>
        <w:rPr>
          <w:rFonts w:ascii="Arial" w:eastAsia="仿宋_GB2312" w:hAnsi="Arial" w:cs="Arial"/>
          <w:b/>
          <w:kern w:val="2"/>
          <w:sz w:val="28"/>
        </w:rPr>
        <w:t>本项目不存在回迁、回购等实物补偿内容。</w:t>
      </w:r>
    </w:p>
    <w:tbl>
      <w:tblPr>
        <w:tblW w:w="9072" w:type="dxa"/>
        <w:jc w:val="center"/>
        <w:tblLayout w:type="fixed"/>
        <w:tblLook w:val="04A0" w:firstRow="1" w:lastRow="0" w:firstColumn="1" w:lastColumn="0" w:noHBand="0" w:noVBand="1"/>
      </w:tblPr>
      <w:tblGrid>
        <w:gridCol w:w="3403"/>
        <w:gridCol w:w="1843"/>
        <w:gridCol w:w="1596"/>
        <w:gridCol w:w="2230"/>
      </w:tblGrid>
      <w:tr w:rsidR="0062768B" w14:paraId="715A8FA4" w14:textId="77777777">
        <w:trPr>
          <w:trHeight w:val="1125"/>
          <w:jc w:val="center"/>
        </w:trPr>
        <w:tc>
          <w:tcPr>
            <w:tcW w:w="9072" w:type="dxa"/>
            <w:gridSpan w:val="4"/>
            <w:tcBorders>
              <w:top w:val="nil"/>
              <w:left w:val="nil"/>
              <w:bottom w:val="single" w:sz="4" w:space="0" w:color="auto"/>
              <w:right w:val="nil"/>
            </w:tcBorders>
            <w:shd w:val="clear" w:color="auto" w:fill="auto"/>
            <w:vAlign w:val="center"/>
          </w:tcPr>
          <w:p w14:paraId="769FF3D8" w14:textId="77777777" w:rsidR="0062768B" w:rsidRDefault="00136729">
            <w:pPr>
              <w:widowControl/>
              <w:adjustRightInd/>
              <w:spacing w:line="300" w:lineRule="auto"/>
              <w:jc w:val="center"/>
              <w:textAlignment w:val="auto"/>
              <w:rPr>
                <w:rFonts w:ascii="Arial" w:eastAsia="黑体" w:hAnsi="Arial" w:cs="Arial"/>
                <w:sz w:val="28"/>
                <w:szCs w:val="28"/>
              </w:rPr>
            </w:pPr>
            <w:r>
              <w:rPr>
                <w:rFonts w:ascii="Arial" w:eastAsia="仿宋_GB2312" w:hAnsi="Arial" w:cs="Arial" w:hint="eastAsia"/>
                <w:sz w:val="28"/>
              </w:rPr>
              <w:lastRenderedPageBreak/>
              <w:t>北京市顺义区高丽营镇夏县营村</w:t>
            </w:r>
            <w:r>
              <w:rPr>
                <w:rFonts w:ascii="Arial" w:eastAsia="仿宋_GB2312" w:hAnsi="Arial" w:cs="Arial" w:hint="eastAsia"/>
                <w:sz w:val="28"/>
              </w:rPr>
              <w:t>01-008</w:t>
            </w:r>
            <w:r>
              <w:rPr>
                <w:rFonts w:ascii="Arial" w:eastAsia="仿宋_GB2312" w:hAnsi="Arial" w:cs="Arial" w:hint="eastAsia"/>
                <w:sz w:val="28"/>
              </w:rPr>
              <w:t>、</w:t>
            </w:r>
            <w:r>
              <w:rPr>
                <w:rFonts w:ascii="Arial" w:eastAsia="仿宋_GB2312" w:hAnsi="Arial" w:cs="Arial" w:hint="eastAsia"/>
                <w:sz w:val="28"/>
              </w:rPr>
              <w:t>01-016</w:t>
            </w:r>
            <w:r>
              <w:rPr>
                <w:rFonts w:ascii="Arial" w:eastAsia="仿宋_GB2312" w:hAnsi="Arial" w:cs="Arial" w:hint="eastAsia"/>
                <w:sz w:val="28"/>
              </w:rPr>
              <w:t>、</w:t>
            </w:r>
            <w:r>
              <w:rPr>
                <w:rFonts w:ascii="Arial" w:eastAsia="仿宋_GB2312" w:hAnsi="Arial" w:cs="Arial" w:hint="eastAsia"/>
                <w:sz w:val="28"/>
              </w:rPr>
              <w:t>01-026-1</w:t>
            </w:r>
            <w:r>
              <w:rPr>
                <w:rFonts w:ascii="Arial" w:eastAsia="仿宋_GB2312" w:hAnsi="Arial" w:cs="Arial" w:hint="eastAsia"/>
                <w:sz w:val="28"/>
              </w:rPr>
              <w:t>地块</w:t>
            </w:r>
            <w:r>
              <w:rPr>
                <w:rFonts w:ascii="Arial" w:eastAsia="仿宋_GB2312" w:hAnsi="Arial" w:cs="Arial" w:hint="eastAsia"/>
                <w:sz w:val="28"/>
              </w:rPr>
              <w:t>R2</w:t>
            </w:r>
            <w:proofErr w:type="gramStart"/>
            <w:r>
              <w:rPr>
                <w:rFonts w:ascii="Arial" w:eastAsia="仿宋_GB2312" w:hAnsi="Arial" w:cs="Arial" w:hint="eastAsia"/>
                <w:sz w:val="28"/>
              </w:rPr>
              <w:t>二</w:t>
            </w:r>
            <w:proofErr w:type="gramEnd"/>
            <w:r>
              <w:rPr>
                <w:rFonts w:ascii="Arial" w:eastAsia="仿宋_GB2312" w:hAnsi="Arial" w:cs="Arial" w:hint="eastAsia"/>
                <w:sz w:val="28"/>
              </w:rPr>
              <w:t>类居住用地及</w:t>
            </w:r>
            <w:r>
              <w:rPr>
                <w:rFonts w:ascii="Arial" w:eastAsia="仿宋_GB2312" w:hAnsi="Arial" w:cs="Arial" w:hint="eastAsia"/>
                <w:sz w:val="28"/>
              </w:rPr>
              <w:t>01-020</w:t>
            </w:r>
            <w:r>
              <w:rPr>
                <w:rFonts w:ascii="Arial" w:eastAsia="仿宋_GB2312" w:hAnsi="Arial" w:cs="Arial" w:hint="eastAsia"/>
                <w:sz w:val="28"/>
              </w:rPr>
              <w:t>地块</w:t>
            </w:r>
            <w:r>
              <w:rPr>
                <w:rFonts w:ascii="Arial" w:eastAsia="仿宋_GB2312" w:hAnsi="Arial" w:cs="Arial" w:hint="eastAsia"/>
                <w:sz w:val="28"/>
              </w:rPr>
              <w:t>A334</w:t>
            </w:r>
            <w:r>
              <w:rPr>
                <w:rFonts w:ascii="Arial" w:eastAsia="仿宋_GB2312" w:hAnsi="Arial" w:cs="Arial" w:hint="eastAsia"/>
                <w:sz w:val="28"/>
              </w:rPr>
              <w:t>托幼用地项目</w:t>
            </w:r>
            <w:r>
              <w:rPr>
                <w:rFonts w:ascii="Arial" w:eastAsia="仿宋_GB2312" w:hAnsi="Arial" w:cs="Arial"/>
                <w:sz w:val="28"/>
              </w:rPr>
              <w:t>估价结果汇总表</w:t>
            </w:r>
          </w:p>
        </w:tc>
      </w:tr>
      <w:tr w:rsidR="0062768B" w14:paraId="0B55F652" w14:textId="77777777">
        <w:trPr>
          <w:trHeight w:val="67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3A456F41"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 xml:space="preserve">　</w:t>
            </w:r>
          </w:p>
        </w:tc>
        <w:tc>
          <w:tcPr>
            <w:tcW w:w="1843" w:type="dxa"/>
            <w:tcBorders>
              <w:top w:val="nil"/>
              <w:left w:val="nil"/>
              <w:bottom w:val="single" w:sz="4" w:space="0" w:color="auto"/>
              <w:right w:val="single" w:sz="4" w:space="0" w:color="auto"/>
            </w:tcBorders>
            <w:shd w:val="clear" w:color="auto" w:fill="auto"/>
            <w:vAlign w:val="center"/>
          </w:tcPr>
          <w:p w14:paraId="14C9E104"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楼面单价</w:t>
            </w:r>
            <w:r>
              <w:rPr>
                <w:rFonts w:ascii="Arial" w:eastAsia="仿宋_GB2312" w:hAnsi="Arial" w:cs="Arial"/>
                <w:szCs w:val="24"/>
              </w:rPr>
              <w:br/>
            </w:r>
            <w:r>
              <w:rPr>
                <w:rFonts w:ascii="Arial" w:eastAsia="仿宋_GB2312" w:hAnsi="Arial" w:cs="Arial"/>
                <w:szCs w:val="24"/>
              </w:rPr>
              <w:t>（元</w:t>
            </w:r>
            <w:r>
              <w:rPr>
                <w:rFonts w:ascii="Arial" w:eastAsia="仿宋_GB2312" w:hAnsi="Arial" w:cs="Arial"/>
                <w:szCs w:val="24"/>
              </w:rPr>
              <w:t>/</w:t>
            </w:r>
            <w:r>
              <w:rPr>
                <w:rFonts w:ascii="Arial" w:eastAsia="仿宋_GB2312" w:hAnsi="Arial" w:cs="Arial"/>
                <w:szCs w:val="24"/>
              </w:rPr>
              <w:t>平方米）</w:t>
            </w:r>
          </w:p>
        </w:tc>
        <w:tc>
          <w:tcPr>
            <w:tcW w:w="1596" w:type="dxa"/>
            <w:tcBorders>
              <w:top w:val="nil"/>
              <w:left w:val="nil"/>
              <w:bottom w:val="single" w:sz="4" w:space="0" w:color="auto"/>
              <w:right w:val="single" w:sz="4" w:space="0" w:color="auto"/>
            </w:tcBorders>
            <w:shd w:val="clear" w:color="auto" w:fill="auto"/>
            <w:vAlign w:val="center"/>
          </w:tcPr>
          <w:p w14:paraId="1FCA061C"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建筑规模</w:t>
            </w:r>
            <w:r>
              <w:rPr>
                <w:rFonts w:ascii="Arial" w:eastAsia="仿宋_GB2312" w:hAnsi="Arial" w:cs="Arial"/>
                <w:szCs w:val="24"/>
              </w:rPr>
              <w:br/>
            </w:r>
            <w:r>
              <w:rPr>
                <w:rFonts w:ascii="Arial" w:eastAsia="仿宋_GB2312" w:hAnsi="Arial" w:cs="Arial"/>
                <w:szCs w:val="24"/>
              </w:rPr>
              <w:t>（平方米）</w:t>
            </w:r>
          </w:p>
        </w:tc>
        <w:tc>
          <w:tcPr>
            <w:tcW w:w="2230" w:type="dxa"/>
            <w:tcBorders>
              <w:top w:val="nil"/>
              <w:left w:val="nil"/>
              <w:bottom w:val="single" w:sz="4" w:space="0" w:color="auto"/>
              <w:right w:val="single" w:sz="4" w:space="0" w:color="auto"/>
            </w:tcBorders>
            <w:shd w:val="clear" w:color="auto" w:fill="auto"/>
            <w:vAlign w:val="center"/>
          </w:tcPr>
          <w:p w14:paraId="245927BB"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总价</w:t>
            </w:r>
            <w:r>
              <w:rPr>
                <w:rFonts w:ascii="Arial" w:eastAsia="仿宋_GB2312" w:hAnsi="Arial" w:cs="Arial"/>
                <w:szCs w:val="24"/>
              </w:rPr>
              <w:br/>
            </w:r>
            <w:r>
              <w:rPr>
                <w:rFonts w:ascii="Arial" w:eastAsia="仿宋_GB2312" w:hAnsi="Arial" w:cs="Arial"/>
                <w:szCs w:val="24"/>
              </w:rPr>
              <w:t>（万元）</w:t>
            </w:r>
          </w:p>
        </w:tc>
      </w:tr>
      <w:tr w:rsidR="0062768B" w14:paraId="6F73FD00" w14:textId="77777777">
        <w:trPr>
          <w:trHeight w:val="56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7BD762E7"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住宅用途熟地价</w:t>
            </w:r>
          </w:p>
        </w:tc>
        <w:tc>
          <w:tcPr>
            <w:tcW w:w="1843" w:type="dxa"/>
            <w:tcBorders>
              <w:top w:val="nil"/>
              <w:left w:val="nil"/>
              <w:bottom w:val="single" w:sz="4" w:space="0" w:color="auto"/>
              <w:right w:val="single" w:sz="4" w:space="0" w:color="auto"/>
            </w:tcBorders>
            <w:shd w:val="clear" w:color="auto" w:fill="auto"/>
            <w:vAlign w:val="center"/>
          </w:tcPr>
          <w:p w14:paraId="10FA4430" w14:textId="77777777" w:rsidR="0062768B" w:rsidRDefault="00136729">
            <w:pPr>
              <w:spacing w:line="300" w:lineRule="auto"/>
              <w:jc w:val="center"/>
              <w:rPr>
                <w:rFonts w:ascii="黑体" w:eastAsia="黑体" w:hAnsi="黑体" w:cs="宋体"/>
                <w:szCs w:val="24"/>
              </w:rPr>
            </w:pPr>
            <w:r>
              <w:rPr>
                <w:rFonts w:ascii="黑体" w:eastAsia="黑体" w:hAnsi="黑体"/>
              </w:rPr>
              <w:t>15150</w:t>
            </w:r>
          </w:p>
        </w:tc>
        <w:tc>
          <w:tcPr>
            <w:tcW w:w="1596" w:type="dxa"/>
            <w:tcBorders>
              <w:top w:val="nil"/>
              <w:left w:val="nil"/>
              <w:bottom w:val="single" w:sz="4" w:space="0" w:color="auto"/>
              <w:right w:val="single" w:sz="4" w:space="0" w:color="auto"/>
            </w:tcBorders>
            <w:shd w:val="clear" w:color="auto" w:fill="auto"/>
            <w:vAlign w:val="center"/>
          </w:tcPr>
          <w:p w14:paraId="6C169A1C" w14:textId="77777777" w:rsidR="0062768B" w:rsidRDefault="00136729">
            <w:pPr>
              <w:spacing w:line="300" w:lineRule="auto"/>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3A23189C" w14:textId="77777777" w:rsidR="0062768B" w:rsidRDefault="00136729">
            <w:pPr>
              <w:spacing w:line="300" w:lineRule="auto"/>
              <w:jc w:val="center"/>
              <w:rPr>
                <w:rFonts w:ascii="黑体" w:eastAsia="黑体" w:hAnsi="黑体" w:cs="宋体"/>
                <w:szCs w:val="24"/>
              </w:rPr>
            </w:pPr>
            <w:r>
              <w:rPr>
                <w:rFonts w:ascii="黑体" w:eastAsia="黑体" w:hAnsi="黑体"/>
              </w:rPr>
              <w:t xml:space="preserve">103245.0381 </w:t>
            </w:r>
          </w:p>
        </w:tc>
      </w:tr>
      <w:tr w:rsidR="0062768B" w14:paraId="685AE3A9"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4FBDCB28"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商业</w:t>
            </w:r>
            <w:r>
              <w:rPr>
                <w:rFonts w:ascii="Arial" w:eastAsia="仿宋_GB2312" w:hAnsi="Arial" w:cs="Arial" w:hint="eastAsia"/>
                <w:szCs w:val="24"/>
              </w:rPr>
              <w:t>（其他商服）</w:t>
            </w:r>
            <w:r>
              <w:rPr>
                <w:rFonts w:ascii="Arial" w:eastAsia="仿宋_GB2312" w:hAnsi="Arial" w:cs="Arial"/>
                <w:szCs w:val="24"/>
              </w:rPr>
              <w:t>用途熟地价</w:t>
            </w:r>
          </w:p>
        </w:tc>
        <w:tc>
          <w:tcPr>
            <w:tcW w:w="1843" w:type="dxa"/>
            <w:tcBorders>
              <w:top w:val="nil"/>
              <w:left w:val="nil"/>
              <w:bottom w:val="single" w:sz="4" w:space="0" w:color="auto"/>
              <w:right w:val="single" w:sz="4" w:space="0" w:color="auto"/>
            </w:tcBorders>
            <w:shd w:val="clear" w:color="auto" w:fill="auto"/>
            <w:vAlign w:val="center"/>
          </w:tcPr>
          <w:p w14:paraId="3F279593" w14:textId="77777777" w:rsidR="0062768B" w:rsidRDefault="00136729">
            <w:pPr>
              <w:spacing w:line="300" w:lineRule="auto"/>
              <w:jc w:val="center"/>
              <w:rPr>
                <w:rFonts w:ascii="黑体" w:eastAsia="黑体" w:hAnsi="黑体" w:cs="宋体"/>
                <w:szCs w:val="24"/>
              </w:rPr>
            </w:pPr>
            <w:r>
              <w:rPr>
                <w:rFonts w:ascii="黑体" w:eastAsia="黑体" w:hAnsi="黑体"/>
              </w:rPr>
              <w:t>8128</w:t>
            </w:r>
          </w:p>
        </w:tc>
        <w:tc>
          <w:tcPr>
            <w:tcW w:w="1596" w:type="dxa"/>
            <w:tcBorders>
              <w:top w:val="nil"/>
              <w:left w:val="nil"/>
              <w:bottom w:val="single" w:sz="4" w:space="0" w:color="auto"/>
              <w:right w:val="single" w:sz="4" w:space="0" w:color="auto"/>
            </w:tcBorders>
            <w:shd w:val="clear" w:color="auto" w:fill="auto"/>
            <w:vAlign w:val="center"/>
          </w:tcPr>
          <w:p w14:paraId="6CA1EC49" w14:textId="77777777" w:rsidR="0062768B" w:rsidRDefault="00136729">
            <w:pPr>
              <w:spacing w:line="300" w:lineRule="auto"/>
              <w:jc w:val="center"/>
              <w:rPr>
                <w:rFonts w:ascii="黑体" w:eastAsia="黑体" w:hAnsi="黑体"/>
              </w:rPr>
            </w:pPr>
            <w:r>
              <w:rPr>
                <w:rFonts w:ascii="黑体" w:eastAsia="黑体" w:hAnsi="黑体" w:hint="eastAsia"/>
              </w:rPr>
              <w:t>-</w:t>
            </w:r>
          </w:p>
        </w:tc>
        <w:tc>
          <w:tcPr>
            <w:tcW w:w="2230" w:type="dxa"/>
            <w:tcBorders>
              <w:top w:val="nil"/>
              <w:left w:val="nil"/>
              <w:bottom w:val="single" w:sz="4" w:space="0" w:color="auto"/>
              <w:right w:val="single" w:sz="4" w:space="0" w:color="auto"/>
            </w:tcBorders>
            <w:shd w:val="clear" w:color="auto" w:fill="auto"/>
            <w:vAlign w:val="center"/>
          </w:tcPr>
          <w:p w14:paraId="1AF29C17" w14:textId="77777777" w:rsidR="0062768B" w:rsidRDefault="00136729">
            <w:pPr>
              <w:spacing w:line="300" w:lineRule="auto"/>
              <w:jc w:val="center"/>
              <w:rPr>
                <w:rFonts w:ascii="黑体" w:eastAsia="黑体" w:hAnsi="黑体" w:cs="宋体"/>
                <w:szCs w:val="24"/>
              </w:rPr>
            </w:pPr>
            <w:r>
              <w:rPr>
                <w:rFonts w:ascii="黑体" w:eastAsia="黑体" w:hAnsi="黑体" w:hint="eastAsia"/>
              </w:rPr>
              <w:t>-</w:t>
            </w:r>
          </w:p>
        </w:tc>
      </w:tr>
      <w:tr w:rsidR="0062768B" w14:paraId="31D34F3A"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01DCCB46"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hint="eastAsia"/>
                <w:szCs w:val="24"/>
              </w:rPr>
              <w:t>公共服务</w:t>
            </w:r>
            <w:r>
              <w:rPr>
                <w:rFonts w:ascii="Arial" w:eastAsia="仿宋_GB2312" w:hAnsi="Arial" w:cs="Arial"/>
                <w:szCs w:val="24"/>
              </w:rPr>
              <w:t>用途熟地价</w:t>
            </w:r>
          </w:p>
        </w:tc>
        <w:tc>
          <w:tcPr>
            <w:tcW w:w="1843" w:type="dxa"/>
            <w:tcBorders>
              <w:top w:val="nil"/>
              <w:left w:val="nil"/>
              <w:bottom w:val="single" w:sz="4" w:space="0" w:color="auto"/>
              <w:right w:val="single" w:sz="4" w:space="0" w:color="auto"/>
            </w:tcBorders>
            <w:shd w:val="clear" w:color="auto" w:fill="auto"/>
            <w:vAlign w:val="center"/>
          </w:tcPr>
          <w:p w14:paraId="0E6F0018" w14:textId="77777777" w:rsidR="0062768B" w:rsidRDefault="00136729">
            <w:pPr>
              <w:spacing w:line="300" w:lineRule="auto"/>
              <w:jc w:val="center"/>
              <w:rPr>
                <w:rFonts w:ascii="黑体" w:eastAsia="黑体" w:hAnsi="黑体" w:cs="宋体"/>
                <w:szCs w:val="24"/>
              </w:rPr>
            </w:pPr>
            <w:r>
              <w:rPr>
                <w:rFonts w:ascii="黑体" w:eastAsia="黑体" w:hAnsi="黑体"/>
              </w:rPr>
              <w:t>3623</w:t>
            </w:r>
          </w:p>
        </w:tc>
        <w:tc>
          <w:tcPr>
            <w:tcW w:w="1596" w:type="dxa"/>
            <w:tcBorders>
              <w:top w:val="nil"/>
              <w:left w:val="nil"/>
              <w:bottom w:val="single" w:sz="4" w:space="0" w:color="auto"/>
              <w:right w:val="single" w:sz="4" w:space="0" w:color="auto"/>
            </w:tcBorders>
            <w:shd w:val="clear" w:color="auto" w:fill="auto"/>
            <w:vAlign w:val="center"/>
          </w:tcPr>
          <w:p w14:paraId="53634D05" w14:textId="77777777" w:rsidR="0062768B" w:rsidRDefault="00136729">
            <w:pPr>
              <w:spacing w:line="300" w:lineRule="auto"/>
              <w:jc w:val="center"/>
              <w:rPr>
                <w:rFonts w:ascii="黑体" w:eastAsia="黑体" w:hAnsi="黑体"/>
              </w:rPr>
            </w:pPr>
            <w:r>
              <w:rPr>
                <w:rFonts w:ascii="黑体" w:eastAsia="黑体" w:hAnsi="黑体"/>
              </w:rPr>
              <w:t>-</w:t>
            </w:r>
          </w:p>
        </w:tc>
        <w:tc>
          <w:tcPr>
            <w:tcW w:w="2230" w:type="dxa"/>
            <w:tcBorders>
              <w:top w:val="nil"/>
              <w:left w:val="nil"/>
              <w:bottom w:val="single" w:sz="4" w:space="0" w:color="auto"/>
              <w:right w:val="single" w:sz="4" w:space="0" w:color="auto"/>
            </w:tcBorders>
            <w:shd w:val="clear" w:color="auto" w:fill="auto"/>
            <w:vAlign w:val="center"/>
          </w:tcPr>
          <w:p w14:paraId="238EA16B" w14:textId="77777777" w:rsidR="0062768B" w:rsidRDefault="00136729">
            <w:pPr>
              <w:spacing w:line="300" w:lineRule="auto"/>
              <w:jc w:val="center"/>
              <w:rPr>
                <w:rFonts w:ascii="黑体" w:eastAsia="黑体" w:hAnsi="黑体" w:cs="宋体"/>
                <w:szCs w:val="24"/>
              </w:rPr>
            </w:pPr>
            <w:r>
              <w:rPr>
                <w:rFonts w:ascii="黑体" w:eastAsia="黑体" w:hAnsi="黑体"/>
              </w:rPr>
              <w:t>-</w:t>
            </w:r>
          </w:p>
        </w:tc>
      </w:tr>
      <w:tr w:rsidR="0062768B" w14:paraId="4427B914"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1293373E"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熟地总价</w:t>
            </w:r>
          </w:p>
        </w:tc>
        <w:tc>
          <w:tcPr>
            <w:tcW w:w="1843" w:type="dxa"/>
            <w:tcBorders>
              <w:top w:val="nil"/>
              <w:left w:val="nil"/>
              <w:bottom w:val="single" w:sz="4" w:space="0" w:color="auto"/>
              <w:right w:val="single" w:sz="4" w:space="0" w:color="auto"/>
            </w:tcBorders>
            <w:shd w:val="clear" w:color="auto" w:fill="auto"/>
            <w:vAlign w:val="center"/>
          </w:tcPr>
          <w:p w14:paraId="34BB10D4" w14:textId="77777777" w:rsidR="0062768B" w:rsidRDefault="00136729">
            <w:pPr>
              <w:spacing w:line="300" w:lineRule="auto"/>
              <w:jc w:val="center"/>
              <w:rPr>
                <w:rFonts w:ascii="黑体" w:eastAsia="黑体" w:hAnsi="黑体" w:cs="宋体"/>
                <w:szCs w:val="24"/>
              </w:rPr>
            </w:pPr>
            <w:r>
              <w:rPr>
                <w:rFonts w:ascii="黑体" w:eastAsia="黑体" w:hAnsi="黑体" w:hint="eastAsia"/>
              </w:rPr>
              <w:t>-</w:t>
            </w:r>
          </w:p>
        </w:tc>
        <w:tc>
          <w:tcPr>
            <w:tcW w:w="1596" w:type="dxa"/>
            <w:tcBorders>
              <w:top w:val="nil"/>
              <w:left w:val="nil"/>
              <w:bottom w:val="single" w:sz="4" w:space="0" w:color="auto"/>
              <w:right w:val="single" w:sz="4" w:space="0" w:color="auto"/>
            </w:tcBorders>
            <w:shd w:val="clear" w:color="auto" w:fill="auto"/>
            <w:vAlign w:val="center"/>
          </w:tcPr>
          <w:p w14:paraId="07815D8D" w14:textId="77777777" w:rsidR="0062768B" w:rsidRDefault="00136729">
            <w:pPr>
              <w:spacing w:line="300" w:lineRule="auto"/>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08EE971C" w14:textId="77777777" w:rsidR="0062768B" w:rsidRDefault="00136729">
            <w:pPr>
              <w:spacing w:line="300" w:lineRule="auto"/>
              <w:jc w:val="center"/>
              <w:rPr>
                <w:rFonts w:ascii="黑体" w:eastAsia="黑体" w:hAnsi="黑体" w:cs="宋体"/>
                <w:szCs w:val="24"/>
              </w:rPr>
            </w:pPr>
            <w:r>
              <w:rPr>
                <w:rFonts w:ascii="黑体" w:eastAsia="黑体" w:hAnsi="黑体"/>
              </w:rPr>
              <w:t xml:space="preserve">103245.0381 </w:t>
            </w:r>
          </w:p>
        </w:tc>
      </w:tr>
      <w:tr w:rsidR="0062768B" w14:paraId="2E1ED149" w14:textId="77777777">
        <w:trPr>
          <w:trHeight w:val="525"/>
          <w:jc w:val="center"/>
        </w:trPr>
        <w:tc>
          <w:tcPr>
            <w:tcW w:w="3403" w:type="dxa"/>
            <w:tcBorders>
              <w:top w:val="nil"/>
              <w:left w:val="nil"/>
              <w:bottom w:val="nil"/>
              <w:right w:val="nil"/>
            </w:tcBorders>
            <w:shd w:val="clear" w:color="auto" w:fill="auto"/>
            <w:vAlign w:val="center"/>
          </w:tcPr>
          <w:p w14:paraId="42F41F0A" w14:textId="77777777" w:rsidR="0062768B" w:rsidRDefault="0062768B">
            <w:pPr>
              <w:widowControl/>
              <w:adjustRightInd/>
              <w:spacing w:line="300" w:lineRule="auto"/>
              <w:jc w:val="center"/>
              <w:textAlignment w:val="auto"/>
              <w:rPr>
                <w:rFonts w:ascii="Arial" w:eastAsia="仿宋_GB2312" w:hAnsi="Arial" w:cs="Arial"/>
                <w:szCs w:val="24"/>
              </w:rPr>
            </w:pPr>
          </w:p>
        </w:tc>
        <w:tc>
          <w:tcPr>
            <w:tcW w:w="1843" w:type="dxa"/>
            <w:tcBorders>
              <w:top w:val="nil"/>
              <w:left w:val="nil"/>
              <w:bottom w:val="nil"/>
              <w:right w:val="nil"/>
            </w:tcBorders>
            <w:shd w:val="clear" w:color="auto" w:fill="auto"/>
            <w:vAlign w:val="center"/>
          </w:tcPr>
          <w:p w14:paraId="2A579641" w14:textId="77777777" w:rsidR="0062768B" w:rsidRDefault="0062768B">
            <w:pPr>
              <w:widowControl/>
              <w:adjustRightInd/>
              <w:spacing w:line="300" w:lineRule="auto"/>
              <w:jc w:val="center"/>
              <w:textAlignment w:val="auto"/>
              <w:rPr>
                <w:rFonts w:ascii="Arial" w:eastAsia="仿宋_GB2312" w:hAnsi="Arial" w:cs="Arial"/>
                <w:szCs w:val="24"/>
              </w:rPr>
            </w:pPr>
          </w:p>
        </w:tc>
        <w:tc>
          <w:tcPr>
            <w:tcW w:w="1596" w:type="dxa"/>
            <w:tcBorders>
              <w:top w:val="nil"/>
              <w:left w:val="nil"/>
              <w:bottom w:val="nil"/>
              <w:right w:val="nil"/>
            </w:tcBorders>
            <w:shd w:val="clear" w:color="auto" w:fill="auto"/>
            <w:vAlign w:val="center"/>
          </w:tcPr>
          <w:p w14:paraId="7D2C0A5C" w14:textId="77777777" w:rsidR="0062768B" w:rsidRDefault="0062768B">
            <w:pPr>
              <w:widowControl/>
              <w:adjustRightInd/>
              <w:spacing w:line="300" w:lineRule="auto"/>
              <w:jc w:val="center"/>
              <w:textAlignment w:val="auto"/>
              <w:rPr>
                <w:rFonts w:ascii="Arial" w:eastAsia="仿宋_GB2312" w:hAnsi="Arial" w:cs="Arial"/>
                <w:szCs w:val="24"/>
              </w:rPr>
            </w:pPr>
          </w:p>
        </w:tc>
        <w:tc>
          <w:tcPr>
            <w:tcW w:w="2230" w:type="dxa"/>
            <w:tcBorders>
              <w:top w:val="nil"/>
              <w:left w:val="nil"/>
              <w:bottom w:val="nil"/>
              <w:right w:val="nil"/>
            </w:tcBorders>
            <w:shd w:val="clear" w:color="auto" w:fill="auto"/>
            <w:vAlign w:val="center"/>
          </w:tcPr>
          <w:p w14:paraId="1D9667F5" w14:textId="77777777" w:rsidR="0062768B" w:rsidRDefault="0062768B">
            <w:pPr>
              <w:widowControl/>
              <w:adjustRightInd/>
              <w:spacing w:line="300" w:lineRule="auto"/>
              <w:jc w:val="center"/>
              <w:textAlignment w:val="auto"/>
              <w:rPr>
                <w:rFonts w:ascii="Arial" w:eastAsia="仿宋_GB2312" w:hAnsi="Arial" w:cs="Arial"/>
                <w:szCs w:val="24"/>
              </w:rPr>
            </w:pPr>
          </w:p>
        </w:tc>
      </w:tr>
      <w:tr w:rsidR="0062768B" w14:paraId="212FB302" w14:textId="77777777">
        <w:trPr>
          <w:trHeight w:val="675"/>
          <w:jc w:val="center"/>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14:paraId="6F4FA898"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5E03CF92"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楼面单价</w:t>
            </w:r>
            <w:r>
              <w:rPr>
                <w:rFonts w:ascii="Arial" w:eastAsia="仿宋_GB2312" w:hAnsi="Arial" w:cs="Arial"/>
                <w:szCs w:val="24"/>
              </w:rPr>
              <w:br/>
            </w:r>
            <w:r>
              <w:rPr>
                <w:rFonts w:ascii="Arial" w:eastAsia="仿宋_GB2312" w:hAnsi="Arial" w:cs="Arial"/>
                <w:szCs w:val="24"/>
              </w:rPr>
              <w:t>（元</w:t>
            </w:r>
            <w:r>
              <w:rPr>
                <w:rFonts w:ascii="Arial" w:eastAsia="仿宋_GB2312" w:hAnsi="Arial" w:cs="Arial"/>
                <w:szCs w:val="24"/>
              </w:rPr>
              <w:t>/</w:t>
            </w:r>
            <w:r>
              <w:rPr>
                <w:rFonts w:ascii="Arial" w:eastAsia="仿宋_GB2312" w:hAnsi="Arial" w:cs="Arial"/>
                <w:szCs w:val="24"/>
              </w:rPr>
              <w:t>平方米）</w:t>
            </w:r>
          </w:p>
        </w:tc>
        <w:tc>
          <w:tcPr>
            <w:tcW w:w="1596" w:type="dxa"/>
            <w:tcBorders>
              <w:top w:val="single" w:sz="4" w:space="0" w:color="auto"/>
              <w:left w:val="nil"/>
              <w:bottom w:val="single" w:sz="4" w:space="0" w:color="auto"/>
              <w:right w:val="single" w:sz="4" w:space="0" w:color="auto"/>
            </w:tcBorders>
            <w:shd w:val="clear" w:color="auto" w:fill="auto"/>
            <w:vAlign w:val="center"/>
          </w:tcPr>
          <w:p w14:paraId="533EF3B9"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建筑规模</w:t>
            </w:r>
            <w:r>
              <w:rPr>
                <w:rFonts w:ascii="Arial" w:eastAsia="仿宋_GB2312" w:hAnsi="Arial" w:cs="Arial"/>
                <w:szCs w:val="24"/>
              </w:rPr>
              <w:br/>
            </w:r>
            <w:r>
              <w:rPr>
                <w:rFonts w:ascii="Arial" w:eastAsia="仿宋_GB2312" w:hAnsi="Arial" w:cs="Arial"/>
                <w:szCs w:val="24"/>
              </w:rPr>
              <w:t>（平方米）</w:t>
            </w:r>
          </w:p>
        </w:tc>
        <w:tc>
          <w:tcPr>
            <w:tcW w:w="2230" w:type="dxa"/>
            <w:tcBorders>
              <w:top w:val="single" w:sz="4" w:space="0" w:color="auto"/>
              <w:left w:val="nil"/>
              <w:bottom w:val="single" w:sz="4" w:space="0" w:color="auto"/>
              <w:right w:val="single" w:sz="4" w:space="0" w:color="auto"/>
            </w:tcBorders>
            <w:shd w:val="clear" w:color="auto" w:fill="auto"/>
            <w:vAlign w:val="center"/>
          </w:tcPr>
          <w:p w14:paraId="3118D853"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总价</w:t>
            </w:r>
            <w:r>
              <w:rPr>
                <w:rFonts w:ascii="Arial" w:eastAsia="仿宋_GB2312" w:hAnsi="Arial" w:cs="Arial"/>
                <w:szCs w:val="24"/>
              </w:rPr>
              <w:br/>
            </w:r>
            <w:r>
              <w:rPr>
                <w:rFonts w:ascii="Arial" w:eastAsia="仿宋_GB2312" w:hAnsi="Arial" w:cs="Arial"/>
                <w:szCs w:val="24"/>
              </w:rPr>
              <w:t>（万元）</w:t>
            </w:r>
          </w:p>
        </w:tc>
      </w:tr>
      <w:tr w:rsidR="0062768B" w14:paraId="71C8CFDD"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3DF318D0"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住宅用途政府土地出让收益</w:t>
            </w:r>
          </w:p>
        </w:tc>
        <w:tc>
          <w:tcPr>
            <w:tcW w:w="1843" w:type="dxa"/>
            <w:tcBorders>
              <w:top w:val="nil"/>
              <w:left w:val="nil"/>
              <w:bottom w:val="single" w:sz="4" w:space="0" w:color="auto"/>
              <w:right w:val="single" w:sz="4" w:space="0" w:color="auto"/>
            </w:tcBorders>
            <w:shd w:val="clear" w:color="auto" w:fill="auto"/>
            <w:vAlign w:val="center"/>
          </w:tcPr>
          <w:p w14:paraId="320BA92C" w14:textId="77777777" w:rsidR="0062768B" w:rsidRDefault="00136729">
            <w:pPr>
              <w:spacing w:line="300" w:lineRule="auto"/>
              <w:jc w:val="center"/>
              <w:rPr>
                <w:rFonts w:ascii="黑体" w:eastAsia="黑体" w:hAnsi="黑体" w:cs="宋体"/>
                <w:szCs w:val="24"/>
              </w:rPr>
            </w:pPr>
            <w:r>
              <w:rPr>
                <w:rFonts w:ascii="黑体" w:eastAsia="黑体" w:hAnsi="黑体"/>
              </w:rPr>
              <w:t>3788</w:t>
            </w:r>
          </w:p>
        </w:tc>
        <w:tc>
          <w:tcPr>
            <w:tcW w:w="1596" w:type="dxa"/>
            <w:tcBorders>
              <w:top w:val="nil"/>
              <w:left w:val="nil"/>
              <w:bottom w:val="single" w:sz="4" w:space="0" w:color="auto"/>
              <w:right w:val="single" w:sz="4" w:space="0" w:color="auto"/>
            </w:tcBorders>
            <w:shd w:val="clear" w:color="auto" w:fill="auto"/>
            <w:vAlign w:val="center"/>
          </w:tcPr>
          <w:p w14:paraId="0465CD03" w14:textId="77777777" w:rsidR="0062768B" w:rsidRDefault="00136729">
            <w:pPr>
              <w:spacing w:line="300" w:lineRule="auto"/>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50769F44" w14:textId="77777777" w:rsidR="0062768B" w:rsidRDefault="00136729">
            <w:pPr>
              <w:spacing w:line="300" w:lineRule="auto"/>
              <w:jc w:val="center"/>
              <w:rPr>
                <w:rFonts w:ascii="黑体" w:eastAsia="黑体" w:hAnsi="黑体" w:cs="宋体"/>
                <w:szCs w:val="24"/>
              </w:rPr>
            </w:pPr>
            <w:r>
              <w:rPr>
                <w:rFonts w:ascii="黑体" w:eastAsia="黑体" w:hAnsi="黑体"/>
              </w:rPr>
              <w:t>25814.6670</w:t>
            </w:r>
          </w:p>
        </w:tc>
      </w:tr>
      <w:tr w:rsidR="0062768B" w14:paraId="6ACB26FA" w14:textId="77777777">
        <w:trPr>
          <w:trHeight w:val="550"/>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3FDB3B29"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商业</w:t>
            </w:r>
            <w:r>
              <w:rPr>
                <w:rFonts w:ascii="Arial" w:eastAsia="仿宋_GB2312" w:hAnsi="Arial" w:cs="Arial" w:hint="eastAsia"/>
                <w:szCs w:val="24"/>
              </w:rPr>
              <w:t>（其他商服）</w:t>
            </w:r>
            <w:r>
              <w:rPr>
                <w:rFonts w:ascii="Arial" w:eastAsia="仿宋_GB2312" w:hAnsi="Arial" w:cs="Arial"/>
                <w:szCs w:val="24"/>
              </w:rPr>
              <w:t>用途</w:t>
            </w:r>
          </w:p>
          <w:p w14:paraId="587960B2"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政府土地出让收益</w:t>
            </w:r>
          </w:p>
        </w:tc>
        <w:tc>
          <w:tcPr>
            <w:tcW w:w="1843" w:type="dxa"/>
            <w:tcBorders>
              <w:top w:val="nil"/>
              <w:left w:val="nil"/>
              <w:bottom w:val="single" w:sz="4" w:space="0" w:color="auto"/>
              <w:right w:val="single" w:sz="4" w:space="0" w:color="auto"/>
            </w:tcBorders>
            <w:shd w:val="clear" w:color="auto" w:fill="auto"/>
            <w:vAlign w:val="center"/>
          </w:tcPr>
          <w:p w14:paraId="437F6D79" w14:textId="77777777" w:rsidR="0062768B" w:rsidRDefault="00136729">
            <w:pPr>
              <w:spacing w:line="300" w:lineRule="auto"/>
              <w:jc w:val="center"/>
              <w:rPr>
                <w:rFonts w:ascii="黑体" w:eastAsia="黑体" w:hAnsi="黑体" w:cs="宋体"/>
                <w:szCs w:val="24"/>
              </w:rPr>
            </w:pPr>
            <w:r>
              <w:rPr>
                <w:rFonts w:ascii="黑体" w:eastAsia="黑体" w:hAnsi="黑体"/>
              </w:rPr>
              <w:t>2032</w:t>
            </w:r>
          </w:p>
        </w:tc>
        <w:tc>
          <w:tcPr>
            <w:tcW w:w="1596" w:type="dxa"/>
            <w:tcBorders>
              <w:top w:val="nil"/>
              <w:left w:val="nil"/>
              <w:bottom w:val="single" w:sz="4" w:space="0" w:color="auto"/>
              <w:right w:val="single" w:sz="4" w:space="0" w:color="auto"/>
            </w:tcBorders>
            <w:shd w:val="clear" w:color="auto" w:fill="auto"/>
            <w:vAlign w:val="center"/>
          </w:tcPr>
          <w:p w14:paraId="0A978883" w14:textId="77777777" w:rsidR="0062768B" w:rsidRDefault="00136729">
            <w:pPr>
              <w:spacing w:line="300" w:lineRule="auto"/>
              <w:jc w:val="center"/>
              <w:rPr>
                <w:rFonts w:ascii="黑体" w:eastAsia="黑体" w:hAnsi="黑体"/>
              </w:rPr>
            </w:pPr>
            <w:r>
              <w:rPr>
                <w:rFonts w:ascii="黑体" w:eastAsia="黑体" w:hAnsi="黑体" w:hint="eastAsia"/>
              </w:rPr>
              <w:t>-</w:t>
            </w:r>
          </w:p>
        </w:tc>
        <w:tc>
          <w:tcPr>
            <w:tcW w:w="2230" w:type="dxa"/>
            <w:tcBorders>
              <w:top w:val="nil"/>
              <w:left w:val="nil"/>
              <w:bottom w:val="single" w:sz="4" w:space="0" w:color="auto"/>
              <w:right w:val="single" w:sz="4" w:space="0" w:color="auto"/>
            </w:tcBorders>
            <w:shd w:val="clear" w:color="auto" w:fill="auto"/>
            <w:vAlign w:val="center"/>
          </w:tcPr>
          <w:p w14:paraId="725CBCFD" w14:textId="77777777" w:rsidR="0062768B" w:rsidRDefault="00136729">
            <w:pPr>
              <w:spacing w:line="300" w:lineRule="auto"/>
              <w:jc w:val="center"/>
              <w:rPr>
                <w:rFonts w:ascii="黑体" w:eastAsia="黑体" w:hAnsi="黑体" w:cs="宋体"/>
                <w:szCs w:val="24"/>
              </w:rPr>
            </w:pPr>
            <w:r>
              <w:rPr>
                <w:rFonts w:ascii="黑体" w:eastAsia="黑体" w:hAnsi="黑体" w:hint="eastAsia"/>
              </w:rPr>
              <w:t>-</w:t>
            </w:r>
          </w:p>
        </w:tc>
      </w:tr>
      <w:tr w:rsidR="0062768B" w14:paraId="1F5E3C07"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0EA32269"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hint="eastAsia"/>
                <w:szCs w:val="24"/>
              </w:rPr>
              <w:t>公共服务</w:t>
            </w:r>
            <w:r>
              <w:rPr>
                <w:rFonts w:ascii="Arial" w:eastAsia="仿宋_GB2312" w:hAnsi="Arial" w:cs="Arial"/>
                <w:szCs w:val="24"/>
              </w:rPr>
              <w:t>用途</w:t>
            </w:r>
          </w:p>
          <w:p w14:paraId="236BC4AD"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政府土地出让收益</w:t>
            </w:r>
          </w:p>
        </w:tc>
        <w:tc>
          <w:tcPr>
            <w:tcW w:w="1843" w:type="dxa"/>
            <w:tcBorders>
              <w:top w:val="nil"/>
              <w:left w:val="nil"/>
              <w:bottom w:val="single" w:sz="4" w:space="0" w:color="auto"/>
              <w:right w:val="single" w:sz="4" w:space="0" w:color="auto"/>
            </w:tcBorders>
            <w:shd w:val="clear" w:color="auto" w:fill="auto"/>
            <w:vAlign w:val="center"/>
          </w:tcPr>
          <w:p w14:paraId="7864F2F7" w14:textId="77777777" w:rsidR="0062768B" w:rsidRDefault="00136729">
            <w:pPr>
              <w:spacing w:line="300" w:lineRule="auto"/>
              <w:jc w:val="center"/>
              <w:rPr>
                <w:rFonts w:ascii="黑体" w:eastAsia="黑体" w:hAnsi="黑体" w:cs="宋体"/>
                <w:szCs w:val="24"/>
              </w:rPr>
            </w:pPr>
            <w:r>
              <w:rPr>
                <w:rFonts w:ascii="黑体" w:eastAsia="黑体" w:hAnsi="黑体"/>
              </w:rPr>
              <w:t>906</w:t>
            </w:r>
          </w:p>
        </w:tc>
        <w:tc>
          <w:tcPr>
            <w:tcW w:w="1596" w:type="dxa"/>
            <w:tcBorders>
              <w:top w:val="nil"/>
              <w:left w:val="nil"/>
              <w:bottom w:val="single" w:sz="4" w:space="0" w:color="auto"/>
              <w:right w:val="single" w:sz="4" w:space="0" w:color="auto"/>
            </w:tcBorders>
            <w:shd w:val="clear" w:color="auto" w:fill="auto"/>
            <w:vAlign w:val="center"/>
          </w:tcPr>
          <w:p w14:paraId="53C9F0EE" w14:textId="77777777" w:rsidR="0062768B" w:rsidRDefault="00136729">
            <w:pPr>
              <w:spacing w:line="300" w:lineRule="auto"/>
              <w:jc w:val="center"/>
              <w:rPr>
                <w:rFonts w:ascii="黑体" w:eastAsia="黑体" w:hAnsi="黑体"/>
              </w:rPr>
            </w:pPr>
            <w:r>
              <w:rPr>
                <w:rFonts w:ascii="黑体" w:eastAsia="黑体" w:hAnsi="黑体"/>
              </w:rPr>
              <w:t>-</w:t>
            </w:r>
          </w:p>
        </w:tc>
        <w:tc>
          <w:tcPr>
            <w:tcW w:w="2230" w:type="dxa"/>
            <w:tcBorders>
              <w:top w:val="nil"/>
              <w:left w:val="nil"/>
              <w:bottom w:val="single" w:sz="4" w:space="0" w:color="auto"/>
              <w:right w:val="single" w:sz="4" w:space="0" w:color="auto"/>
            </w:tcBorders>
            <w:shd w:val="clear" w:color="auto" w:fill="auto"/>
            <w:vAlign w:val="center"/>
          </w:tcPr>
          <w:p w14:paraId="052CB667" w14:textId="77777777" w:rsidR="0062768B" w:rsidRDefault="00136729">
            <w:pPr>
              <w:spacing w:line="300" w:lineRule="auto"/>
              <w:jc w:val="center"/>
              <w:rPr>
                <w:rFonts w:ascii="黑体" w:eastAsia="黑体" w:hAnsi="黑体" w:cs="宋体"/>
                <w:szCs w:val="24"/>
              </w:rPr>
            </w:pPr>
            <w:r>
              <w:rPr>
                <w:rFonts w:ascii="黑体" w:eastAsia="黑体" w:hAnsi="黑体"/>
              </w:rPr>
              <w:t>-</w:t>
            </w:r>
          </w:p>
        </w:tc>
      </w:tr>
      <w:tr w:rsidR="0062768B" w14:paraId="7DF81808" w14:textId="77777777">
        <w:trPr>
          <w:trHeight w:val="550"/>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7D318B44"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政府土地出让收益总价</w:t>
            </w:r>
          </w:p>
        </w:tc>
        <w:tc>
          <w:tcPr>
            <w:tcW w:w="1843" w:type="dxa"/>
            <w:tcBorders>
              <w:top w:val="nil"/>
              <w:left w:val="nil"/>
              <w:bottom w:val="single" w:sz="4" w:space="0" w:color="auto"/>
              <w:right w:val="single" w:sz="4" w:space="0" w:color="auto"/>
            </w:tcBorders>
            <w:shd w:val="clear" w:color="auto" w:fill="auto"/>
            <w:vAlign w:val="center"/>
          </w:tcPr>
          <w:p w14:paraId="70B8AEC7" w14:textId="77777777" w:rsidR="0062768B" w:rsidRDefault="00136729">
            <w:pPr>
              <w:spacing w:line="300" w:lineRule="auto"/>
              <w:jc w:val="center"/>
              <w:rPr>
                <w:rFonts w:ascii="黑体" w:eastAsia="黑体" w:hAnsi="黑体" w:cs="宋体"/>
                <w:szCs w:val="24"/>
              </w:rPr>
            </w:pPr>
            <w:r>
              <w:rPr>
                <w:rFonts w:ascii="黑体" w:eastAsia="黑体" w:hAnsi="黑体" w:hint="eastAsia"/>
              </w:rPr>
              <w:t>-</w:t>
            </w:r>
          </w:p>
        </w:tc>
        <w:tc>
          <w:tcPr>
            <w:tcW w:w="1596" w:type="dxa"/>
            <w:tcBorders>
              <w:top w:val="nil"/>
              <w:left w:val="nil"/>
              <w:bottom w:val="single" w:sz="4" w:space="0" w:color="auto"/>
              <w:right w:val="single" w:sz="4" w:space="0" w:color="auto"/>
            </w:tcBorders>
            <w:shd w:val="clear" w:color="auto" w:fill="auto"/>
            <w:vAlign w:val="center"/>
          </w:tcPr>
          <w:p w14:paraId="78160AE4" w14:textId="77777777" w:rsidR="0062768B" w:rsidRDefault="00136729">
            <w:pPr>
              <w:spacing w:line="300" w:lineRule="auto"/>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00ACBDC0" w14:textId="77777777" w:rsidR="0062768B" w:rsidRDefault="00136729">
            <w:pPr>
              <w:spacing w:line="300" w:lineRule="auto"/>
              <w:jc w:val="center"/>
              <w:rPr>
                <w:rFonts w:ascii="黑体" w:eastAsia="黑体" w:hAnsi="黑体" w:cs="宋体"/>
                <w:szCs w:val="24"/>
              </w:rPr>
            </w:pPr>
            <w:r>
              <w:rPr>
                <w:rFonts w:ascii="黑体" w:eastAsia="黑体" w:hAnsi="黑体"/>
              </w:rPr>
              <w:t>25814.6670</w:t>
            </w:r>
          </w:p>
        </w:tc>
      </w:tr>
      <w:tr w:rsidR="0062768B" w14:paraId="59C34D72" w14:textId="77777777">
        <w:trPr>
          <w:trHeight w:val="765"/>
          <w:jc w:val="center"/>
        </w:trPr>
        <w:tc>
          <w:tcPr>
            <w:tcW w:w="9072" w:type="dxa"/>
            <w:gridSpan w:val="4"/>
            <w:tcBorders>
              <w:top w:val="nil"/>
              <w:left w:val="nil"/>
              <w:bottom w:val="nil"/>
              <w:right w:val="nil"/>
            </w:tcBorders>
            <w:shd w:val="clear" w:color="auto" w:fill="auto"/>
            <w:vAlign w:val="center"/>
          </w:tcPr>
          <w:p w14:paraId="31BEEE55" w14:textId="77777777" w:rsidR="0062768B" w:rsidRDefault="0062768B">
            <w:pPr>
              <w:widowControl/>
              <w:adjustRightInd/>
              <w:spacing w:line="300" w:lineRule="auto"/>
              <w:textAlignment w:val="auto"/>
              <w:rPr>
                <w:rFonts w:ascii="Arial" w:eastAsia="仿宋_GB2312" w:hAnsi="Arial" w:cs="Arial"/>
                <w:b/>
                <w:szCs w:val="24"/>
              </w:rPr>
            </w:pPr>
          </w:p>
          <w:p w14:paraId="04CA08D3" w14:textId="77777777" w:rsidR="0062768B" w:rsidRDefault="00136729">
            <w:pPr>
              <w:widowControl/>
              <w:adjustRightInd/>
              <w:spacing w:line="300" w:lineRule="auto"/>
              <w:textAlignment w:val="auto"/>
              <w:rPr>
                <w:rFonts w:ascii="Arial" w:eastAsia="仿宋_GB2312" w:hAnsi="Arial" w:cs="Arial"/>
                <w:b/>
                <w:szCs w:val="24"/>
              </w:rPr>
            </w:pPr>
            <w:r>
              <w:rPr>
                <w:rFonts w:ascii="Arial" w:eastAsia="仿宋_GB2312" w:hAnsi="Arial" w:cs="Arial"/>
                <w:b/>
                <w:szCs w:val="24"/>
              </w:rPr>
              <w:t>出让底价建议：</w:t>
            </w:r>
          </w:p>
          <w:p w14:paraId="55C1473D" w14:textId="77777777" w:rsidR="0062768B" w:rsidRDefault="00136729">
            <w:pPr>
              <w:widowControl/>
              <w:numPr>
                <w:ilvl w:val="0"/>
                <w:numId w:val="9"/>
              </w:numPr>
              <w:adjustRightInd/>
              <w:spacing w:line="300" w:lineRule="auto"/>
              <w:textAlignment w:val="auto"/>
              <w:rPr>
                <w:rFonts w:ascii="Arial" w:eastAsia="仿宋_GB2312" w:hAnsi="Arial" w:cs="Arial"/>
                <w:b/>
                <w:szCs w:val="24"/>
              </w:rPr>
            </w:pPr>
            <w:r>
              <w:rPr>
                <w:rFonts w:ascii="Arial" w:eastAsia="仿宋_GB2312" w:hAnsi="Arial" w:cs="Arial" w:hint="eastAsia"/>
                <w:b/>
                <w:szCs w:val="24"/>
              </w:rPr>
              <w:t>北京市对出让地价评审要求</w:t>
            </w:r>
          </w:p>
          <w:p w14:paraId="72D6DF06"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根据有关政策规定，土地开发成本经审计、认定后，作为出让地价评审参考。出让地价政府土地出让收益与土地开发成本之和（基本价格）不得低于该宗地熟地价。如政府土地出让收益与土地开发成本之和（基本价格）低于该宗地熟地价，则将熟地价作为该宗地的底价。</w:t>
            </w:r>
          </w:p>
          <w:p w14:paraId="3836F0A7" w14:textId="77777777" w:rsidR="0062768B" w:rsidRDefault="00136729">
            <w:pPr>
              <w:widowControl/>
              <w:numPr>
                <w:ilvl w:val="0"/>
                <w:numId w:val="9"/>
              </w:numPr>
              <w:adjustRightInd/>
              <w:spacing w:line="300" w:lineRule="auto"/>
              <w:textAlignment w:val="auto"/>
              <w:rPr>
                <w:rFonts w:ascii="Arial" w:eastAsia="仿宋_GB2312" w:hAnsi="Arial" w:cs="Arial"/>
                <w:b/>
                <w:szCs w:val="24"/>
              </w:rPr>
            </w:pPr>
            <w:r>
              <w:rPr>
                <w:rFonts w:ascii="Arial" w:eastAsia="仿宋_GB2312" w:hAnsi="Arial" w:cs="Arial" w:hint="eastAsia"/>
                <w:b/>
                <w:szCs w:val="24"/>
              </w:rPr>
              <w:t>基本价格</w:t>
            </w:r>
          </w:p>
          <w:p w14:paraId="2EBAF9BB"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如上表所示，本次评估</w:t>
            </w:r>
            <w:r>
              <w:rPr>
                <w:rFonts w:ascii="Arial" w:eastAsia="仿宋_GB2312" w:hAnsi="Arial" w:cs="Arial"/>
                <w:b/>
                <w:szCs w:val="24"/>
              </w:rPr>
              <w:t>政府土地出让收益总价为</w:t>
            </w:r>
            <w:r>
              <w:rPr>
                <w:rFonts w:ascii="Arial" w:eastAsia="仿宋_GB2312" w:hAnsi="Arial" w:cs="Arial"/>
                <w:b/>
                <w:szCs w:val="24"/>
              </w:rPr>
              <w:t>25814.6670</w:t>
            </w:r>
            <w:r>
              <w:rPr>
                <w:rFonts w:ascii="Arial" w:eastAsia="仿宋_GB2312" w:hAnsi="Arial" w:cs="Arial"/>
                <w:b/>
                <w:szCs w:val="24"/>
              </w:rPr>
              <w:t>万元</w:t>
            </w:r>
            <w:r>
              <w:rPr>
                <w:rFonts w:ascii="Arial" w:eastAsia="仿宋_GB2312" w:hAnsi="Arial" w:cs="Arial" w:hint="eastAsia"/>
                <w:b/>
                <w:szCs w:val="24"/>
              </w:rPr>
              <w:t>。</w:t>
            </w:r>
            <w:r>
              <w:rPr>
                <w:rFonts w:ascii="Arial" w:eastAsia="仿宋_GB2312" w:hAnsi="Arial" w:cs="Arial"/>
                <w:b/>
                <w:szCs w:val="24"/>
              </w:rPr>
              <w:t>另根据</w:t>
            </w:r>
            <w:commentRangeStart w:id="188"/>
            <w:r>
              <w:rPr>
                <w:rFonts w:ascii="Arial" w:eastAsia="仿宋_GB2312" w:hAnsi="Arial" w:cs="Arial" w:hint="eastAsia"/>
                <w:b/>
                <w:szCs w:val="24"/>
              </w:rPr>
              <w:t>《成本文件</w:t>
            </w:r>
            <w:commentRangeEnd w:id="188"/>
            <w:r w:rsidR="000B5F9D">
              <w:rPr>
                <w:rStyle w:val="af6"/>
                <w:lang w:val="zh-CN"/>
              </w:rPr>
              <w:commentReference w:id="188"/>
            </w:r>
            <w:r>
              <w:rPr>
                <w:rFonts w:ascii="Arial" w:eastAsia="仿宋_GB2312" w:hAnsi="Arial" w:cs="Arial" w:hint="eastAsia"/>
                <w:b/>
                <w:szCs w:val="24"/>
              </w:rPr>
              <w:t>》（文件号），估价对象土地开发总成本为</w:t>
            </w:r>
            <w:r w:rsidR="00550FB0">
              <w:rPr>
                <w:rFonts w:ascii="Arial" w:eastAsia="仿宋_GB2312" w:hAnsi="Arial" w:cs="Arial" w:hint="eastAsia"/>
                <w:b/>
                <w:szCs w:val="24"/>
              </w:rPr>
              <w:t>78853.6400</w:t>
            </w:r>
            <w:r>
              <w:rPr>
                <w:rFonts w:ascii="Arial" w:eastAsia="仿宋_GB2312" w:hAnsi="Arial" w:cs="Arial"/>
                <w:b/>
                <w:szCs w:val="24"/>
              </w:rPr>
              <w:t>万元</w:t>
            </w:r>
            <w:r>
              <w:rPr>
                <w:rFonts w:ascii="Arial" w:eastAsia="仿宋_GB2312" w:hAnsi="Arial" w:cs="Arial" w:hint="eastAsia"/>
                <w:b/>
                <w:szCs w:val="24"/>
              </w:rPr>
              <w:t>。则</w:t>
            </w:r>
            <w:r>
              <w:rPr>
                <w:rFonts w:ascii="Arial" w:eastAsia="仿宋_GB2312" w:hAnsi="Arial" w:cs="Arial"/>
                <w:b/>
                <w:szCs w:val="24"/>
              </w:rPr>
              <w:t>政府土地出让收益与土地开发成本之和</w:t>
            </w:r>
            <w:r>
              <w:rPr>
                <w:rFonts w:ascii="Arial" w:eastAsia="仿宋_GB2312" w:hAnsi="Arial" w:cs="Arial" w:hint="eastAsia"/>
                <w:b/>
                <w:szCs w:val="24"/>
              </w:rPr>
              <w:t>（基本价格）</w:t>
            </w:r>
            <w:r>
              <w:rPr>
                <w:rFonts w:ascii="Arial" w:eastAsia="仿宋_GB2312" w:hAnsi="Arial" w:cs="Arial"/>
                <w:b/>
                <w:szCs w:val="24"/>
              </w:rPr>
              <w:t>为</w:t>
            </w:r>
            <w:r w:rsidR="00550FB0">
              <w:rPr>
                <w:rFonts w:ascii="Arial" w:eastAsia="仿宋_GB2312" w:hAnsi="Arial" w:cs="Arial" w:hint="eastAsia"/>
                <w:b/>
                <w:szCs w:val="24"/>
              </w:rPr>
              <w:t>104668.3070</w:t>
            </w:r>
            <w:r>
              <w:rPr>
                <w:rFonts w:ascii="Arial" w:eastAsia="仿宋_GB2312" w:hAnsi="Arial" w:cs="Arial"/>
                <w:b/>
                <w:szCs w:val="24"/>
              </w:rPr>
              <w:t>万元</w:t>
            </w:r>
            <w:r>
              <w:rPr>
                <w:rFonts w:ascii="Arial" w:eastAsia="仿宋_GB2312" w:hAnsi="Arial" w:cs="Arial" w:hint="eastAsia"/>
                <w:b/>
                <w:szCs w:val="24"/>
              </w:rPr>
              <w:t>。</w:t>
            </w:r>
          </w:p>
          <w:p w14:paraId="560B4436" w14:textId="77777777" w:rsidR="0062768B" w:rsidRDefault="00136729">
            <w:pPr>
              <w:widowControl/>
              <w:numPr>
                <w:ilvl w:val="0"/>
                <w:numId w:val="9"/>
              </w:numPr>
              <w:adjustRightInd/>
              <w:spacing w:line="300" w:lineRule="auto"/>
              <w:textAlignment w:val="auto"/>
              <w:rPr>
                <w:rFonts w:ascii="Arial" w:eastAsia="仿宋_GB2312" w:hAnsi="Arial" w:cs="Arial"/>
                <w:b/>
                <w:szCs w:val="24"/>
              </w:rPr>
            </w:pPr>
            <w:r>
              <w:rPr>
                <w:rFonts w:ascii="Arial" w:eastAsia="仿宋_GB2312" w:hAnsi="Arial" w:cs="Arial" w:hint="eastAsia"/>
                <w:b/>
                <w:szCs w:val="24"/>
              </w:rPr>
              <w:t>比较结论</w:t>
            </w:r>
          </w:p>
          <w:p w14:paraId="0944BE30"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如上表所示，本次评估熟地价总额为</w:t>
            </w:r>
            <w:r>
              <w:rPr>
                <w:rFonts w:ascii="Arial" w:eastAsia="仿宋_GB2312" w:hAnsi="Arial" w:cs="Arial"/>
                <w:b/>
                <w:szCs w:val="24"/>
              </w:rPr>
              <w:t xml:space="preserve">103245.0381 </w:t>
            </w:r>
            <w:r>
              <w:rPr>
                <w:rFonts w:ascii="Arial" w:eastAsia="仿宋_GB2312" w:hAnsi="Arial" w:cs="Arial"/>
                <w:b/>
                <w:szCs w:val="24"/>
              </w:rPr>
              <w:t>万元</w:t>
            </w:r>
            <w:r>
              <w:rPr>
                <w:rFonts w:ascii="Arial" w:eastAsia="仿宋_GB2312" w:hAnsi="Arial" w:cs="Arial" w:hint="eastAsia"/>
                <w:b/>
                <w:szCs w:val="24"/>
              </w:rPr>
              <w:t>。如前述，政府</w:t>
            </w:r>
            <w:r>
              <w:rPr>
                <w:rFonts w:ascii="Arial" w:eastAsia="仿宋_GB2312" w:hAnsi="Arial" w:cs="Arial"/>
                <w:b/>
                <w:szCs w:val="24"/>
              </w:rPr>
              <w:t>土地出让收益与土地开发成本之和</w:t>
            </w:r>
            <w:r>
              <w:rPr>
                <w:rFonts w:ascii="Arial" w:eastAsia="仿宋_GB2312" w:hAnsi="Arial" w:cs="Arial" w:hint="eastAsia"/>
                <w:b/>
                <w:szCs w:val="24"/>
              </w:rPr>
              <w:t>（基本价格）</w:t>
            </w:r>
            <w:r>
              <w:rPr>
                <w:rFonts w:ascii="Arial" w:eastAsia="仿宋_GB2312" w:hAnsi="Arial" w:cs="Arial"/>
                <w:b/>
                <w:szCs w:val="24"/>
              </w:rPr>
              <w:t>为</w:t>
            </w:r>
            <w:r w:rsidR="00550FB0">
              <w:rPr>
                <w:rFonts w:ascii="Arial" w:eastAsia="仿宋_GB2312" w:hAnsi="Arial" w:cs="Arial" w:hint="eastAsia"/>
                <w:b/>
                <w:szCs w:val="24"/>
              </w:rPr>
              <w:t>104668.3070</w:t>
            </w:r>
            <w:r>
              <w:rPr>
                <w:rFonts w:ascii="Arial" w:eastAsia="仿宋_GB2312" w:hAnsi="Arial" w:cs="Arial"/>
                <w:b/>
                <w:szCs w:val="24"/>
              </w:rPr>
              <w:t>万元</w:t>
            </w:r>
            <w:r>
              <w:rPr>
                <w:rFonts w:ascii="Arial" w:eastAsia="仿宋_GB2312" w:hAnsi="Arial" w:cs="Arial" w:hint="eastAsia"/>
                <w:b/>
                <w:szCs w:val="24"/>
              </w:rPr>
              <w:t>。</w:t>
            </w:r>
            <w:r>
              <w:rPr>
                <w:rFonts w:ascii="Arial" w:eastAsia="仿宋_GB2312" w:hAnsi="Arial" w:cs="Arial"/>
                <w:b/>
                <w:szCs w:val="24"/>
              </w:rPr>
              <w:t>经比较</w:t>
            </w:r>
            <w:r>
              <w:rPr>
                <w:rFonts w:ascii="Arial" w:eastAsia="仿宋_GB2312" w:hAnsi="Arial" w:cs="Arial" w:hint="eastAsia"/>
                <w:b/>
                <w:szCs w:val="24"/>
              </w:rPr>
              <w:t>，基本价格高于熟地价总额。因此，本次评估出让底价建议按照政府土地出让收益与土地开发</w:t>
            </w:r>
            <w:r>
              <w:rPr>
                <w:rFonts w:ascii="Arial" w:eastAsia="仿宋_GB2312" w:hAnsi="Arial" w:cs="Arial" w:hint="eastAsia"/>
                <w:b/>
                <w:szCs w:val="24"/>
              </w:rPr>
              <w:lastRenderedPageBreak/>
              <w:t>成本之和（基本价格）确定，</w:t>
            </w:r>
            <w:r>
              <w:rPr>
                <w:rFonts w:ascii="Arial" w:eastAsia="仿宋_GB2312" w:hAnsi="Arial" w:cs="Arial"/>
                <w:b/>
                <w:szCs w:val="24"/>
              </w:rPr>
              <w:t>即</w:t>
            </w:r>
            <w:r w:rsidR="00550FB0">
              <w:rPr>
                <w:rFonts w:ascii="Arial" w:eastAsia="仿宋_GB2312" w:hAnsi="Arial" w:cs="Arial" w:hint="eastAsia"/>
                <w:b/>
                <w:szCs w:val="24"/>
              </w:rPr>
              <w:t>104668.3070</w:t>
            </w:r>
            <w:r>
              <w:rPr>
                <w:rFonts w:ascii="Arial" w:eastAsia="仿宋_GB2312" w:hAnsi="Arial" w:cs="Arial"/>
                <w:b/>
                <w:szCs w:val="24"/>
              </w:rPr>
              <w:t>万元</w:t>
            </w:r>
            <w:r>
              <w:rPr>
                <w:rFonts w:ascii="Arial" w:eastAsia="仿宋_GB2312" w:hAnsi="Arial" w:cs="Arial" w:hint="eastAsia"/>
                <w:b/>
                <w:szCs w:val="24"/>
              </w:rPr>
              <w:t>。</w:t>
            </w:r>
          </w:p>
          <w:p w14:paraId="2D40E080" w14:textId="77777777" w:rsidR="0062768B" w:rsidRDefault="00136729">
            <w:pPr>
              <w:widowControl/>
              <w:numPr>
                <w:ilvl w:val="0"/>
                <w:numId w:val="9"/>
              </w:numPr>
              <w:adjustRightInd/>
              <w:spacing w:line="300" w:lineRule="auto"/>
              <w:textAlignment w:val="auto"/>
              <w:rPr>
                <w:rFonts w:ascii="Arial" w:eastAsia="仿宋_GB2312" w:hAnsi="Arial" w:cs="Arial"/>
                <w:b/>
                <w:szCs w:val="24"/>
              </w:rPr>
            </w:pPr>
            <w:r>
              <w:rPr>
                <w:rFonts w:ascii="Arial" w:eastAsia="仿宋_GB2312" w:hAnsi="Arial" w:cs="Arial" w:hint="eastAsia"/>
                <w:b/>
                <w:szCs w:val="24"/>
              </w:rPr>
              <w:t>出让底价决策建议</w:t>
            </w:r>
          </w:p>
          <w:p w14:paraId="2CF156A8"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估价对象北京市顺义区高丽营镇夏县营村</w:t>
            </w:r>
            <w:r>
              <w:rPr>
                <w:rFonts w:ascii="Arial" w:eastAsia="仿宋_GB2312" w:hAnsi="Arial" w:cs="Arial" w:hint="eastAsia"/>
                <w:b/>
                <w:szCs w:val="24"/>
              </w:rPr>
              <w:t>01-008</w:t>
            </w:r>
            <w:r>
              <w:rPr>
                <w:rFonts w:ascii="Arial" w:eastAsia="仿宋_GB2312" w:hAnsi="Arial" w:cs="Arial" w:hint="eastAsia"/>
                <w:b/>
                <w:szCs w:val="24"/>
              </w:rPr>
              <w:t>、</w:t>
            </w:r>
            <w:r>
              <w:rPr>
                <w:rFonts w:ascii="Arial" w:eastAsia="仿宋_GB2312" w:hAnsi="Arial" w:cs="Arial" w:hint="eastAsia"/>
                <w:b/>
                <w:szCs w:val="24"/>
              </w:rPr>
              <w:t>01-016</w:t>
            </w:r>
            <w:r>
              <w:rPr>
                <w:rFonts w:ascii="Arial" w:eastAsia="仿宋_GB2312" w:hAnsi="Arial" w:cs="Arial" w:hint="eastAsia"/>
                <w:b/>
                <w:szCs w:val="24"/>
              </w:rPr>
              <w:t>、</w:t>
            </w:r>
            <w:r>
              <w:rPr>
                <w:rFonts w:ascii="Arial" w:eastAsia="仿宋_GB2312" w:hAnsi="Arial" w:cs="Arial" w:hint="eastAsia"/>
                <w:b/>
                <w:szCs w:val="24"/>
              </w:rPr>
              <w:t>01-026-1</w:t>
            </w:r>
            <w:r>
              <w:rPr>
                <w:rFonts w:ascii="Arial" w:eastAsia="仿宋_GB2312" w:hAnsi="Arial" w:cs="Arial" w:hint="eastAsia"/>
                <w:b/>
                <w:szCs w:val="24"/>
              </w:rPr>
              <w:t>地块</w:t>
            </w:r>
            <w:r>
              <w:rPr>
                <w:rFonts w:ascii="Arial" w:eastAsia="仿宋_GB2312" w:hAnsi="Arial" w:cs="Arial" w:hint="eastAsia"/>
                <w:b/>
                <w:szCs w:val="24"/>
              </w:rPr>
              <w:t>R2</w:t>
            </w:r>
            <w:proofErr w:type="gramStart"/>
            <w:r>
              <w:rPr>
                <w:rFonts w:ascii="Arial" w:eastAsia="仿宋_GB2312" w:hAnsi="Arial" w:cs="Arial" w:hint="eastAsia"/>
                <w:b/>
                <w:szCs w:val="24"/>
              </w:rPr>
              <w:t>二</w:t>
            </w:r>
            <w:proofErr w:type="gramEnd"/>
            <w:r>
              <w:rPr>
                <w:rFonts w:ascii="Arial" w:eastAsia="仿宋_GB2312" w:hAnsi="Arial" w:cs="Arial" w:hint="eastAsia"/>
                <w:b/>
                <w:szCs w:val="24"/>
              </w:rPr>
              <w:t>类居住用地及</w:t>
            </w:r>
            <w:r>
              <w:rPr>
                <w:rFonts w:ascii="Arial" w:eastAsia="仿宋_GB2312" w:hAnsi="Arial" w:cs="Arial" w:hint="eastAsia"/>
                <w:b/>
                <w:szCs w:val="24"/>
              </w:rPr>
              <w:t>01-020</w:t>
            </w:r>
            <w:r>
              <w:rPr>
                <w:rFonts w:ascii="Arial" w:eastAsia="仿宋_GB2312" w:hAnsi="Arial" w:cs="Arial" w:hint="eastAsia"/>
                <w:b/>
                <w:szCs w:val="24"/>
              </w:rPr>
              <w:t>地块</w:t>
            </w:r>
            <w:r>
              <w:rPr>
                <w:rFonts w:ascii="Arial" w:eastAsia="仿宋_GB2312" w:hAnsi="Arial" w:cs="Arial" w:hint="eastAsia"/>
                <w:b/>
                <w:szCs w:val="24"/>
              </w:rPr>
              <w:t>A334</w:t>
            </w:r>
            <w:r>
              <w:rPr>
                <w:rFonts w:ascii="Arial" w:eastAsia="仿宋_GB2312" w:hAnsi="Arial" w:cs="Arial" w:hint="eastAsia"/>
                <w:b/>
                <w:szCs w:val="24"/>
              </w:rPr>
              <w:t>托幼用地项目在估价期日</w:t>
            </w:r>
            <w:r w:rsidR="00550FB0">
              <w:rPr>
                <w:rFonts w:ascii="Arial" w:eastAsia="仿宋_GB2312" w:hAnsi="Arial" w:cs="Arial" w:hint="eastAsia"/>
                <w:b/>
                <w:szCs w:val="24"/>
              </w:rPr>
              <w:t>2023</w:t>
            </w:r>
            <w:r w:rsidR="00550FB0">
              <w:rPr>
                <w:rFonts w:ascii="Arial" w:eastAsia="仿宋_GB2312" w:hAnsi="Arial" w:cs="Arial" w:hint="eastAsia"/>
                <w:b/>
                <w:szCs w:val="24"/>
              </w:rPr>
              <w:t>年</w:t>
            </w:r>
            <w:r w:rsidR="00550FB0">
              <w:rPr>
                <w:rFonts w:ascii="Arial" w:eastAsia="仿宋_GB2312" w:hAnsi="Arial" w:cs="Arial" w:hint="eastAsia"/>
                <w:b/>
                <w:szCs w:val="24"/>
              </w:rPr>
              <w:t>6</w:t>
            </w:r>
            <w:r w:rsidR="00550FB0">
              <w:rPr>
                <w:rFonts w:ascii="Arial" w:eastAsia="仿宋_GB2312" w:hAnsi="Arial" w:cs="Arial" w:hint="eastAsia"/>
                <w:b/>
                <w:szCs w:val="24"/>
              </w:rPr>
              <w:t>月</w:t>
            </w:r>
            <w:r w:rsidR="00550FB0">
              <w:rPr>
                <w:rFonts w:ascii="Arial" w:eastAsia="仿宋_GB2312" w:hAnsi="Arial" w:cs="Arial" w:hint="eastAsia"/>
                <w:b/>
                <w:szCs w:val="24"/>
              </w:rPr>
              <w:t>20</w:t>
            </w:r>
            <w:r w:rsidR="00550FB0">
              <w:rPr>
                <w:rFonts w:ascii="Arial" w:eastAsia="仿宋_GB2312" w:hAnsi="Arial" w:cs="Arial" w:hint="eastAsia"/>
                <w:b/>
                <w:szCs w:val="24"/>
              </w:rPr>
              <w:t>日</w:t>
            </w:r>
            <w:r>
              <w:rPr>
                <w:rFonts w:ascii="Arial" w:eastAsia="仿宋_GB2312" w:hAnsi="Arial" w:cs="Arial" w:hint="eastAsia"/>
                <w:b/>
                <w:szCs w:val="24"/>
              </w:rPr>
              <w:t>的建议土地出让底价为：</w:t>
            </w:r>
          </w:p>
          <w:p w14:paraId="419641CC"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建议出让底价：</w:t>
            </w:r>
            <w:r w:rsidR="00550FB0">
              <w:rPr>
                <w:rFonts w:ascii="Arial" w:eastAsia="仿宋_GB2312" w:hAnsi="Arial" w:cs="Arial" w:hint="eastAsia"/>
                <w:b/>
                <w:szCs w:val="24"/>
              </w:rPr>
              <w:t>104668.3070</w:t>
            </w:r>
            <w:r>
              <w:rPr>
                <w:rFonts w:ascii="Arial" w:eastAsia="仿宋_GB2312" w:hAnsi="Arial" w:cs="Arial"/>
                <w:b/>
                <w:szCs w:val="24"/>
              </w:rPr>
              <w:t>万元</w:t>
            </w:r>
          </w:p>
          <w:p w14:paraId="3C6715FD"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大写金额：</w:t>
            </w:r>
            <w:proofErr w:type="gramStart"/>
            <w:r w:rsidR="00550FB0">
              <w:rPr>
                <w:rFonts w:ascii="Arial" w:eastAsia="仿宋_GB2312" w:hAnsi="Arial" w:cs="Arial" w:hint="eastAsia"/>
                <w:b/>
                <w:szCs w:val="24"/>
              </w:rPr>
              <w:t>壹拾亿零肆仟陆佰陆拾捌万叁仟零柒拾</w:t>
            </w:r>
            <w:proofErr w:type="gramEnd"/>
            <w:r>
              <w:rPr>
                <w:rFonts w:ascii="Arial" w:eastAsia="仿宋_GB2312" w:hAnsi="Arial" w:cs="Arial" w:hint="eastAsia"/>
                <w:b/>
                <w:szCs w:val="24"/>
              </w:rPr>
              <w:t>元整</w:t>
            </w:r>
          </w:p>
        </w:tc>
      </w:tr>
    </w:tbl>
    <w:p w14:paraId="347EF3A5" w14:textId="77777777" w:rsidR="0062768B" w:rsidRDefault="0062768B">
      <w:pPr>
        <w:snapToGrid w:val="0"/>
        <w:spacing w:beforeLines="50" w:before="120" w:line="300" w:lineRule="auto"/>
        <w:ind w:firstLineChars="200" w:firstLine="560"/>
        <w:rPr>
          <w:rFonts w:ascii="Arial" w:eastAsia="仿宋_GB2312" w:hAnsi="Arial" w:cs="Arial"/>
          <w:kern w:val="2"/>
          <w:sz w:val="28"/>
        </w:rPr>
      </w:pPr>
    </w:p>
    <w:p w14:paraId="0555C3A2" w14:textId="77777777" w:rsidR="0062768B" w:rsidRDefault="00136729">
      <w:pPr>
        <w:adjustRightInd/>
        <w:spacing w:line="300" w:lineRule="auto"/>
        <w:ind w:firstLineChars="200" w:firstLine="560"/>
        <w:rPr>
          <w:rFonts w:ascii="Arial" w:eastAsia="仿宋" w:hAnsi="Arial" w:cs="Arial"/>
          <w:sz w:val="28"/>
        </w:rPr>
      </w:pPr>
      <w:r>
        <w:rPr>
          <w:rFonts w:ascii="Arial" w:eastAsia="仿宋_GB2312" w:hAnsi="Arial" w:cs="Arial"/>
          <w:sz w:val="28"/>
        </w:rPr>
        <w:br w:type="page"/>
      </w:r>
      <w:r>
        <w:rPr>
          <w:rFonts w:ascii="Arial" w:eastAsia="仿宋" w:hAnsi="Arial" w:cs="Arial"/>
          <w:sz w:val="28"/>
        </w:rPr>
        <w:lastRenderedPageBreak/>
        <w:t>三、估价结果和估价报告的使用</w:t>
      </w:r>
      <w:bookmarkEnd w:id="177"/>
      <w:bookmarkEnd w:id="178"/>
      <w:bookmarkEnd w:id="179"/>
      <w:bookmarkEnd w:id="180"/>
      <w:bookmarkEnd w:id="181"/>
      <w:bookmarkEnd w:id="182"/>
      <w:bookmarkEnd w:id="183"/>
    </w:p>
    <w:p w14:paraId="463EC44A" w14:textId="77777777" w:rsidR="0062768B" w:rsidRDefault="00136729">
      <w:pPr>
        <w:adjustRightInd/>
        <w:spacing w:line="300" w:lineRule="auto"/>
        <w:ind w:firstLineChars="200" w:firstLine="560"/>
        <w:jc w:val="both"/>
        <w:textAlignment w:val="bottom"/>
        <w:rPr>
          <w:rFonts w:ascii="Arial" w:eastAsia="仿宋" w:hAnsi="Arial" w:cs="Arial"/>
          <w:sz w:val="28"/>
        </w:rPr>
      </w:pPr>
      <w:bookmarkStart w:id="189" w:name="_Toc520261151"/>
      <w:bookmarkStart w:id="190" w:name="_Toc515458378"/>
      <w:bookmarkStart w:id="191" w:name="_Toc531701573"/>
      <w:r>
        <w:rPr>
          <w:rFonts w:ascii="Arial" w:eastAsia="仿宋" w:hAnsi="Arial" w:cs="Arial"/>
          <w:sz w:val="28"/>
        </w:rPr>
        <w:t>（一）估价的前提条件和假设条件</w:t>
      </w:r>
    </w:p>
    <w:p w14:paraId="70FD2BB0"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1.</w:t>
      </w:r>
      <w:r>
        <w:rPr>
          <w:rFonts w:ascii="Arial" w:eastAsia="仿宋" w:hAnsi="Arial" w:cs="Arial"/>
          <w:sz w:val="28"/>
        </w:rPr>
        <w:t>估价的前提条件</w:t>
      </w:r>
    </w:p>
    <w:p w14:paraId="3B81F2DA"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1</w:t>
      </w:r>
      <w:r>
        <w:rPr>
          <w:rFonts w:ascii="Arial" w:eastAsia="仿宋" w:hAnsi="Arial" w:cs="Arial"/>
          <w:sz w:val="28"/>
        </w:rPr>
        <w:t>）委托估价方提供的资料属实，没有保留及隐瞒。</w:t>
      </w:r>
    </w:p>
    <w:p w14:paraId="034E6F0A"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2</w:t>
      </w:r>
      <w:r>
        <w:rPr>
          <w:rFonts w:ascii="Arial" w:eastAsia="仿宋" w:hAnsi="Arial" w:cs="Arial"/>
          <w:sz w:val="28"/>
        </w:rPr>
        <w:t>）在估价期日的房地产市场为公开、平等、自愿的交易市场。</w:t>
      </w:r>
    </w:p>
    <w:p w14:paraId="73067DF0"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3</w:t>
      </w:r>
      <w:r>
        <w:rPr>
          <w:rFonts w:ascii="Arial" w:eastAsia="仿宋" w:hAnsi="Arial" w:cs="Arial"/>
          <w:sz w:val="28"/>
        </w:rPr>
        <w:t>）任何有关估价对象的运作方式、程序符合国家、地方的有关法律、法规。</w:t>
      </w:r>
    </w:p>
    <w:p w14:paraId="5B1A5FF1"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4</w:t>
      </w:r>
      <w:r>
        <w:rPr>
          <w:rFonts w:ascii="Arial" w:eastAsia="仿宋" w:hAnsi="Arial" w:cs="Arial"/>
          <w:sz w:val="28"/>
        </w:rPr>
        <w:t>）估价对象规划用途和周边环境维持不变，且估价对象得到最有效利用，并产生相应的土地收益。</w:t>
      </w:r>
    </w:p>
    <w:p w14:paraId="1DDF85C8"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5</w:t>
      </w:r>
      <w:r>
        <w:rPr>
          <w:rFonts w:ascii="Arial" w:eastAsia="仿宋" w:hAnsi="Arial" w:cs="Arial"/>
          <w:sz w:val="28"/>
        </w:rPr>
        <w:t>）本次估价设定估价对象地上建筑物可按照预测的合理工期建设完毕。</w:t>
      </w:r>
    </w:p>
    <w:p w14:paraId="231C0C58"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w:t>
      </w:r>
      <w:r>
        <w:rPr>
          <w:rFonts w:ascii="Arial" w:eastAsia="仿宋" w:hAnsi="Arial" w:cs="Arial"/>
          <w:sz w:val="28"/>
        </w:rPr>
        <w:t>6</w:t>
      </w:r>
      <w:r>
        <w:rPr>
          <w:rFonts w:ascii="Arial" w:eastAsia="仿宋" w:hAnsi="Arial" w:cs="Arial"/>
          <w:sz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14:paraId="061258C6"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2.</w:t>
      </w:r>
      <w:r>
        <w:rPr>
          <w:rFonts w:ascii="Arial" w:eastAsia="仿宋" w:hAnsi="Arial" w:cs="Arial"/>
          <w:sz w:val="28"/>
        </w:rPr>
        <w:t>估价的假设条件</w:t>
      </w:r>
    </w:p>
    <w:p w14:paraId="08E45E61" w14:textId="77777777" w:rsidR="0062768B" w:rsidRDefault="00136729">
      <w:pPr>
        <w:widowControl/>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w:t>
      </w:r>
      <w:r>
        <w:rPr>
          <w:rFonts w:ascii="Arial" w:eastAsia="仿宋" w:hAnsi="Arial" w:cs="Arial"/>
          <w:sz w:val="28"/>
        </w:rPr>
        <w:t>1</w:t>
      </w:r>
      <w:r>
        <w:rPr>
          <w:rFonts w:ascii="Arial" w:eastAsia="仿宋" w:hAnsi="Arial" w:cs="Arial"/>
          <w:sz w:val="28"/>
        </w:rPr>
        <w:t>）土地权利限制：无他项权利。</w:t>
      </w:r>
    </w:p>
    <w:p w14:paraId="3C05566D" w14:textId="77777777" w:rsidR="0062768B" w:rsidRDefault="00136729">
      <w:pPr>
        <w:widowControl/>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w:t>
      </w:r>
      <w:r>
        <w:rPr>
          <w:rFonts w:ascii="Arial" w:eastAsia="仿宋" w:hAnsi="Arial" w:cs="Arial"/>
          <w:sz w:val="28"/>
        </w:rPr>
        <w:t>2</w:t>
      </w:r>
      <w:r>
        <w:rPr>
          <w:rFonts w:ascii="Arial" w:eastAsia="仿宋" w:hAnsi="Arial" w:cs="Arial"/>
          <w:sz w:val="28"/>
        </w:rPr>
        <w:t>）土地用途设定：按规划用途设定本次评估的使用用途。</w:t>
      </w:r>
    </w:p>
    <w:p w14:paraId="33D16D5D" w14:textId="77777777" w:rsidR="0062768B" w:rsidRDefault="00136729">
      <w:pPr>
        <w:widowControl/>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w:t>
      </w:r>
      <w:r>
        <w:rPr>
          <w:rFonts w:ascii="Arial" w:eastAsia="仿宋" w:hAnsi="Arial" w:cs="Arial"/>
          <w:sz w:val="28"/>
        </w:rPr>
        <w:t>3</w:t>
      </w:r>
      <w:r>
        <w:rPr>
          <w:rFonts w:ascii="Arial" w:eastAsia="仿宋" w:hAnsi="Arial" w:cs="Arial"/>
          <w:sz w:val="28"/>
        </w:rPr>
        <w:t>）土地使用年期设定：法定最高出让年限。</w:t>
      </w:r>
    </w:p>
    <w:p w14:paraId="045D537E" w14:textId="77777777" w:rsidR="0062768B" w:rsidRDefault="00136729">
      <w:pPr>
        <w:widowControl/>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w:t>
      </w:r>
      <w:r>
        <w:rPr>
          <w:rFonts w:ascii="Arial" w:eastAsia="仿宋" w:hAnsi="Arial" w:cs="Arial"/>
          <w:sz w:val="28"/>
        </w:rPr>
        <w:t>4</w:t>
      </w:r>
      <w:r>
        <w:rPr>
          <w:rFonts w:ascii="Arial" w:eastAsia="仿宋" w:hAnsi="Arial" w:cs="Arial"/>
          <w:sz w:val="28"/>
        </w:rPr>
        <w:t>）评估设定土地开发程度红线外市政基础设施达</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Pr>
          <w:rFonts w:ascii="Arial" w:eastAsia="仿宋" w:hAnsi="Arial" w:cs="Arial"/>
          <w:sz w:val="28"/>
          <w:szCs w:val="28"/>
        </w:rPr>
        <w:t>（通路、通上水（自来水、中水）、通下水（雨水、污水）、通电（管沟、电缆）、通燃气、通热力）</w:t>
      </w:r>
      <w:r>
        <w:rPr>
          <w:rFonts w:ascii="Arial" w:eastAsia="仿宋" w:hAnsi="Arial" w:cs="Arial"/>
          <w:sz w:val="28"/>
        </w:rPr>
        <w:t>、宗地红线内场地平整。</w:t>
      </w:r>
    </w:p>
    <w:p w14:paraId="0B58BFED" w14:textId="77777777" w:rsidR="0062768B" w:rsidRDefault="00136729">
      <w:pPr>
        <w:widowControl/>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w:t>
      </w:r>
      <w:r>
        <w:rPr>
          <w:rFonts w:ascii="Arial" w:eastAsia="仿宋" w:hAnsi="Arial" w:cs="Arial"/>
          <w:sz w:val="28"/>
        </w:rPr>
        <w:t>5</w:t>
      </w:r>
      <w:r>
        <w:rPr>
          <w:rFonts w:ascii="Arial" w:eastAsia="仿宋" w:hAnsi="Arial" w:cs="Arial"/>
          <w:sz w:val="28"/>
        </w:rPr>
        <w:t>）估价期日设定：按委托估价方要求的地价时点设定。</w:t>
      </w:r>
    </w:p>
    <w:p w14:paraId="66C78E95"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（二）估价结果和估价报告的使用</w:t>
      </w:r>
    </w:p>
    <w:p w14:paraId="10B5DFC5" w14:textId="77777777" w:rsidR="0062768B" w:rsidRDefault="00136729">
      <w:pPr>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1.</w:t>
      </w:r>
      <w:r>
        <w:rPr>
          <w:rFonts w:ascii="Arial" w:eastAsia="仿宋" w:hAnsi="Arial" w:cs="Arial"/>
          <w:sz w:val="28"/>
        </w:rPr>
        <w:t>本估价报告的依据为国务院、自然资源部、住建部、北京市人民政府及有关部门颁布的有关法律、法规、政策文件、委托估价方提供的资料、受托估价方掌握的有关资料以及土地估价专业评估师实地勘察所获取的资料。</w:t>
      </w:r>
    </w:p>
    <w:p w14:paraId="2C5642CA" w14:textId="77777777" w:rsidR="0062768B" w:rsidRDefault="00136729">
      <w:pPr>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2.</w:t>
      </w:r>
      <w:r>
        <w:rPr>
          <w:rFonts w:ascii="Arial" w:eastAsia="仿宋" w:hAnsi="Arial" w:cs="Arial"/>
          <w:sz w:val="28"/>
        </w:rPr>
        <w:t>委托估价方应对其提供的权属证明以及其他资料的真实性、完整性和合法性负责。如因资料失实或资料提供人有所隐匿而导致估价结果失真，</w:t>
      </w:r>
      <w:r>
        <w:rPr>
          <w:rFonts w:ascii="Arial" w:eastAsia="仿宋" w:hAnsi="Arial" w:cs="Arial"/>
          <w:sz w:val="28"/>
        </w:rPr>
        <w:lastRenderedPageBreak/>
        <w:t>估价机构不承担相应的责任。</w:t>
      </w:r>
    </w:p>
    <w:p w14:paraId="044CF808" w14:textId="77777777" w:rsidR="0062768B" w:rsidRDefault="00136729">
      <w:pPr>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3.</w:t>
      </w:r>
      <w:r>
        <w:rPr>
          <w:rFonts w:ascii="Arial" w:eastAsia="仿宋" w:hAnsi="Arial" w:cs="Arial"/>
          <w:sz w:val="28"/>
        </w:rPr>
        <w:t>本报告估价结果为估价期日下的正常市场价格，随着时间的推移，该价格需要做相应的调整直至重新评估。</w:t>
      </w:r>
    </w:p>
    <w:p w14:paraId="17D40AAC" w14:textId="77777777" w:rsidR="0062768B" w:rsidRDefault="00136729">
      <w:pPr>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4.</w:t>
      </w:r>
      <w:r>
        <w:rPr>
          <w:rFonts w:ascii="Arial" w:eastAsia="仿宋" w:hAnsi="Arial" w:cs="Arial"/>
          <w:sz w:val="28"/>
        </w:rPr>
        <w:t>本估价报告在估价机构盖章和土地估价师签字的条件下有效。</w:t>
      </w:r>
    </w:p>
    <w:p w14:paraId="3CAA3211" w14:textId="77777777" w:rsidR="0062768B" w:rsidRDefault="00136729">
      <w:pPr>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5.</w:t>
      </w:r>
      <w:r>
        <w:rPr>
          <w:rFonts w:ascii="Arial" w:eastAsia="仿宋" w:hAnsi="Arial" w:cs="Arial"/>
          <w:sz w:val="28"/>
        </w:rPr>
        <w:t>本次评估估价报告分为</w:t>
      </w:r>
      <w:r>
        <w:rPr>
          <w:rFonts w:ascii="Arial" w:eastAsia="仿宋" w:hAnsi="Arial" w:cs="Arial"/>
          <w:sz w:val="28"/>
        </w:rPr>
        <w:t>“</w:t>
      </w:r>
      <w:r>
        <w:rPr>
          <w:rFonts w:ascii="Arial" w:eastAsia="仿宋" w:hAnsi="Arial" w:cs="Arial"/>
          <w:sz w:val="28"/>
        </w:rPr>
        <w:t>土地估价报告</w:t>
      </w:r>
      <w:r>
        <w:rPr>
          <w:rFonts w:ascii="Arial" w:eastAsia="仿宋" w:hAnsi="Arial" w:cs="Arial"/>
          <w:sz w:val="28"/>
        </w:rPr>
        <w:t>”</w:t>
      </w:r>
      <w:r>
        <w:rPr>
          <w:rFonts w:ascii="Arial" w:eastAsia="仿宋" w:hAnsi="Arial" w:cs="Arial"/>
          <w:sz w:val="28"/>
        </w:rPr>
        <w:t>和</w:t>
      </w:r>
      <w:r>
        <w:rPr>
          <w:rFonts w:ascii="Arial" w:eastAsia="仿宋" w:hAnsi="Arial" w:cs="Arial"/>
          <w:sz w:val="28"/>
        </w:rPr>
        <w:t>“</w:t>
      </w:r>
      <w:r>
        <w:rPr>
          <w:rFonts w:ascii="Arial" w:eastAsia="仿宋" w:hAnsi="Arial" w:cs="Arial"/>
          <w:sz w:val="28"/>
        </w:rPr>
        <w:t>土地估价技术报告</w:t>
      </w:r>
      <w:r>
        <w:rPr>
          <w:rFonts w:ascii="Arial" w:eastAsia="仿宋" w:hAnsi="Arial" w:cs="Arial"/>
          <w:sz w:val="28"/>
        </w:rPr>
        <w:t>”</w:t>
      </w:r>
      <w:r>
        <w:rPr>
          <w:rFonts w:ascii="Arial" w:eastAsia="仿宋" w:hAnsi="Arial" w:cs="Arial"/>
          <w:sz w:val="28"/>
        </w:rPr>
        <w:t>两部分，</w:t>
      </w:r>
      <w:r>
        <w:rPr>
          <w:rFonts w:ascii="Arial" w:eastAsia="仿宋" w:hAnsi="Arial" w:cs="Arial"/>
          <w:sz w:val="28"/>
        </w:rPr>
        <w:t>“</w:t>
      </w:r>
      <w:r>
        <w:rPr>
          <w:rFonts w:ascii="Arial" w:eastAsia="仿宋" w:hAnsi="Arial" w:cs="Arial"/>
          <w:sz w:val="28"/>
        </w:rPr>
        <w:t>土地估价报告</w:t>
      </w:r>
      <w:r>
        <w:rPr>
          <w:rFonts w:ascii="Arial" w:eastAsia="仿宋" w:hAnsi="Arial" w:cs="Arial"/>
          <w:sz w:val="28"/>
        </w:rPr>
        <w:t>”</w:t>
      </w:r>
      <w:proofErr w:type="gramStart"/>
      <w:r>
        <w:rPr>
          <w:rFonts w:ascii="Arial" w:eastAsia="仿宋" w:hAnsi="Arial" w:cs="Arial"/>
          <w:sz w:val="28"/>
        </w:rPr>
        <w:t>供委托</w:t>
      </w:r>
      <w:proofErr w:type="gramEnd"/>
      <w:r>
        <w:rPr>
          <w:rFonts w:ascii="Arial" w:eastAsia="仿宋" w:hAnsi="Arial" w:cs="Arial"/>
          <w:sz w:val="28"/>
        </w:rPr>
        <w:t>估价方使用，</w:t>
      </w:r>
      <w:r>
        <w:rPr>
          <w:rFonts w:ascii="Arial" w:eastAsia="仿宋" w:hAnsi="Arial" w:cs="Arial"/>
          <w:sz w:val="28"/>
        </w:rPr>
        <w:t>“</w:t>
      </w:r>
      <w:r>
        <w:rPr>
          <w:rFonts w:ascii="Arial" w:eastAsia="仿宋" w:hAnsi="Arial" w:cs="Arial"/>
          <w:sz w:val="28"/>
        </w:rPr>
        <w:t>土地估价技术报告</w:t>
      </w:r>
      <w:r>
        <w:rPr>
          <w:rFonts w:ascii="Arial" w:eastAsia="仿宋" w:hAnsi="Arial" w:cs="Arial"/>
          <w:sz w:val="28"/>
        </w:rPr>
        <w:t>”</w:t>
      </w:r>
      <w:r>
        <w:rPr>
          <w:rFonts w:ascii="Arial" w:eastAsia="仿宋" w:hAnsi="Arial" w:cs="Arial"/>
          <w:sz w:val="28"/>
        </w:rPr>
        <w:t>仅供估价机构存档和作为估价结果提交房屋土地管理部门确认或备案时的附件。</w:t>
      </w:r>
    </w:p>
    <w:p w14:paraId="684F77E3"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6.</w:t>
      </w:r>
      <w:r>
        <w:rPr>
          <w:rFonts w:ascii="Arial" w:eastAsia="仿宋" w:hAnsi="Arial" w:cs="Arial"/>
          <w:sz w:val="28"/>
        </w:rPr>
        <w:t>本估价报告只能由估价报告载明的报告使用者使用，且只能用于本报告载明的唯一估价目的和用途。</w:t>
      </w:r>
    </w:p>
    <w:p w14:paraId="4BB724C4"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7.</w:t>
      </w:r>
      <w:r>
        <w:rPr>
          <w:rFonts w:ascii="Arial" w:eastAsia="仿宋" w:hAnsi="Arial" w:cs="Arial"/>
          <w:sz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4C0A6338"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8.</w:t>
      </w:r>
      <w:r>
        <w:rPr>
          <w:rFonts w:ascii="Arial" w:eastAsia="仿宋" w:hAnsi="Arial" w:cs="Arial"/>
          <w:sz w:val="28"/>
        </w:rPr>
        <w:t>除委托估价方、估价委托合同中约定的其他估价报告使用人和法律、行政法规规定的估价报告使用人之外，其他任何机构和个人不能成为估价报告的使用人。</w:t>
      </w:r>
    </w:p>
    <w:p w14:paraId="458D4A63"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9.</w:t>
      </w:r>
      <w:r>
        <w:rPr>
          <w:rFonts w:ascii="Arial" w:eastAsia="仿宋" w:hAnsi="Arial" w:cs="Arial"/>
          <w:sz w:val="28"/>
        </w:rPr>
        <w:t>估价报告使用人应当正确理解估价结论。估价结论不等同于估价对象可实现价格，估价结论不应当被认为是对估价对象可实现价格的保证。</w:t>
      </w:r>
    </w:p>
    <w:p w14:paraId="586B9925" w14:textId="6B4E8940"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10.</w:t>
      </w:r>
      <w:r>
        <w:rPr>
          <w:rFonts w:ascii="Arial" w:eastAsia="仿宋" w:hAnsi="Arial" w:cs="Arial"/>
          <w:sz w:val="28"/>
        </w:rPr>
        <w:t>本估价</w:t>
      </w:r>
      <w:proofErr w:type="gramStart"/>
      <w:r>
        <w:rPr>
          <w:rFonts w:ascii="Arial" w:eastAsia="仿宋" w:hAnsi="Arial" w:cs="Arial"/>
          <w:sz w:val="28"/>
        </w:rPr>
        <w:t>报告自报告</w:t>
      </w:r>
      <w:proofErr w:type="gramEnd"/>
      <w:r>
        <w:rPr>
          <w:rFonts w:ascii="Arial" w:eastAsia="仿宋" w:hAnsi="Arial" w:cs="Arial"/>
          <w:sz w:val="28"/>
        </w:rPr>
        <w:t>出具日起计算，从</w:t>
      </w:r>
      <w:r w:rsidR="00036F92">
        <w:rPr>
          <w:rFonts w:ascii="Arial" w:eastAsia="仿宋" w:hAnsi="Arial" w:cs="Arial"/>
          <w:sz w:val="28"/>
        </w:rPr>
        <w:t>2023</w:t>
      </w:r>
      <w:r w:rsidR="00036F92">
        <w:rPr>
          <w:rFonts w:ascii="Arial" w:eastAsia="仿宋" w:hAnsi="Arial" w:cs="Arial"/>
          <w:sz w:val="28"/>
        </w:rPr>
        <w:t>年</w:t>
      </w:r>
      <w:r w:rsidR="00036F92">
        <w:rPr>
          <w:rFonts w:ascii="Arial" w:eastAsia="仿宋" w:hAnsi="Arial" w:cs="Arial"/>
          <w:sz w:val="28"/>
        </w:rPr>
        <w:t>6</w:t>
      </w:r>
      <w:r w:rsidR="00036F92">
        <w:rPr>
          <w:rFonts w:ascii="Arial" w:eastAsia="仿宋" w:hAnsi="Arial" w:cs="Arial"/>
          <w:sz w:val="28"/>
        </w:rPr>
        <w:t>月</w:t>
      </w:r>
      <w:r w:rsidR="00036F92">
        <w:rPr>
          <w:rFonts w:ascii="Arial" w:eastAsia="仿宋" w:hAnsi="Arial" w:cs="Arial"/>
          <w:sz w:val="28"/>
        </w:rPr>
        <w:t>27</w:t>
      </w:r>
      <w:r w:rsidR="00036F92">
        <w:rPr>
          <w:rFonts w:ascii="Arial" w:eastAsia="仿宋" w:hAnsi="Arial" w:cs="Arial"/>
          <w:sz w:val="28"/>
        </w:rPr>
        <w:t>日</w:t>
      </w:r>
      <w:r>
        <w:rPr>
          <w:rFonts w:ascii="Arial" w:eastAsia="仿宋" w:hAnsi="Arial" w:cs="Arial"/>
          <w:sz w:val="28"/>
        </w:rPr>
        <w:t>至</w:t>
      </w:r>
      <w:r w:rsidR="004532BF">
        <w:rPr>
          <w:rFonts w:ascii="Arial" w:eastAsia="仿宋" w:hAnsi="Arial" w:cs="Arial"/>
          <w:sz w:val="28"/>
        </w:rPr>
        <w:t>2024</w:t>
      </w:r>
      <w:r w:rsidR="004532BF">
        <w:rPr>
          <w:rFonts w:ascii="Arial" w:eastAsia="仿宋" w:hAnsi="Arial" w:cs="Arial"/>
          <w:sz w:val="28"/>
        </w:rPr>
        <w:t>年</w:t>
      </w:r>
      <w:r w:rsidR="004532BF">
        <w:rPr>
          <w:rFonts w:ascii="Arial" w:eastAsia="仿宋" w:hAnsi="Arial" w:cs="Arial"/>
          <w:sz w:val="28"/>
        </w:rPr>
        <w:t>6</w:t>
      </w:r>
      <w:r w:rsidR="004532BF">
        <w:rPr>
          <w:rFonts w:ascii="Arial" w:eastAsia="仿宋" w:hAnsi="Arial" w:cs="Arial"/>
          <w:sz w:val="28"/>
        </w:rPr>
        <w:t>月</w:t>
      </w:r>
      <w:r w:rsidR="004532BF">
        <w:rPr>
          <w:rFonts w:ascii="Arial" w:eastAsia="仿宋" w:hAnsi="Arial" w:cs="Arial"/>
          <w:sz w:val="28"/>
        </w:rPr>
        <w:t>26</w:t>
      </w:r>
      <w:r w:rsidR="004532BF">
        <w:rPr>
          <w:rFonts w:ascii="Arial" w:eastAsia="仿宋" w:hAnsi="Arial" w:cs="Arial"/>
          <w:sz w:val="28"/>
        </w:rPr>
        <w:t>日</w:t>
      </w:r>
      <w:r>
        <w:rPr>
          <w:rFonts w:ascii="Arial" w:eastAsia="仿宋" w:hAnsi="Arial" w:cs="Arial"/>
          <w:sz w:val="28"/>
        </w:rPr>
        <w:t>有效。</w:t>
      </w:r>
    </w:p>
    <w:p w14:paraId="32DF10D6"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11.</w:t>
      </w:r>
      <w:r>
        <w:rPr>
          <w:rFonts w:ascii="Arial" w:eastAsia="仿宋" w:hAnsi="Arial" w:cs="Arial"/>
          <w:sz w:val="28"/>
        </w:rPr>
        <w:t>本次土地估价报告的使用权归委托估价方，土地估价报告由</w:t>
      </w:r>
      <w:proofErr w:type="gramStart"/>
      <w:r>
        <w:rPr>
          <w:rFonts w:ascii="Arial" w:eastAsia="仿宋" w:hAnsi="Arial" w:cs="Arial"/>
          <w:sz w:val="28"/>
        </w:rPr>
        <w:t>北京康正宏</w:t>
      </w:r>
      <w:proofErr w:type="gramEnd"/>
      <w:r>
        <w:rPr>
          <w:rFonts w:ascii="Arial" w:eastAsia="仿宋" w:hAnsi="Arial" w:cs="Arial"/>
          <w:sz w:val="28"/>
        </w:rPr>
        <w:t>基房地产评估有限公司负责解释。</w:t>
      </w:r>
    </w:p>
    <w:p w14:paraId="3295A6E7"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（三）需要特殊说明的事项</w:t>
      </w:r>
    </w:p>
    <w:p w14:paraId="3230B87F"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1.</w:t>
      </w:r>
      <w:r>
        <w:rPr>
          <w:rFonts w:ascii="Arial" w:eastAsia="仿宋" w:hAnsi="Arial" w:cs="Arial"/>
          <w:sz w:val="28"/>
        </w:rPr>
        <w:t>资料来源说明</w:t>
      </w:r>
    </w:p>
    <w:p w14:paraId="1222AC0B"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1</w:t>
      </w:r>
      <w:r>
        <w:rPr>
          <w:rFonts w:ascii="Arial" w:eastAsia="仿宋" w:hAnsi="Arial" w:cs="Arial"/>
          <w:sz w:val="28"/>
        </w:rPr>
        <w:t>）估价对象的土地、房屋权属资料、土地利用状况、评估项目相关资料由委托估价方提供。</w:t>
      </w:r>
    </w:p>
    <w:p w14:paraId="572ED58C"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2</w:t>
      </w:r>
      <w:r>
        <w:rPr>
          <w:rFonts w:ascii="Arial" w:eastAsia="仿宋" w:hAnsi="Arial" w:cs="Arial"/>
          <w:sz w:val="28"/>
        </w:rPr>
        <w:t>）土地区位条件、地产市场交易资料、土地利用现状照片等相关资料由土地估价专业评估师实地调查取得。</w:t>
      </w:r>
    </w:p>
    <w:p w14:paraId="3AC33480"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3</w:t>
      </w:r>
      <w:r>
        <w:rPr>
          <w:rFonts w:ascii="Arial" w:eastAsia="仿宋" w:hAnsi="Arial" w:cs="Arial"/>
          <w:sz w:val="28"/>
        </w:rPr>
        <w:t>）区域经济发展状况、统计数据、城市规划资料、基准地价资料等由土地估价专业评估师通过政府相关部门获取。</w:t>
      </w:r>
    </w:p>
    <w:p w14:paraId="6DC1E7C4"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4</w:t>
      </w:r>
      <w:r>
        <w:rPr>
          <w:rFonts w:ascii="Arial" w:eastAsia="仿宋" w:hAnsi="Arial" w:cs="Arial"/>
          <w:sz w:val="28"/>
        </w:rPr>
        <w:t>）估价中的相关参数资料由土地估价专业评估师通过政府部门相关文件规定、公开媒体等多种途径获取。</w:t>
      </w:r>
    </w:p>
    <w:p w14:paraId="42E53F2B"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lastRenderedPageBreak/>
        <w:t>（</w:t>
      </w:r>
      <w:r>
        <w:rPr>
          <w:rFonts w:ascii="Arial" w:eastAsia="仿宋" w:hAnsi="Arial" w:cs="Arial"/>
          <w:sz w:val="28"/>
        </w:rPr>
        <w:t>5</w:t>
      </w:r>
      <w:r>
        <w:rPr>
          <w:rFonts w:ascii="Arial" w:eastAsia="仿宋" w:hAnsi="Arial" w:cs="Arial"/>
          <w:sz w:val="28"/>
        </w:rPr>
        <w:t>）土地估价专业评估</w:t>
      </w:r>
      <w:proofErr w:type="gramStart"/>
      <w:r>
        <w:rPr>
          <w:rFonts w:ascii="Arial" w:eastAsia="仿宋" w:hAnsi="Arial" w:cs="Arial"/>
          <w:sz w:val="28"/>
        </w:rPr>
        <w:t>师结合</w:t>
      </w:r>
      <w:proofErr w:type="gramEnd"/>
      <w:r>
        <w:rPr>
          <w:rFonts w:ascii="Arial" w:eastAsia="仿宋" w:hAnsi="Arial" w:cs="Arial"/>
          <w:sz w:val="28"/>
        </w:rPr>
        <w:t>执业经验，对上述相关评估资料的真实性、合法性、有效性、适用性进行了尽职核实、专业判断。委托估价方对所提供资料的真实性负责，估价机构对所收集资料的真实性、准确性负责。</w:t>
      </w:r>
    </w:p>
    <w:p w14:paraId="6FB51CED"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2.</w:t>
      </w:r>
      <w:r>
        <w:rPr>
          <w:rFonts w:ascii="Arial" w:eastAsia="仿宋" w:hAnsi="Arial" w:cs="Arial"/>
          <w:sz w:val="28"/>
        </w:rPr>
        <w:t>有关参数确定及使用说明</w:t>
      </w:r>
    </w:p>
    <w:p w14:paraId="122394CE"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1</w:t>
      </w:r>
      <w:r>
        <w:rPr>
          <w:rFonts w:ascii="Arial" w:eastAsia="仿宋" w:hAnsi="Arial" w:cs="Arial"/>
          <w:sz w:val="28"/>
        </w:rPr>
        <w:t>）估价对象的土地面积及规划建筑规模以《北京市规划和自然资源委员会顺义分局关于顺义区高丽营镇夏县营村棚户区改造土地开发项目</w:t>
      </w:r>
      <w:r>
        <w:rPr>
          <w:rFonts w:ascii="Arial" w:eastAsia="仿宋" w:hAnsi="Arial" w:cs="Arial"/>
          <w:sz w:val="28"/>
        </w:rPr>
        <w:t>01-008</w:t>
      </w:r>
      <w:r>
        <w:rPr>
          <w:rFonts w:ascii="Arial" w:eastAsia="仿宋" w:hAnsi="Arial" w:cs="Arial"/>
          <w:sz w:val="28"/>
        </w:rPr>
        <w:t>、</w:t>
      </w:r>
      <w:r>
        <w:rPr>
          <w:rFonts w:ascii="Arial" w:eastAsia="仿宋" w:hAnsi="Arial" w:cs="Arial"/>
          <w:sz w:val="28"/>
        </w:rPr>
        <w:t>01-015-1</w:t>
      </w:r>
      <w:r>
        <w:rPr>
          <w:rFonts w:ascii="Arial" w:eastAsia="仿宋" w:hAnsi="Arial" w:cs="Arial"/>
          <w:sz w:val="28"/>
        </w:rPr>
        <w:t>、</w:t>
      </w:r>
      <w:r>
        <w:rPr>
          <w:rFonts w:ascii="Arial" w:eastAsia="仿宋" w:hAnsi="Arial" w:cs="Arial"/>
          <w:sz w:val="28"/>
        </w:rPr>
        <w:t>01-015-2</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01-020</w:t>
      </w:r>
      <w:r>
        <w:rPr>
          <w:rFonts w:ascii="Arial" w:eastAsia="仿宋" w:hAnsi="Arial" w:cs="Arial"/>
          <w:sz w:val="28"/>
        </w:rPr>
        <w:t>、</w:t>
      </w:r>
      <w:r>
        <w:rPr>
          <w:rFonts w:ascii="Arial" w:eastAsia="仿宋" w:hAnsi="Arial" w:cs="Arial"/>
          <w:sz w:val="28"/>
        </w:rPr>
        <w:t>01-025</w:t>
      </w:r>
      <w:r>
        <w:rPr>
          <w:rFonts w:ascii="Arial" w:eastAsia="仿宋" w:hAnsi="Arial" w:cs="Arial"/>
          <w:sz w:val="28"/>
        </w:rPr>
        <w:t>、</w:t>
      </w:r>
      <w:r>
        <w:rPr>
          <w:rFonts w:ascii="Arial" w:eastAsia="仿宋" w:hAnsi="Arial" w:cs="Arial"/>
          <w:sz w:val="28"/>
        </w:rPr>
        <w:t>01-026-1</w:t>
      </w:r>
      <w:r>
        <w:rPr>
          <w:rFonts w:ascii="Arial" w:eastAsia="仿宋" w:hAnsi="Arial" w:cs="Arial"/>
          <w:sz w:val="28"/>
        </w:rPr>
        <w:t>等二类居住用地、托幼用地、商业用地地块</w:t>
      </w:r>
      <w:r>
        <w:rPr>
          <w:rFonts w:ascii="Arial" w:eastAsia="仿宋" w:hAnsi="Arial" w:cs="Arial"/>
          <w:sz w:val="28"/>
        </w:rPr>
        <w:t>“</w:t>
      </w:r>
      <w:r>
        <w:rPr>
          <w:rFonts w:ascii="Arial" w:eastAsia="仿宋" w:hAnsi="Arial" w:cs="Arial"/>
          <w:sz w:val="28"/>
        </w:rPr>
        <w:t>多规合一</w:t>
      </w:r>
      <w:r>
        <w:rPr>
          <w:rFonts w:ascii="Arial" w:eastAsia="仿宋" w:hAnsi="Arial" w:cs="Arial"/>
          <w:sz w:val="28"/>
        </w:rPr>
        <w:t>”</w:t>
      </w:r>
      <w:r>
        <w:rPr>
          <w:rFonts w:ascii="Arial" w:eastAsia="仿宋" w:hAnsi="Arial" w:cs="Arial"/>
          <w:sz w:val="28"/>
        </w:rPr>
        <w:t>协同平台供地审核意见的函》（京</w:t>
      </w:r>
      <w:proofErr w:type="gramStart"/>
      <w:r>
        <w:rPr>
          <w:rFonts w:ascii="Arial" w:eastAsia="仿宋" w:hAnsi="Arial" w:cs="Arial"/>
          <w:sz w:val="28"/>
        </w:rPr>
        <w:t>规</w:t>
      </w:r>
      <w:proofErr w:type="gramEnd"/>
      <w:r>
        <w:rPr>
          <w:rFonts w:ascii="Arial" w:eastAsia="仿宋" w:hAnsi="Arial" w:cs="Arial"/>
          <w:sz w:val="28"/>
        </w:rPr>
        <w:t>自（顺）</w:t>
      </w:r>
      <w:proofErr w:type="gramStart"/>
      <w:r>
        <w:rPr>
          <w:rFonts w:ascii="Arial" w:eastAsia="仿宋" w:hAnsi="Arial" w:cs="Arial"/>
          <w:sz w:val="28"/>
        </w:rPr>
        <w:t>供审函</w:t>
      </w:r>
      <w:proofErr w:type="gramEnd"/>
      <w:r>
        <w:rPr>
          <w:rFonts w:ascii="Arial" w:eastAsia="仿宋" w:hAnsi="Arial" w:cs="Arial"/>
          <w:sz w:val="28"/>
        </w:rPr>
        <w:t>【</w:t>
      </w:r>
      <w:r>
        <w:rPr>
          <w:rFonts w:ascii="Arial" w:eastAsia="仿宋" w:hAnsi="Arial" w:cs="Arial"/>
          <w:sz w:val="28"/>
        </w:rPr>
        <w:t>2023</w:t>
      </w:r>
      <w:r>
        <w:rPr>
          <w:rFonts w:ascii="Arial" w:eastAsia="仿宋" w:hAnsi="Arial" w:cs="Arial"/>
          <w:sz w:val="28"/>
        </w:rPr>
        <w:t>】</w:t>
      </w:r>
      <w:r>
        <w:rPr>
          <w:rFonts w:ascii="Arial" w:eastAsia="仿宋" w:hAnsi="Arial" w:cs="Arial"/>
          <w:sz w:val="28"/>
        </w:rPr>
        <w:t>0004</w:t>
      </w:r>
      <w:r>
        <w:rPr>
          <w:rFonts w:ascii="Arial" w:eastAsia="仿宋" w:hAnsi="Arial" w:cs="Arial"/>
          <w:sz w:val="28"/>
        </w:rPr>
        <w:t>号）为依据</w:t>
      </w:r>
      <w:r>
        <w:rPr>
          <w:rFonts w:ascii="Arial" w:eastAsia="仿宋" w:hAnsi="Arial" w:cs="Arial"/>
          <w:sz w:val="28"/>
          <w:szCs w:val="28"/>
        </w:rPr>
        <w:t>，</w:t>
      </w:r>
      <w:r>
        <w:rPr>
          <w:rFonts w:ascii="Arial" w:eastAsia="仿宋" w:hAnsi="Arial" w:cs="Arial"/>
          <w:sz w:val="28"/>
        </w:rPr>
        <w:t>本次估价对象</w:t>
      </w:r>
      <w:r>
        <w:rPr>
          <w:rFonts w:ascii="Arial" w:eastAsia="仿宋" w:hAnsi="Arial" w:cs="Arial"/>
          <w:sz w:val="28"/>
        </w:rPr>
        <w:t>01-008</w:t>
      </w:r>
      <w:r>
        <w:rPr>
          <w:rFonts w:ascii="Arial" w:eastAsia="仿宋" w:hAnsi="Arial" w:cs="Arial"/>
          <w:sz w:val="28"/>
        </w:rPr>
        <w:t>等地块共</w:t>
      </w:r>
      <w:r>
        <w:rPr>
          <w:rFonts w:ascii="Arial" w:eastAsia="仿宋" w:hAnsi="Arial" w:cs="Arial"/>
          <w:sz w:val="28"/>
        </w:rPr>
        <w:t>4</w:t>
      </w:r>
      <w:r>
        <w:rPr>
          <w:rFonts w:ascii="Arial" w:eastAsia="仿宋" w:hAnsi="Arial" w:cs="Arial"/>
          <w:sz w:val="28"/>
        </w:rPr>
        <w:t>宗地，用地规模合计为</w:t>
      </w:r>
      <w:r>
        <w:rPr>
          <w:rFonts w:ascii="Arial" w:eastAsia="仿宋" w:hAnsi="Arial" w:cs="Arial"/>
          <w:sz w:val="28"/>
        </w:rPr>
        <w:t>60990.43</w:t>
      </w:r>
      <w:r>
        <w:rPr>
          <w:rFonts w:ascii="Arial" w:eastAsia="仿宋" w:hAnsi="Arial" w:cs="Arial"/>
          <w:sz w:val="28"/>
        </w:rPr>
        <w:t>平方米，全部为建设用地，建筑规模合计为</w:t>
      </w:r>
      <w:r>
        <w:rPr>
          <w:rFonts w:ascii="Arial" w:eastAsia="仿宋" w:hAnsi="Arial" w:cs="Arial"/>
          <w:sz w:val="28"/>
        </w:rPr>
        <w:t>71508.52</w:t>
      </w:r>
      <w:r>
        <w:rPr>
          <w:rFonts w:ascii="Arial" w:eastAsia="仿宋" w:hAnsi="Arial" w:cs="Arial"/>
          <w:sz w:val="28"/>
        </w:rPr>
        <w:t>平方米。</w:t>
      </w:r>
      <w:r>
        <w:rPr>
          <w:rFonts w:ascii="Arial" w:eastAsia="仿宋" w:hAnsi="Arial" w:cs="Arial"/>
          <w:sz w:val="28"/>
          <w:szCs w:val="28"/>
        </w:rPr>
        <w:t>其中，估价对象</w:t>
      </w:r>
      <w:r>
        <w:rPr>
          <w:rFonts w:ascii="Arial" w:eastAsia="仿宋" w:hAnsi="Arial" w:cs="Arial"/>
          <w:sz w:val="28"/>
        </w:rPr>
        <w:t>01-008</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24804.85</w:t>
      </w:r>
      <w:r>
        <w:rPr>
          <w:rFonts w:ascii="Arial" w:eastAsia="仿宋" w:hAnsi="Arial" w:cs="Arial"/>
          <w:sz w:val="28"/>
        </w:rPr>
        <w:t>平方米，地上建筑规模为</w:t>
      </w:r>
      <w:r>
        <w:rPr>
          <w:rFonts w:ascii="Arial" w:eastAsia="仿宋" w:hAnsi="Arial" w:cs="Arial"/>
          <w:sz w:val="28"/>
        </w:rPr>
        <w:t>29765.82</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w:t>
      </w:r>
      <w:r>
        <w:rPr>
          <w:rFonts w:ascii="Arial" w:eastAsia="仿宋" w:hAnsi="Arial" w:cs="Arial"/>
          <w:sz w:val="28"/>
          <w:szCs w:val="28"/>
        </w:rPr>
        <w:t>估价对象</w:t>
      </w:r>
      <w:r>
        <w:rPr>
          <w:rFonts w:ascii="Arial" w:eastAsia="仿宋" w:hAnsi="Arial" w:cs="Arial"/>
          <w:sz w:val="28"/>
        </w:rPr>
        <w:t>01-016</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23103.85</w:t>
      </w:r>
      <w:r>
        <w:rPr>
          <w:rFonts w:ascii="Arial" w:eastAsia="仿宋" w:hAnsi="Arial" w:cs="Arial"/>
          <w:sz w:val="28"/>
        </w:rPr>
        <w:t>平方米，地上建筑规模为</w:t>
      </w:r>
      <w:r>
        <w:rPr>
          <w:rFonts w:ascii="Arial" w:eastAsia="仿宋" w:hAnsi="Arial" w:cs="Arial"/>
          <w:sz w:val="28"/>
        </w:rPr>
        <w:t>27724.62</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w:t>
      </w:r>
      <w:r>
        <w:rPr>
          <w:rFonts w:ascii="Arial" w:eastAsia="仿宋" w:hAnsi="Arial" w:cs="Arial"/>
          <w:sz w:val="28"/>
          <w:szCs w:val="28"/>
        </w:rPr>
        <w:t xml:space="preserve"> </w:t>
      </w:r>
      <w:r>
        <w:rPr>
          <w:rFonts w:ascii="Arial" w:eastAsia="仿宋" w:hAnsi="Arial" w:cs="Arial"/>
          <w:sz w:val="28"/>
          <w:szCs w:val="28"/>
        </w:rPr>
        <w:t>估价对象</w:t>
      </w:r>
      <w:r>
        <w:rPr>
          <w:rFonts w:ascii="Arial" w:eastAsia="仿宋" w:hAnsi="Arial" w:cs="Arial"/>
          <w:sz w:val="28"/>
          <w:szCs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8881.75</w:t>
      </w:r>
      <w:r>
        <w:rPr>
          <w:rFonts w:ascii="Arial" w:eastAsia="仿宋" w:hAnsi="Arial" w:cs="Arial"/>
          <w:sz w:val="28"/>
        </w:rPr>
        <w:t>平方米，地上建筑规模为</w:t>
      </w:r>
      <w:r>
        <w:rPr>
          <w:rFonts w:ascii="Arial" w:eastAsia="仿宋" w:hAnsi="Arial" w:cs="Arial"/>
          <w:sz w:val="28"/>
        </w:rPr>
        <w:t>10658.10</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；另有</w:t>
      </w:r>
      <w:r>
        <w:rPr>
          <w:rFonts w:ascii="Arial" w:eastAsia="仿宋" w:hAnsi="Arial" w:cs="Arial"/>
          <w:sz w:val="28"/>
          <w:szCs w:val="28"/>
        </w:rPr>
        <w:t>估价对象</w:t>
      </w:r>
      <w:r>
        <w:rPr>
          <w:rFonts w:ascii="Arial" w:eastAsia="仿宋" w:hAnsi="Arial" w:cs="Arial"/>
          <w:sz w:val="28"/>
        </w:rPr>
        <w:t>01-020</w:t>
      </w:r>
      <w:r>
        <w:rPr>
          <w:rFonts w:ascii="Arial" w:eastAsia="仿宋" w:hAnsi="Arial" w:cs="Arial"/>
          <w:sz w:val="28"/>
        </w:rPr>
        <w:t>地块（</w:t>
      </w:r>
      <w:r>
        <w:rPr>
          <w:rFonts w:ascii="Arial" w:eastAsia="仿宋" w:hAnsi="Arial" w:cs="Arial"/>
          <w:sz w:val="28"/>
        </w:rPr>
        <w:t>A334</w:t>
      </w:r>
      <w:r>
        <w:rPr>
          <w:rFonts w:ascii="Arial" w:eastAsia="仿宋" w:hAnsi="Arial" w:cs="Arial"/>
          <w:sz w:val="28"/>
        </w:rPr>
        <w:t>托幼用地，不出让）建设用地规模为</w:t>
      </w:r>
      <w:r>
        <w:rPr>
          <w:rFonts w:ascii="Arial" w:eastAsia="仿宋" w:hAnsi="Arial" w:cs="Arial"/>
          <w:sz w:val="28"/>
        </w:rPr>
        <w:t>4199.98</w:t>
      </w:r>
      <w:r>
        <w:rPr>
          <w:rFonts w:ascii="Arial" w:eastAsia="仿宋" w:hAnsi="Arial" w:cs="Arial"/>
          <w:sz w:val="28"/>
        </w:rPr>
        <w:t>平方米，地上建筑规模为</w:t>
      </w:r>
      <w:r>
        <w:rPr>
          <w:rFonts w:ascii="Arial" w:eastAsia="仿宋" w:hAnsi="Arial" w:cs="Arial"/>
          <w:sz w:val="28"/>
        </w:rPr>
        <w:t>3359.98</w:t>
      </w:r>
      <w:r>
        <w:rPr>
          <w:rFonts w:ascii="Arial" w:eastAsia="仿宋" w:hAnsi="Arial" w:cs="Arial"/>
          <w:sz w:val="28"/>
        </w:rPr>
        <w:t>平方米，容积率为</w:t>
      </w:r>
      <w:r>
        <w:rPr>
          <w:rFonts w:ascii="Arial" w:eastAsia="仿宋" w:hAnsi="Arial" w:cs="Arial"/>
          <w:sz w:val="28"/>
        </w:rPr>
        <w:t>0.8</w:t>
      </w:r>
      <w:r>
        <w:rPr>
          <w:rFonts w:ascii="Arial" w:eastAsia="仿宋" w:hAnsi="Arial" w:cs="Arial"/>
          <w:sz w:val="28"/>
        </w:rPr>
        <w:t>。根据《北京市人民政府关于更新出让国有建设用地使用权基准地价的通知》（京政发（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号）中的相关规定，本次评估</w:t>
      </w:r>
      <w:r>
        <w:rPr>
          <w:rFonts w:ascii="Arial" w:eastAsia="仿宋" w:hAnsi="Arial" w:cs="Arial"/>
          <w:sz w:val="28"/>
        </w:rPr>
        <w:t>01-008</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类居住用地）容积率为</w:t>
      </w:r>
      <w:r>
        <w:rPr>
          <w:rFonts w:ascii="Arial" w:eastAsia="仿宋" w:hAnsi="Arial" w:cs="Arial"/>
          <w:sz w:val="28"/>
        </w:rPr>
        <w:t>1.2</w:t>
      </w:r>
      <w:r>
        <w:rPr>
          <w:rFonts w:ascii="Arial" w:eastAsia="仿宋" w:hAnsi="Arial" w:cs="Arial"/>
          <w:sz w:val="28"/>
        </w:rPr>
        <w:t>。若上述条件发生变化，本报告估价结果需做相应的调整。</w:t>
      </w:r>
    </w:p>
    <w:p w14:paraId="7A105B1B"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2</w:t>
      </w:r>
      <w:r>
        <w:rPr>
          <w:rFonts w:ascii="Arial" w:eastAsia="仿宋" w:hAnsi="Arial" w:cs="Arial"/>
          <w:sz w:val="28"/>
        </w:rPr>
        <w:t>）根据《北京市规划和自然资源委员会顺义分局关于顺义区高丽营镇夏县营村棚户区改造土地开发项目</w:t>
      </w:r>
      <w:r>
        <w:rPr>
          <w:rFonts w:ascii="Arial" w:eastAsia="仿宋" w:hAnsi="Arial" w:cs="Arial"/>
          <w:sz w:val="28"/>
        </w:rPr>
        <w:t>01-008</w:t>
      </w:r>
      <w:r>
        <w:rPr>
          <w:rFonts w:ascii="Arial" w:eastAsia="仿宋" w:hAnsi="Arial" w:cs="Arial"/>
          <w:sz w:val="28"/>
        </w:rPr>
        <w:t>、</w:t>
      </w:r>
      <w:r>
        <w:rPr>
          <w:rFonts w:ascii="Arial" w:eastAsia="仿宋" w:hAnsi="Arial" w:cs="Arial"/>
          <w:sz w:val="28"/>
        </w:rPr>
        <w:t>01-015-1</w:t>
      </w:r>
      <w:r>
        <w:rPr>
          <w:rFonts w:ascii="Arial" w:eastAsia="仿宋" w:hAnsi="Arial" w:cs="Arial"/>
          <w:sz w:val="28"/>
        </w:rPr>
        <w:t>、</w:t>
      </w:r>
      <w:r>
        <w:rPr>
          <w:rFonts w:ascii="Arial" w:eastAsia="仿宋" w:hAnsi="Arial" w:cs="Arial"/>
          <w:sz w:val="28"/>
        </w:rPr>
        <w:t>01-015-2</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01-020</w:t>
      </w:r>
      <w:r>
        <w:rPr>
          <w:rFonts w:ascii="Arial" w:eastAsia="仿宋" w:hAnsi="Arial" w:cs="Arial"/>
          <w:sz w:val="28"/>
        </w:rPr>
        <w:t>、</w:t>
      </w:r>
      <w:r>
        <w:rPr>
          <w:rFonts w:ascii="Arial" w:eastAsia="仿宋" w:hAnsi="Arial" w:cs="Arial"/>
          <w:sz w:val="28"/>
        </w:rPr>
        <w:t>01-025</w:t>
      </w:r>
      <w:r>
        <w:rPr>
          <w:rFonts w:ascii="Arial" w:eastAsia="仿宋" w:hAnsi="Arial" w:cs="Arial"/>
          <w:sz w:val="28"/>
        </w:rPr>
        <w:t>、</w:t>
      </w:r>
      <w:r>
        <w:rPr>
          <w:rFonts w:ascii="Arial" w:eastAsia="仿宋" w:hAnsi="Arial" w:cs="Arial"/>
          <w:sz w:val="28"/>
        </w:rPr>
        <w:t>01-026-1</w:t>
      </w:r>
      <w:r>
        <w:rPr>
          <w:rFonts w:ascii="Arial" w:eastAsia="仿宋" w:hAnsi="Arial" w:cs="Arial"/>
          <w:sz w:val="28"/>
        </w:rPr>
        <w:t>等二类居住用地、托幼用地、商业用地地块</w:t>
      </w:r>
      <w:r>
        <w:rPr>
          <w:rFonts w:ascii="Arial" w:eastAsia="仿宋" w:hAnsi="Arial" w:cs="Arial"/>
          <w:sz w:val="28"/>
        </w:rPr>
        <w:t>“</w:t>
      </w:r>
      <w:r>
        <w:rPr>
          <w:rFonts w:ascii="Arial" w:eastAsia="仿宋" w:hAnsi="Arial" w:cs="Arial"/>
          <w:sz w:val="28"/>
        </w:rPr>
        <w:t>多规合一</w:t>
      </w:r>
      <w:r>
        <w:rPr>
          <w:rFonts w:ascii="Arial" w:eastAsia="仿宋" w:hAnsi="Arial" w:cs="Arial"/>
          <w:sz w:val="28"/>
        </w:rPr>
        <w:t>”</w:t>
      </w:r>
      <w:r>
        <w:rPr>
          <w:rFonts w:ascii="Arial" w:eastAsia="仿宋" w:hAnsi="Arial" w:cs="Arial"/>
          <w:sz w:val="28"/>
        </w:rPr>
        <w:t>协同平台供地审核意见的函》（京</w:t>
      </w:r>
      <w:proofErr w:type="gramStart"/>
      <w:r>
        <w:rPr>
          <w:rFonts w:ascii="Arial" w:eastAsia="仿宋" w:hAnsi="Arial" w:cs="Arial"/>
          <w:sz w:val="28"/>
        </w:rPr>
        <w:t>规</w:t>
      </w:r>
      <w:proofErr w:type="gramEnd"/>
      <w:r>
        <w:rPr>
          <w:rFonts w:ascii="Arial" w:eastAsia="仿宋" w:hAnsi="Arial" w:cs="Arial"/>
          <w:sz w:val="28"/>
        </w:rPr>
        <w:t>自（顺）</w:t>
      </w:r>
      <w:proofErr w:type="gramStart"/>
      <w:r>
        <w:rPr>
          <w:rFonts w:ascii="Arial" w:eastAsia="仿宋" w:hAnsi="Arial" w:cs="Arial"/>
          <w:sz w:val="28"/>
        </w:rPr>
        <w:t>供审函</w:t>
      </w:r>
      <w:proofErr w:type="gramEnd"/>
      <w:r>
        <w:rPr>
          <w:rFonts w:ascii="Arial" w:eastAsia="仿宋" w:hAnsi="Arial" w:cs="Arial"/>
          <w:sz w:val="28"/>
        </w:rPr>
        <w:t>【</w:t>
      </w:r>
      <w:r>
        <w:rPr>
          <w:rFonts w:ascii="Arial" w:eastAsia="仿宋" w:hAnsi="Arial" w:cs="Arial"/>
          <w:sz w:val="28"/>
        </w:rPr>
        <w:t>2023</w:t>
      </w:r>
      <w:r>
        <w:rPr>
          <w:rFonts w:ascii="Arial" w:eastAsia="仿宋" w:hAnsi="Arial" w:cs="Arial"/>
          <w:sz w:val="28"/>
        </w:rPr>
        <w:t>】</w:t>
      </w:r>
      <w:r>
        <w:rPr>
          <w:rFonts w:ascii="Arial" w:eastAsia="仿宋" w:hAnsi="Arial" w:cs="Arial"/>
          <w:sz w:val="28"/>
        </w:rPr>
        <w:t>0004</w:t>
      </w:r>
      <w:r>
        <w:rPr>
          <w:rFonts w:ascii="Arial" w:eastAsia="仿宋" w:hAnsi="Arial" w:cs="Arial"/>
          <w:sz w:val="28"/>
        </w:rPr>
        <w:t>号），该项目合计应配建人防工程建筑面积不小于</w:t>
      </w:r>
      <w:r>
        <w:rPr>
          <w:rFonts w:ascii="Arial" w:eastAsia="仿宋" w:hAnsi="Arial" w:cs="Arial"/>
          <w:sz w:val="28"/>
        </w:rPr>
        <w:t>13674.6</w:t>
      </w:r>
      <w:r>
        <w:rPr>
          <w:rFonts w:ascii="Arial" w:eastAsia="仿宋" w:hAnsi="Arial" w:cs="Arial"/>
          <w:sz w:val="28"/>
        </w:rPr>
        <w:t>平方米，其中</w:t>
      </w:r>
      <w:r>
        <w:rPr>
          <w:rFonts w:ascii="Arial" w:eastAsia="仿宋" w:hAnsi="Arial" w:cs="Arial"/>
          <w:sz w:val="28"/>
        </w:rPr>
        <w:t xml:space="preserve"> 01-008 </w:t>
      </w:r>
      <w:r>
        <w:rPr>
          <w:rFonts w:ascii="Arial" w:eastAsia="仿宋" w:hAnsi="Arial" w:cs="Arial"/>
          <w:sz w:val="28"/>
        </w:rPr>
        <w:t>地块应配建不小于</w:t>
      </w:r>
      <w:r>
        <w:rPr>
          <w:rFonts w:ascii="Arial" w:eastAsia="仿宋" w:hAnsi="Arial" w:cs="Arial"/>
          <w:sz w:val="28"/>
        </w:rPr>
        <w:t>2000</w:t>
      </w:r>
      <w:r>
        <w:rPr>
          <w:rFonts w:ascii="Arial" w:eastAsia="仿宋" w:hAnsi="Arial" w:cs="Arial"/>
          <w:sz w:val="28"/>
        </w:rPr>
        <w:t>平方米二等人员掩蔽所工程；</w:t>
      </w:r>
      <w:r>
        <w:rPr>
          <w:rFonts w:ascii="Arial" w:eastAsia="仿宋" w:hAnsi="Arial" w:cs="Arial"/>
          <w:sz w:val="28"/>
        </w:rPr>
        <w:t xml:space="preserve"> 01-016 </w:t>
      </w:r>
      <w:r>
        <w:rPr>
          <w:rFonts w:ascii="Arial" w:eastAsia="仿宋" w:hAnsi="Arial" w:cs="Arial"/>
          <w:sz w:val="28"/>
        </w:rPr>
        <w:t>地块应配建不小于</w:t>
      </w:r>
      <w:r>
        <w:rPr>
          <w:rFonts w:ascii="Arial" w:eastAsia="仿宋" w:hAnsi="Arial" w:cs="Arial"/>
          <w:sz w:val="28"/>
        </w:rPr>
        <w:t xml:space="preserve"> 3536.3</w:t>
      </w:r>
      <w:r>
        <w:rPr>
          <w:rFonts w:ascii="Arial" w:eastAsia="仿宋" w:hAnsi="Arial" w:cs="Arial"/>
          <w:sz w:val="28"/>
        </w:rPr>
        <w:t>平方米二等人员掩蔽所工程；</w:t>
      </w:r>
      <w:r>
        <w:rPr>
          <w:rFonts w:ascii="Arial" w:eastAsia="仿宋" w:hAnsi="Arial" w:cs="Arial"/>
          <w:sz w:val="28"/>
        </w:rPr>
        <w:t xml:space="preserve"> 01-026-1</w:t>
      </w:r>
      <w:r>
        <w:rPr>
          <w:rFonts w:ascii="Arial" w:eastAsia="仿宋" w:hAnsi="Arial" w:cs="Arial"/>
          <w:sz w:val="28"/>
        </w:rPr>
        <w:t>地块应配建不小于</w:t>
      </w:r>
      <w:r>
        <w:rPr>
          <w:rFonts w:ascii="Arial" w:eastAsia="仿宋" w:hAnsi="Arial" w:cs="Arial"/>
          <w:sz w:val="28"/>
        </w:rPr>
        <w:t>1261.8</w:t>
      </w:r>
      <w:r>
        <w:rPr>
          <w:rFonts w:ascii="Arial" w:eastAsia="仿宋" w:hAnsi="Arial" w:cs="Arial"/>
          <w:sz w:val="28"/>
        </w:rPr>
        <w:t>平方米二等人员掩蔽所工程。</w:t>
      </w:r>
      <w:r>
        <w:rPr>
          <w:rFonts w:ascii="Arial" w:eastAsia="仿宋" w:hAnsi="Arial" w:cs="Arial"/>
          <w:sz w:val="28"/>
        </w:rPr>
        <w:lastRenderedPageBreak/>
        <w:t>将</w:t>
      </w:r>
      <w:r>
        <w:rPr>
          <w:rFonts w:ascii="Arial" w:eastAsia="仿宋" w:hAnsi="Arial" w:cs="Arial"/>
          <w:sz w:val="28"/>
        </w:rPr>
        <w:t xml:space="preserve"> 01-020</w:t>
      </w:r>
      <w:r>
        <w:rPr>
          <w:rFonts w:ascii="Arial" w:eastAsia="仿宋" w:hAnsi="Arial" w:cs="Arial"/>
          <w:sz w:val="28"/>
        </w:rPr>
        <w:t>地块统筹到</w:t>
      </w:r>
      <w:r>
        <w:rPr>
          <w:rFonts w:ascii="Arial" w:eastAsia="仿宋" w:hAnsi="Arial" w:cs="Arial"/>
          <w:sz w:val="28"/>
        </w:rPr>
        <w:t xml:space="preserve"> 01-026-1</w:t>
      </w:r>
      <w:r>
        <w:rPr>
          <w:rFonts w:ascii="Arial" w:eastAsia="仿宋" w:hAnsi="Arial" w:cs="Arial"/>
          <w:sz w:val="28"/>
        </w:rPr>
        <w:t>二等人员掩蔽所工程抗力等级为甲</w:t>
      </w:r>
      <w:r>
        <w:rPr>
          <w:rFonts w:ascii="Arial" w:eastAsia="仿宋" w:hAnsi="Arial" w:cs="Arial"/>
          <w:sz w:val="28"/>
        </w:rPr>
        <w:t>6</w:t>
      </w:r>
      <w:r>
        <w:rPr>
          <w:rFonts w:ascii="Arial" w:eastAsia="仿宋" w:hAnsi="Arial" w:cs="Arial"/>
          <w:sz w:val="28"/>
        </w:rPr>
        <w:t>级，防空专业队队员掩蔽部工程抗力等级为甲</w:t>
      </w:r>
      <w:r>
        <w:rPr>
          <w:rFonts w:ascii="Arial" w:eastAsia="仿宋" w:hAnsi="Arial" w:cs="Arial"/>
          <w:sz w:val="28"/>
        </w:rPr>
        <w:t>5</w:t>
      </w:r>
      <w:r>
        <w:rPr>
          <w:rFonts w:ascii="Arial" w:eastAsia="仿宋" w:hAnsi="Arial" w:cs="Arial"/>
          <w:sz w:val="28"/>
        </w:rPr>
        <w:t>级。</w:t>
      </w:r>
      <w:commentRangeStart w:id="192"/>
    </w:p>
    <w:p w14:paraId="60840475" w14:textId="77777777" w:rsidR="0062768B" w:rsidRDefault="00136729">
      <w:pPr>
        <w:adjustRightInd/>
        <w:spacing w:line="300" w:lineRule="auto"/>
        <w:ind w:firstLineChars="200" w:firstLine="560"/>
        <w:jc w:val="both"/>
        <w:textAlignment w:val="bottom"/>
        <w:rPr>
          <w:rFonts w:ascii="Arial" w:eastAsia="仿宋" w:hAnsi="Arial" w:cs="Arial"/>
          <w:sz w:val="28"/>
          <w:szCs w:val="28"/>
        </w:rPr>
      </w:pPr>
      <w:r>
        <w:rPr>
          <w:rFonts w:ascii="Arial" w:eastAsia="仿宋" w:hAnsi="Arial" w:cs="Arial"/>
          <w:sz w:val="28"/>
        </w:rPr>
        <w:t>（</w:t>
      </w:r>
      <w:r>
        <w:rPr>
          <w:rFonts w:ascii="Arial" w:eastAsia="仿宋" w:hAnsi="Arial" w:cs="Arial"/>
          <w:sz w:val="28"/>
        </w:rPr>
        <w:t>3</w:t>
      </w:r>
      <w:r>
        <w:rPr>
          <w:rFonts w:ascii="Arial" w:eastAsia="仿宋" w:hAnsi="Arial" w:cs="Arial"/>
          <w:sz w:val="28"/>
        </w:rPr>
        <w:t>）根据《北京市人民政府关于顺义区二〇二〇年度批次建设用地的批复》（</w:t>
      </w:r>
      <w:proofErr w:type="gramStart"/>
      <w:r>
        <w:rPr>
          <w:rFonts w:ascii="Arial" w:eastAsia="仿宋" w:hAnsi="Arial" w:cs="Arial"/>
          <w:sz w:val="28"/>
        </w:rPr>
        <w:t>京政地字</w:t>
      </w:r>
      <w:proofErr w:type="gramEnd"/>
      <w:r>
        <w:rPr>
          <w:rFonts w:ascii="Arial" w:eastAsia="仿宋" w:hAnsi="Arial" w:cs="Arial"/>
          <w:sz w:val="28"/>
        </w:rPr>
        <w:t>【</w:t>
      </w:r>
      <w:r>
        <w:rPr>
          <w:rFonts w:ascii="Arial" w:eastAsia="仿宋" w:hAnsi="Arial" w:cs="Arial"/>
          <w:sz w:val="28"/>
        </w:rPr>
        <w:t>2020</w:t>
      </w:r>
      <w:r>
        <w:rPr>
          <w:rFonts w:ascii="Arial" w:eastAsia="仿宋" w:hAnsi="Arial" w:cs="Arial"/>
          <w:sz w:val="28"/>
        </w:rPr>
        <w:t>】</w:t>
      </w:r>
      <w:r>
        <w:rPr>
          <w:rFonts w:ascii="Arial" w:eastAsia="仿宋" w:hAnsi="Arial" w:cs="Arial"/>
          <w:sz w:val="28"/>
        </w:rPr>
        <w:t>121</w:t>
      </w:r>
      <w:r>
        <w:rPr>
          <w:rFonts w:ascii="Arial" w:eastAsia="仿宋" w:hAnsi="Arial" w:cs="Arial"/>
          <w:sz w:val="28"/>
        </w:rPr>
        <w:t>号），北京中交城市开发有限公司为估价对象一级开发主体</w:t>
      </w:r>
      <w:r>
        <w:rPr>
          <w:rFonts w:ascii="Arial" w:eastAsia="仿宋" w:hAnsi="Arial" w:cs="Arial"/>
          <w:sz w:val="28"/>
          <w:szCs w:val="28"/>
        </w:rPr>
        <w:t>。</w:t>
      </w:r>
      <w:commentRangeEnd w:id="192"/>
      <w:r w:rsidR="001336BA">
        <w:rPr>
          <w:rStyle w:val="af6"/>
          <w:lang w:val="zh-CN"/>
        </w:rPr>
        <w:commentReference w:id="192"/>
      </w:r>
    </w:p>
    <w:p w14:paraId="43ABDAD7"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4</w:t>
      </w:r>
      <w:r>
        <w:rPr>
          <w:rFonts w:ascii="Arial" w:eastAsia="仿宋" w:hAnsi="Arial" w:cs="Arial"/>
          <w:sz w:val="28"/>
        </w:rPr>
        <w:t>）根据《北京市人民政府关于更新出让国有建设用地使用权基准地价的通知》（京政发（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号）的要求，土地估价专业评估师以北京市地价动态监测成果公布的地价增长率为准，对基准地价中的熟地价进行期日修正。</w:t>
      </w:r>
    </w:p>
    <w:p w14:paraId="32F737E2" w14:textId="77777777" w:rsidR="0062768B" w:rsidRDefault="00136729">
      <w:pPr>
        <w:adjustRightInd/>
        <w:spacing w:line="300" w:lineRule="auto"/>
        <w:ind w:firstLineChars="200" w:firstLine="560"/>
        <w:jc w:val="both"/>
        <w:textAlignment w:val="bottom"/>
        <w:rPr>
          <w:rFonts w:ascii="Arial" w:eastAsia="仿宋" w:hAnsi="Arial" w:cs="Arial"/>
          <w:sz w:val="28"/>
          <w:lang w:val="zh-CN"/>
        </w:rPr>
      </w:pPr>
      <w:r>
        <w:rPr>
          <w:rFonts w:ascii="Arial" w:eastAsia="仿宋" w:hAnsi="Arial" w:cs="Arial"/>
          <w:sz w:val="28"/>
        </w:rPr>
        <w:t>（</w:t>
      </w:r>
      <w:r>
        <w:rPr>
          <w:rFonts w:ascii="Arial" w:eastAsia="仿宋" w:hAnsi="Arial" w:cs="Arial"/>
          <w:sz w:val="28"/>
        </w:rPr>
        <w:t>5</w:t>
      </w:r>
      <w:r>
        <w:rPr>
          <w:rFonts w:ascii="Arial" w:eastAsia="仿宋" w:hAnsi="Arial" w:cs="Arial"/>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sz w:val="28"/>
        </w:rPr>
        <w:t>的征收率计税。</w:t>
      </w:r>
    </w:p>
    <w:p w14:paraId="5127A168"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6</w:t>
      </w:r>
      <w:r>
        <w:rPr>
          <w:rFonts w:ascii="Arial" w:eastAsia="仿宋"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7867F77B"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3.</w:t>
      </w:r>
      <w:r>
        <w:rPr>
          <w:rFonts w:ascii="Arial" w:eastAsia="仿宋" w:hAnsi="Arial" w:cs="Arial"/>
          <w:sz w:val="28"/>
        </w:rPr>
        <w:t>其他说明</w:t>
      </w:r>
    </w:p>
    <w:p w14:paraId="478E2EAE"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1</w:t>
      </w:r>
      <w:r>
        <w:rPr>
          <w:rFonts w:ascii="Arial" w:eastAsia="仿宋" w:hAnsi="Arial" w:cs="Arial"/>
          <w:sz w:val="28"/>
        </w:rPr>
        <w:t>）估价对象范围根据《国有建设用地使用权出让地价评估委托书》中确定。</w:t>
      </w:r>
    </w:p>
    <w:p w14:paraId="34A1B2F0"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2</w:t>
      </w:r>
      <w:r>
        <w:rPr>
          <w:rFonts w:ascii="Arial" w:eastAsia="仿宋" w:hAnsi="Arial" w:cs="Arial"/>
          <w:sz w:val="28"/>
        </w:rPr>
        <w:t>）本评估报告仅为出让方通过集体决策确定土地出让底价提供参考依据，最终应缴纳的地价款以北京市规划和自然资源委员会公布结果为准。</w:t>
      </w:r>
    </w:p>
    <w:p w14:paraId="3A5A5FFA" w14:textId="77777777" w:rsidR="0062768B" w:rsidRDefault="00136729">
      <w:pPr>
        <w:adjustRightInd/>
        <w:spacing w:line="300" w:lineRule="auto"/>
        <w:ind w:firstLineChars="200" w:firstLine="560"/>
        <w:jc w:val="both"/>
        <w:textAlignment w:val="bottom"/>
        <w:rPr>
          <w:rFonts w:ascii="Arial" w:eastAsia="仿宋" w:hAnsi="Arial" w:cs="Arial"/>
          <w:sz w:val="28"/>
        </w:rPr>
        <w:sectPr w:rsidR="0062768B">
          <w:headerReference w:type="default" r:id="rId48"/>
          <w:footerReference w:type="default" r:id="rId49"/>
          <w:headerReference w:type="first" r:id="rId50"/>
          <w:type w:val="nextColumn"/>
          <w:pgSz w:w="11907" w:h="16840"/>
          <w:pgMar w:top="1418" w:right="1418" w:bottom="1134" w:left="1418" w:header="794" w:footer="907" w:gutter="0"/>
          <w:cols w:space="425"/>
          <w:docGrid w:linePitch="326"/>
        </w:sectPr>
      </w:pPr>
      <w:r>
        <w:rPr>
          <w:rFonts w:ascii="Arial" w:eastAsia="仿宋" w:hAnsi="Arial" w:cs="Arial"/>
          <w:sz w:val="28"/>
        </w:rPr>
        <w:t>（</w:t>
      </w:r>
      <w:r>
        <w:rPr>
          <w:rFonts w:ascii="Arial" w:eastAsia="仿宋" w:hAnsi="Arial" w:cs="Arial"/>
          <w:sz w:val="28"/>
        </w:rPr>
        <w:t>3</w:t>
      </w:r>
      <w:r>
        <w:rPr>
          <w:rFonts w:ascii="Arial" w:eastAsia="仿宋" w:hAnsi="Arial" w:cs="Arial"/>
          <w:sz w:val="28"/>
        </w:rPr>
        <w:t>）根据估价目的，此次评估在符合《城镇土地估价规程》（</w:t>
      </w:r>
      <w:r>
        <w:rPr>
          <w:rFonts w:ascii="Arial" w:eastAsia="仿宋" w:hAnsi="Arial" w:cs="Arial"/>
          <w:sz w:val="28"/>
        </w:rPr>
        <w:t>GB/T 18508-2014</w:t>
      </w:r>
      <w:r>
        <w:rPr>
          <w:rFonts w:ascii="Arial" w:eastAsia="仿宋" w:hAnsi="Arial" w:cs="Arial"/>
          <w:sz w:val="28"/>
        </w:rPr>
        <w:t>）和《国土资源部办公厅关于印发〈国有建设用地使用权出让地价评估技术规范〉的通知》（</w:t>
      </w:r>
      <w:proofErr w:type="gramStart"/>
      <w:r>
        <w:rPr>
          <w:rFonts w:ascii="Arial" w:eastAsia="仿宋" w:hAnsi="Arial" w:cs="Arial"/>
          <w:sz w:val="28"/>
        </w:rPr>
        <w:t>国土资厅发</w:t>
      </w:r>
      <w:proofErr w:type="gramEnd"/>
      <w:r>
        <w:rPr>
          <w:rFonts w:ascii="Arial" w:eastAsia="仿宋" w:hAnsi="Arial" w:cs="Arial"/>
          <w:sz w:val="28"/>
        </w:rPr>
        <w:t>（</w:t>
      </w:r>
      <w:r>
        <w:rPr>
          <w:rFonts w:ascii="Arial" w:eastAsia="仿宋" w:hAnsi="Arial" w:cs="Arial"/>
          <w:sz w:val="28"/>
        </w:rPr>
        <w:t>2018</w:t>
      </w:r>
      <w:r>
        <w:rPr>
          <w:rFonts w:ascii="Arial" w:eastAsia="仿宋" w:hAnsi="Arial" w:cs="Arial"/>
          <w:sz w:val="28"/>
        </w:rPr>
        <w:t>）</w:t>
      </w:r>
      <w:r>
        <w:rPr>
          <w:rFonts w:ascii="Arial" w:eastAsia="仿宋" w:hAnsi="Arial" w:cs="Arial"/>
          <w:sz w:val="28"/>
        </w:rPr>
        <w:t>4</w:t>
      </w:r>
      <w:r>
        <w:rPr>
          <w:rFonts w:ascii="Arial" w:eastAsia="仿宋" w:hAnsi="Arial" w:cs="Arial"/>
          <w:sz w:val="28"/>
        </w:rPr>
        <w:t>号）原则性要求的基础上，还需满足《北京市人民政府关于更新出让国有建设用地使用权基准地价的通知》（京政发（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号）、《关于印发北京市国有建设用地使用权出让地价评审暂行规定的通知》（京国土用（</w:t>
      </w:r>
      <w:r>
        <w:rPr>
          <w:rFonts w:ascii="Arial" w:eastAsia="仿宋" w:hAnsi="Arial" w:cs="Arial"/>
          <w:sz w:val="28"/>
        </w:rPr>
        <w:t>2015</w:t>
      </w:r>
      <w:r>
        <w:rPr>
          <w:rFonts w:ascii="Arial" w:eastAsia="仿宋" w:hAnsi="Arial" w:cs="Arial"/>
          <w:sz w:val="28"/>
        </w:rPr>
        <w:t>）</w:t>
      </w:r>
      <w:r>
        <w:rPr>
          <w:rFonts w:ascii="Arial" w:eastAsia="仿宋" w:hAnsi="Arial" w:cs="Arial"/>
          <w:sz w:val="28"/>
        </w:rPr>
        <w:t>87</w:t>
      </w:r>
      <w:r>
        <w:rPr>
          <w:rFonts w:ascii="Arial" w:eastAsia="仿宋" w:hAnsi="Arial" w:cs="Arial"/>
          <w:sz w:val="28"/>
        </w:rPr>
        <w:t>号）和《北京市国土资源局关于出让国有建设用地使用权基准地价应用有关问题的公告》的要求，</w:t>
      </w:r>
      <w:proofErr w:type="gramStart"/>
      <w:r>
        <w:rPr>
          <w:rFonts w:ascii="Arial" w:eastAsia="仿宋" w:hAnsi="Arial" w:cs="Arial"/>
          <w:sz w:val="28"/>
        </w:rPr>
        <w:t>故报告</w:t>
      </w:r>
      <w:proofErr w:type="gramEnd"/>
      <w:r>
        <w:rPr>
          <w:rFonts w:ascii="Arial" w:eastAsia="仿宋" w:hAnsi="Arial" w:cs="Arial"/>
          <w:sz w:val="28"/>
        </w:rPr>
        <w:t>格式和具体表述在《城镇土地估价规程》（</w:t>
      </w:r>
      <w:r>
        <w:rPr>
          <w:rFonts w:ascii="Arial" w:eastAsia="仿宋" w:hAnsi="Arial" w:cs="Arial"/>
          <w:sz w:val="28"/>
        </w:rPr>
        <w:t>GB/T 18508-2014</w:t>
      </w:r>
      <w:r>
        <w:rPr>
          <w:rFonts w:ascii="Arial" w:eastAsia="仿宋" w:hAnsi="Arial" w:cs="Arial"/>
          <w:sz w:val="28"/>
        </w:rPr>
        <w:t>）规范格式基础上，有所拓展和补充。</w:t>
      </w:r>
    </w:p>
    <w:p w14:paraId="3820DBE7" w14:textId="77777777" w:rsidR="0062768B" w:rsidRDefault="00136729">
      <w:pPr>
        <w:spacing w:line="300" w:lineRule="auto"/>
        <w:jc w:val="center"/>
        <w:outlineLvl w:val="0"/>
        <w:rPr>
          <w:rFonts w:ascii="Arial" w:hAnsi="Arial" w:cs="Arial"/>
          <w:b/>
          <w:sz w:val="32"/>
        </w:rPr>
      </w:pPr>
      <w:bookmarkStart w:id="193" w:name="_Toc132016738"/>
      <w:bookmarkStart w:id="194" w:name="_Toc138063009"/>
      <w:bookmarkEnd w:id="184"/>
      <w:bookmarkEnd w:id="185"/>
      <w:bookmarkEnd w:id="186"/>
      <w:bookmarkEnd w:id="187"/>
      <w:bookmarkEnd w:id="189"/>
      <w:bookmarkEnd w:id="190"/>
      <w:bookmarkEnd w:id="191"/>
      <w:r>
        <w:rPr>
          <w:rFonts w:ascii="Arial" w:hAnsi="Arial" w:cs="Arial"/>
          <w:b/>
          <w:sz w:val="32"/>
        </w:rPr>
        <w:lastRenderedPageBreak/>
        <w:t>第四部分</w:t>
      </w:r>
      <w:r>
        <w:rPr>
          <w:rFonts w:ascii="Arial" w:eastAsia="仿宋_GB2312" w:hAnsi="Arial" w:cs="Arial"/>
          <w:b/>
          <w:sz w:val="32"/>
        </w:rPr>
        <w:t xml:space="preserve">  </w:t>
      </w:r>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193"/>
      <w:bookmarkEnd w:id="194"/>
    </w:p>
    <w:p w14:paraId="5FA0FDD7" w14:textId="77777777" w:rsidR="0062768B" w:rsidRDefault="00136729">
      <w:pPr>
        <w:numPr>
          <w:ilvl w:val="0"/>
          <w:numId w:val="10"/>
        </w:numPr>
        <w:spacing w:line="300" w:lineRule="auto"/>
        <w:jc w:val="both"/>
        <w:rPr>
          <w:rFonts w:ascii="Arial" w:eastAsia="仿宋_GB2312" w:hAnsi="Arial" w:cs="Arial"/>
          <w:sz w:val="28"/>
        </w:rPr>
      </w:pPr>
      <w:r>
        <w:rPr>
          <w:rFonts w:ascii="Arial" w:eastAsia="仿宋_GB2312" w:hAnsi="Arial" w:cs="Arial"/>
          <w:sz w:val="28"/>
        </w:rPr>
        <w:t>《国有建设用地使用权出让地价评估委托书》复印件</w:t>
      </w:r>
    </w:p>
    <w:p w14:paraId="3E37018A" w14:textId="77777777" w:rsidR="0062768B" w:rsidRDefault="00136729">
      <w:pPr>
        <w:numPr>
          <w:ilvl w:val="0"/>
          <w:numId w:val="10"/>
        </w:numPr>
        <w:spacing w:line="300" w:lineRule="auto"/>
        <w:jc w:val="both"/>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估价对象所在位置示意图</w:t>
      </w:r>
    </w:p>
    <w:p w14:paraId="5F42DC34" w14:textId="77777777" w:rsidR="0062768B" w:rsidRDefault="00136729">
      <w:pPr>
        <w:numPr>
          <w:ilvl w:val="0"/>
          <w:numId w:val="10"/>
        </w:numPr>
        <w:spacing w:line="300" w:lineRule="auto"/>
        <w:jc w:val="both"/>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估价对象实地勘察情况和相关照片</w:t>
      </w:r>
    </w:p>
    <w:p w14:paraId="2306A543" w14:textId="77777777" w:rsidR="0062768B" w:rsidRDefault="00136729">
      <w:pPr>
        <w:numPr>
          <w:ilvl w:val="0"/>
          <w:numId w:val="10"/>
        </w:numPr>
        <w:spacing w:line="300" w:lineRule="auto"/>
        <w:jc w:val="both"/>
        <w:rPr>
          <w:rFonts w:ascii="Arial" w:eastAsia="仿宋_GB2312" w:hAnsi="Arial" w:cs="Arial"/>
          <w:sz w:val="28"/>
        </w:rPr>
      </w:pPr>
      <w:r>
        <w:rPr>
          <w:rFonts w:ascii="Arial" w:eastAsia="仿宋_GB2312" w:hAnsi="Arial" w:cs="Arial" w:hint="eastAsia"/>
          <w:sz w:val="28"/>
        </w:rPr>
        <w:t>《北京市</w:t>
      </w:r>
      <w:r>
        <w:rPr>
          <w:rFonts w:ascii="Arial" w:eastAsia="仿宋_GB2312" w:hAnsi="Arial" w:cs="Arial"/>
          <w:sz w:val="28"/>
        </w:rPr>
        <w:t>规划和</w:t>
      </w:r>
      <w:r>
        <w:rPr>
          <w:rFonts w:ascii="Arial" w:eastAsia="仿宋_GB2312" w:hAnsi="Arial" w:cs="Arial" w:hint="eastAsia"/>
          <w:sz w:val="28"/>
        </w:rPr>
        <w:t>国土</w:t>
      </w:r>
      <w:r>
        <w:rPr>
          <w:rFonts w:ascii="Arial" w:eastAsia="仿宋_GB2312" w:hAnsi="Arial" w:cs="Arial"/>
          <w:sz w:val="28"/>
        </w:rPr>
        <w:t>资源管理委员会建设项目规划条件（</w:t>
      </w:r>
      <w:r>
        <w:rPr>
          <w:rFonts w:ascii="Arial" w:eastAsia="仿宋_GB2312" w:hAnsi="Arial" w:cs="Arial" w:hint="eastAsia"/>
          <w:sz w:val="28"/>
        </w:rPr>
        <w:t>土地</w:t>
      </w:r>
      <w:r>
        <w:rPr>
          <w:rFonts w:ascii="Arial" w:eastAsia="仿宋_GB2312" w:hAnsi="Arial" w:cs="Arial"/>
          <w:sz w:val="28"/>
        </w:rPr>
        <w:t>储备</w:t>
      </w:r>
      <w:r>
        <w:rPr>
          <w:rFonts w:ascii="Arial" w:eastAsia="仿宋_GB2312" w:hAnsi="Arial" w:cs="Arial" w:hint="eastAsia"/>
          <w:sz w:val="28"/>
        </w:rPr>
        <w:t>前期</w:t>
      </w:r>
      <w:r>
        <w:rPr>
          <w:rFonts w:ascii="Arial" w:eastAsia="仿宋_GB2312" w:hAnsi="Arial" w:cs="Arial"/>
          <w:sz w:val="28"/>
        </w:rPr>
        <w:t>整理）</w:t>
      </w:r>
      <w:r>
        <w:rPr>
          <w:rFonts w:ascii="Arial" w:eastAsia="仿宋_GB2312" w:hAnsi="Arial" w:cs="Arial" w:hint="eastAsia"/>
          <w:sz w:val="28"/>
        </w:rPr>
        <w:t>》（</w:t>
      </w:r>
      <w:r>
        <w:rPr>
          <w:rFonts w:ascii="Arial" w:eastAsia="仿宋_GB2312" w:hAnsi="Arial" w:cs="Arial" w:hint="eastAsia"/>
          <w:sz w:val="28"/>
        </w:rPr>
        <w:t>2017</w:t>
      </w:r>
      <w:proofErr w:type="gramStart"/>
      <w:r>
        <w:rPr>
          <w:rFonts w:ascii="Arial" w:eastAsia="仿宋_GB2312" w:hAnsi="Arial" w:cs="Arial" w:hint="eastAsia"/>
          <w:sz w:val="28"/>
        </w:rPr>
        <w:t>规</w:t>
      </w:r>
      <w:proofErr w:type="gramEnd"/>
      <w:r>
        <w:rPr>
          <w:rFonts w:ascii="Arial" w:eastAsia="仿宋_GB2312" w:hAnsi="Arial" w:cs="Arial"/>
          <w:sz w:val="28"/>
        </w:rPr>
        <w:t>（</w:t>
      </w:r>
      <w:r>
        <w:rPr>
          <w:rFonts w:ascii="Arial" w:eastAsia="仿宋_GB2312" w:hAnsi="Arial" w:cs="Arial" w:hint="eastAsia"/>
          <w:sz w:val="28"/>
        </w:rPr>
        <w:t>顺</w:t>
      </w:r>
      <w:r>
        <w:rPr>
          <w:rFonts w:ascii="Arial" w:eastAsia="仿宋_GB2312" w:hAnsi="Arial" w:cs="Arial"/>
          <w:sz w:val="28"/>
        </w:rPr>
        <w:t>）</w:t>
      </w:r>
      <w:r>
        <w:rPr>
          <w:rFonts w:ascii="Arial" w:eastAsia="仿宋_GB2312" w:hAnsi="Arial" w:cs="Arial" w:hint="eastAsia"/>
          <w:sz w:val="28"/>
        </w:rPr>
        <w:t>条</w:t>
      </w:r>
      <w:r>
        <w:rPr>
          <w:rFonts w:ascii="Arial" w:eastAsia="仿宋_GB2312" w:hAnsi="Arial" w:cs="Arial"/>
          <w:sz w:val="28"/>
        </w:rPr>
        <w:t>整字</w:t>
      </w:r>
      <w:r>
        <w:rPr>
          <w:rFonts w:ascii="Arial" w:eastAsia="仿宋_GB2312" w:hAnsi="Arial" w:cs="Arial" w:hint="eastAsia"/>
          <w:sz w:val="28"/>
        </w:rPr>
        <w:t>0006</w:t>
      </w:r>
      <w:r>
        <w:rPr>
          <w:rFonts w:ascii="Arial" w:eastAsia="仿宋_GB2312" w:hAnsi="Arial" w:cs="Arial" w:hint="eastAsia"/>
          <w:sz w:val="28"/>
        </w:rPr>
        <w:t>号）复印件</w:t>
      </w:r>
    </w:p>
    <w:p w14:paraId="50FEC42B" w14:textId="77777777" w:rsidR="0062768B" w:rsidRDefault="00136729">
      <w:pPr>
        <w:numPr>
          <w:ilvl w:val="0"/>
          <w:numId w:val="10"/>
        </w:numPr>
        <w:spacing w:line="300" w:lineRule="auto"/>
        <w:jc w:val="both"/>
        <w:rPr>
          <w:rFonts w:ascii="Arial" w:eastAsia="仿宋_GB2312" w:hAnsi="Arial" w:cs="Arial"/>
          <w:sz w:val="28"/>
        </w:rPr>
      </w:pPr>
      <w:r>
        <w:rPr>
          <w:rFonts w:ascii="Arial" w:eastAsia="仿宋_GB2312" w:hAnsi="Arial" w:cs="Arial" w:hint="eastAsia"/>
          <w:sz w:val="28"/>
        </w:rPr>
        <w:t>《北京市</w:t>
      </w:r>
      <w:r>
        <w:rPr>
          <w:rFonts w:ascii="Arial" w:eastAsia="仿宋_GB2312" w:hAnsi="Arial" w:cs="Arial"/>
          <w:sz w:val="28"/>
        </w:rPr>
        <w:t>规划和自然资源会员会顺义分局关于顺义区高丽营镇夏县营村棚户区改造土地</w:t>
      </w:r>
      <w:r>
        <w:rPr>
          <w:rFonts w:ascii="Arial" w:eastAsia="仿宋_GB2312" w:hAnsi="Arial" w:cs="Arial" w:hint="eastAsia"/>
          <w:sz w:val="28"/>
        </w:rPr>
        <w:t>开发</w:t>
      </w:r>
      <w:r>
        <w:rPr>
          <w:rFonts w:ascii="Arial" w:eastAsia="仿宋_GB2312" w:hAnsi="Arial" w:cs="Arial"/>
          <w:sz w:val="28"/>
        </w:rPr>
        <w:t>项目调整建设项目规划条件的复函</w:t>
      </w:r>
      <w:r>
        <w:rPr>
          <w:rFonts w:ascii="Arial" w:eastAsia="仿宋_GB2312" w:hAnsi="Arial" w:cs="Arial" w:hint="eastAsia"/>
          <w:sz w:val="28"/>
        </w:rPr>
        <w:t>》（京</w:t>
      </w:r>
      <w:proofErr w:type="gramStart"/>
      <w:r>
        <w:rPr>
          <w:rFonts w:ascii="Arial" w:eastAsia="仿宋_GB2312" w:hAnsi="Arial" w:cs="Arial"/>
          <w:sz w:val="28"/>
        </w:rPr>
        <w:t>规自顺</w:t>
      </w:r>
      <w:r>
        <w:rPr>
          <w:rFonts w:ascii="Arial" w:eastAsia="仿宋_GB2312" w:hAnsi="Arial" w:cs="Arial" w:hint="eastAsia"/>
          <w:sz w:val="28"/>
        </w:rPr>
        <w:t>函</w:t>
      </w:r>
      <w:r>
        <w:rPr>
          <w:rFonts w:ascii="Arial" w:eastAsia="仿宋_GB2312" w:hAnsi="Arial" w:cs="Arial"/>
          <w:sz w:val="28"/>
        </w:rPr>
        <w:t>【</w:t>
      </w:r>
      <w:r>
        <w:rPr>
          <w:rFonts w:ascii="Arial" w:eastAsia="仿宋_GB2312" w:hAnsi="Arial" w:cs="Arial" w:hint="eastAsia"/>
          <w:sz w:val="28"/>
        </w:rPr>
        <w:t>2019</w:t>
      </w:r>
      <w:r>
        <w:rPr>
          <w:rFonts w:ascii="Arial" w:eastAsia="仿宋_GB2312" w:hAnsi="Arial" w:cs="Arial"/>
          <w:sz w:val="28"/>
        </w:rPr>
        <w:t>】</w:t>
      </w:r>
      <w:proofErr w:type="gramEnd"/>
      <w:r>
        <w:rPr>
          <w:rFonts w:ascii="Arial" w:eastAsia="仿宋_GB2312" w:hAnsi="Arial" w:cs="Arial" w:hint="eastAsia"/>
          <w:sz w:val="28"/>
        </w:rPr>
        <w:t>153</w:t>
      </w:r>
      <w:r>
        <w:rPr>
          <w:rFonts w:ascii="Arial" w:eastAsia="仿宋_GB2312" w:hAnsi="Arial" w:cs="Arial" w:hint="eastAsia"/>
          <w:sz w:val="28"/>
        </w:rPr>
        <w:t>号）复印件</w:t>
      </w:r>
    </w:p>
    <w:p w14:paraId="58B894BD" w14:textId="77777777" w:rsidR="0062768B" w:rsidRDefault="00136729">
      <w:pPr>
        <w:numPr>
          <w:ilvl w:val="0"/>
          <w:numId w:val="10"/>
        </w:numPr>
        <w:spacing w:line="300" w:lineRule="auto"/>
        <w:jc w:val="both"/>
        <w:rPr>
          <w:rFonts w:ascii="Arial" w:eastAsia="仿宋_GB2312" w:hAnsi="Arial" w:cs="Arial"/>
          <w:sz w:val="28"/>
        </w:rPr>
      </w:pPr>
      <w:r>
        <w:rPr>
          <w:rFonts w:ascii="Arial" w:eastAsia="仿宋_GB2312" w:hAnsi="Arial" w:cs="Arial" w:hint="eastAsia"/>
          <w:sz w:val="28"/>
        </w:rPr>
        <w:t>《北京市人民政府关于顺义区二</w:t>
      </w:r>
      <w:r>
        <w:rPr>
          <w:rFonts w:ascii="微软雅黑" w:eastAsia="微软雅黑" w:hAnsi="微软雅黑" w:cs="微软雅黑" w:hint="eastAsia"/>
          <w:sz w:val="28"/>
        </w:rPr>
        <w:t>〇</w:t>
      </w:r>
      <w:r>
        <w:rPr>
          <w:rFonts w:ascii="Arial" w:eastAsia="仿宋_GB2312" w:hAnsi="Arial" w:cs="Arial" w:hint="eastAsia"/>
          <w:sz w:val="28"/>
        </w:rPr>
        <w:t>二</w:t>
      </w:r>
      <w:r>
        <w:rPr>
          <w:rFonts w:ascii="微软雅黑" w:eastAsia="微软雅黑" w:hAnsi="微软雅黑" w:cs="微软雅黑" w:hint="eastAsia"/>
          <w:sz w:val="28"/>
        </w:rPr>
        <w:t>〇</w:t>
      </w:r>
      <w:r>
        <w:rPr>
          <w:rFonts w:ascii="Arial" w:eastAsia="仿宋_GB2312" w:hAnsi="Arial" w:cs="Arial" w:hint="eastAsia"/>
          <w:sz w:val="28"/>
        </w:rPr>
        <w:t>年度批次建设用地的批复》（</w:t>
      </w:r>
      <w:proofErr w:type="gramStart"/>
      <w:r>
        <w:rPr>
          <w:rFonts w:ascii="仿宋_GB2312" w:eastAsia="仿宋_GB2312" w:hAnsi="仿宋_GB2312" w:cs="仿宋_GB2312" w:hint="eastAsia"/>
          <w:spacing w:val="-6"/>
          <w:sz w:val="28"/>
        </w:rPr>
        <w:t>京政地字</w:t>
      </w:r>
      <w:proofErr w:type="gramEnd"/>
      <w:r>
        <w:rPr>
          <w:rFonts w:ascii="仿宋_GB2312" w:eastAsia="仿宋_GB2312" w:hAnsi="仿宋_GB2312" w:cs="仿宋_GB2312" w:hint="eastAsia"/>
          <w:spacing w:val="-6"/>
          <w:sz w:val="28"/>
        </w:rPr>
        <w:t>【</w:t>
      </w:r>
      <w:r>
        <w:rPr>
          <w:rFonts w:ascii="Arial" w:eastAsia="仿宋_GB2312" w:hAnsi="Arial" w:cs="Arial" w:hint="eastAsia"/>
          <w:sz w:val="28"/>
        </w:rPr>
        <w:t>2020</w:t>
      </w:r>
      <w:r>
        <w:rPr>
          <w:rFonts w:ascii="Arial" w:eastAsia="仿宋_GB2312" w:hAnsi="Arial" w:cs="Arial" w:hint="eastAsia"/>
          <w:sz w:val="28"/>
        </w:rPr>
        <w:t>】</w:t>
      </w:r>
      <w:r>
        <w:rPr>
          <w:rFonts w:ascii="Arial" w:eastAsia="仿宋_GB2312" w:hAnsi="Arial" w:cs="Arial" w:hint="eastAsia"/>
          <w:sz w:val="28"/>
        </w:rPr>
        <w:t>121</w:t>
      </w:r>
      <w:r>
        <w:rPr>
          <w:rFonts w:ascii="仿宋_GB2312" w:eastAsia="仿宋_GB2312" w:hAnsi="仿宋_GB2312" w:cs="仿宋_GB2312" w:hint="eastAsia"/>
          <w:spacing w:val="-6"/>
          <w:sz w:val="28"/>
        </w:rPr>
        <w:t>号）</w:t>
      </w:r>
      <w:r>
        <w:rPr>
          <w:rFonts w:ascii="Arial" w:eastAsia="仿宋_GB2312" w:hAnsi="Arial" w:cs="Arial" w:hint="eastAsia"/>
          <w:spacing w:val="-6"/>
          <w:sz w:val="28"/>
        </w:rPr>
        <w:t>复印件</w:t>
      </w:r>
    </w:p>
    <w:p w14:paraId="3C2EFED0" w14:textId="033DC7D8" w:rsidR="0062768B" w:rsidRDefault="00791FE1">
      <w:pPr>
        <w:numPr>
          <w:ilvl w:val="0"/>
          <w:numId w:val="10"/>
        </w:numPr>
        <w:spacing w:line="300" w:lineRule="auto"/>
        <w:jc w:val="both"/>
        <w:rPr>
          <w:rFonts w:ascii="Arial" w:eastAsia="仿宋_GB2312" w:hAnsi="Arial" w:cs="Arial"/>
          <w:sz w:val="28"/>
        </w:rPr>
      </w:pPr>
      <w:r>
        <w:rPr>
          <w:rFonts w:ascii="Arial" w:eastAsia="仿宋_GB2312" w:hAnsi="Arial" w:cs="Arial"/>
          <w:sz w:val="28"/>
        </w:rPr>
        <w:t>《北京市顺义区人民政府关于顺义区高丽营镇夏县营村棚户区改造土地开发项目</w:t>
      </w:r>
      <w:r>
        <w:rPr>
          <w:rFonts w:ascii="Arial" w:eastAsia="仿宋_GB2312" w:hAnsi="Arial" w:cs="Arial"/>
          <w:sz w:val="28"/>
        </w:rPr>
        <w:t>01-008</w:t>
      </w:r>
      <w:r>
        <w:rPr>
          <w:rFonts w:ascii="Arial" w:eastAsia="仿宋_GB2312" w:hAnsi="Arial" w:cs="Arial"/>
          <w:sz w:val="28"/>
        </w:rPr>
        <w:t>、</w:t>
      </w:r>
      <w:r>
        <w:rPr>
          <w:rFonts w:ascii="Arial" w:eastAsia="仿宋_GB2312" w:hAnsi="Arial" w:cs="Arial"/>
          <w:sz w:val="28"/>
        </w:rPr>
        <w:t>01-016</w:t>
      </w:r>
      <w:r>
        <w:rPr>
          <w:rFonts w:ascii="Arial" w:eastAsia="仿宋_GB2312" w:hAnsi="Arial" w:cs="Arial"/>
          <w:sz w:val="28"/>
        </w:rPr>
        <w:t>、</w:t>
      </w:r>
      <w:r>
        <w:rPr>
          <w:rFonts w:ascii="Arial" w:eastAsia="仿宋_GB2312" w:hAnsi="Arial" w:cs="Arial"/>
          <w:sz w:val="28"/>
        </w:rPr>
        <w:t>01-026-1</w:t>
      </w:r>
      <w:r>
        <w:rPr>
          <w:rFonts w:ascii="Arial" w:eastAsia="仿宋_GB2312" w:hAnsi="Arial" w:cs="Arial"/>
          <w:sz w:val="28"/>
        </w:rPr>
        <w:t>、</w:t>
      </w:r>
      <w:r>
        <w:rPr>
          <w:rFonts w:ascii="Arial" w:eastAsia="仿宋_GB2312" w:hAnsi="Arial" w:cs="Arial"/>
          <w:sz w:val="28"/>
        </w:rPr>
        <w:t>01-020</w:t>
      </w:r>
      <w:r>
        <w:rPr>
          <w:rFonts w:ascii="Arial" w:eastAsia="仿宋_GB2312" w:hAnsi="Arial" w:cs="Arial"/>
          <w:sz w:val="28"/>
        </w:rPr>
        <w:t>地块提请地价审核有关事宜的函》（</w:t>
      </w:r>
      <w:proofErr w:type="gramStart"/>
      <w:r>
        <w:rPr>
          <w:rFonts w:ascii="Arial" w:eastAsia="仿宋_GB2312" w:hAnsi="Arial" w:cs="Arial"/>
          <w:sz w:val="28"/>
        </w:rPr>
        <w:t>顺政函</w:t>
      </w:r>
      <w:proofErr w:type="gramEnd"/>
      <w:r>
        <w:rPr>
          <w:rFonts w:ascii="Arial" w:eastAsia="仿宋_GB2312" w:hAnsi="Arial" w:cs="Arial"/>
          <w:sz w:val="28"/>
        </w:rPr>
        <w:t>【</w:t>
      </w:r>
      <w:r>
        <w:rPr>
          <w:rFonts w:ascii="Arial" w:eastAsia="仿宋_GB2312" w:hAnsi="Arial" w:cs="Arial"/>
          <w:sz w:val="28"/>
        </w:rPr>
        <w:t>2023</w:t>
      </w:r>
      <w:r>
        <w:rPr>
          <w:rFonts w:ascii="Arial" w:eastAsia="仿宋_GB2312" w:hAnsi="Arial" w:cs="Arial"/>
          <w:sz w:val="28"/>
        </w:rPr>
        <w:t>】</w:t>
      </w:r>
      <w:r>
        <w:rPr>
          <w:rFonts w:ascii="Arial" w:eastAsia="仿宋_GB2312" w:hAnsi="Arial" w:cs="Arial"/>
          <w:sz w:val="28"/>
        </w:rPr>
        <w:t>151</w:t>
      </w:r>
      <w:r>
        <w:rPr>
          <w:rFonts w:ascii="Arial" w:eastAsia="仿宋_GB2312" w:hAnsi="Arial" w:cs="Arial"/>
          <w:sz w:val="28"/>
        </w:rPr>
        <w:t>号）</w:t>
      </w:r>
      <w:r w:rsidR="00136729">
        <w:rPr>
          <w:rFonts w:ascii="Arial" w:eastAsia="仿宋_GB2312" w:hAnsi="Arial" w:cs="Arial"/>
          <w:sz w:val="28"/>
        </w:rPr>
        <w:t>复印件</w:t>
      </w:r>
    </w:p>
    <w:p w14:paraId="71F23778" w14:textId="77777777" w:rsidR="0062768B" w:rsidRDefault="00136729">
      <w:pPr>
        <w:numPr>
          <w:ilvl w:val="0"/>
          <w:numId w:val="10"/>
        </w:numPr>
        <w:spacing w:line="300" w:lineRule="auto"/>
        <w:jc w:val="both"/>
        <w:rPr>
          <w:rFonts w:ascii="Arial" w:eastAsia="仿宋_GB2312" w:hAnsi="Arial" w:cs="Arial"/>
          <w:sz w:val="28"/>
        </w:rPr>
      </w:pPr>
      <w:r>
        <w:rPr>
          <w:rFonts w:ascii="Arial" w:eastAsia="仿宋_GB2312" w:hAnsi="Arial" w:cs="Arial"/>
          <w:sz w:val="28"/>
        </w:rPr>
        <w:t>《北京市规划和自然资源委员会顺义分局关于顺义区高丽营镇夏县营村棚户区改造土地开发项目</w:t>
      </w:r>
      <w:r>
        <w:rPr>
          <w:rFonts w:ascii="Arial" w:eastAsia="仿宋_GB2312" w:hAnsi="Arial" w:cs="Arial"/>
          <w:sz w:val="28"/>
        </w:rPr>
        <w:t>01-008</w:t>
      </w:r>
      <w:r>
        <w:rPr>
          <w:rFonts w:ascii="Arial" w:eastAsia="仿宋_GB2312" w:hAnsi="Arial" w:cs="Arial"/>
          <w:sz w:val="28"/>
        </w:rPr>
        <w:t>、</w:t>
      </w:r>
      <w:r>
        <w:rPr>
          <w:rFonts w:ascii="Arial" w:eastAsia="仿宋_GB2312" w:hAnsi="Arial" w:cs="Arial"/>
          <w:sz w:val="28"/>
        </w:rPr>
        <w:t>01-015-1</w:t>
      </w:r>
      <w:r>
        <w:rPr>
          <w:rFonts w:ascii="Arial" w:eastAsia="仿宋_GB2312" w:hAnsi="Arial" w:cs="Arial"/>
          <w:sz w:val="28"/>
        </w:rPr>
        <w:t>、</w:t>
      </w:r>
      <w:r>
        <w:rPr>
          <w:rFonts w:ascii="Arial" w:eastAsia="仿宋_GB2312" w:hAnsi="Arial" w:cs="Arial"/>
          <w:sz w:val="28"/>
        </w:rPr>
        <w:t>01-015-2</w:t>
      </w:r>
      <w:r>
        <w:rPr>
          <w:rFonts w:ascii="Arial" w:eastAsia="仿宋_GB2312" w:hAnsi="Arial" w:cs="Arial"/>
          <w:sz w:val="28"/>
        </w:rPr>
        <w:t>、</w:t>
      </w:r>
      <w:r>
        <w:rPr>
          <w:rFonts w:ascii="Arial" w:eastAsia="仿宋_GB2312" w:hAnsi="Arial" w:cs="Arial"/>
          <w:sz w:val="28"/>
        </w:rPr>
        <w:t>01-016</w:t>
      </w:r>
      <w:r>
        <w:rPr>
          <w:rFonts w:ascii="Arial" w:eastAsia="仿宋_GB2312" w:hAnsi="Arial" w:cs="Arial"/>
          <w:sz w:val="28"/>
        </w:rPr>
        <w:t>、</w:t>
      </w:r>
      <w:r>
        <w:rPr>
          <w:rFonts w:ascii="Arial" w:eastAsia="仿宋_GB2312" w:hAnsi="Arial" w:cs="Arial"/>
          <w:sz w:val="28"/>
        </w:rPr>
        <w:t>01-020</w:t>
      </w:r>
      <w:r>
        <w:rPr>
          <w:rFonts w:ascii="Arial" w:eastAsia="仿宋_GB2312" w:hAnsi="Arial" w:cs="Arial"/>
          <w:sz w:val="28"/>
        </w:rPr>
        <w:t>、</w:t>
      </w:r>
      <w:r>
        <w:rPr>
          <w:rFonts w:ascii="Arial" w:eastAsia="仿宋_GB2312" w:hAnsi="Arial" w:cs="Arial"/>
          <w:sz w:val="28"/>
        </w:rPr>
        <w:t>01-025</w:t>
      </w:r>
      <w:r>
        <w:rPr>
          <w:rFonts w:ascii="Arial" w:eastAsia="仿宋_GB2312" w:hAnsi="Arial" w:cs="Arial"/>
          <w:sz w:val="28"/>
        </w:rPr>
        <w:t>、</w:t>
      </w:r>
      <w:r>
        <w:rPr>
          <w:rFonts w:ascii="Arial" w:eastAsia="仿宋_GB2312" w:hAnsi="Arial" w:cs="Arial"/>
          <w:sz w:val="28"/>
        </w:rPr>
        <w:t>01-026-1</w:t>
      </w:r>
      <w:r>
        <w:rPr>
          <w:rFonts w:ascii="Arial" w:eastAsia="仿宋_GB2312" w:hAnsi="Arial" w:cs="Arial"/>
          <w:sz w:val="28"/>
        </w:rPr>
        <w:t>等二类居住用地、托幼用地、商业用地地块</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协同平台供地审核意见的函》（京</w:t>
      </w:r>
      <w:proofErr w:type="gramStart"/>
      <w:r>
        <w:rPr>
          <w:rFonts w:ascii="Arial" w:eastAsia="仿宋_GB2312" w:hAnsi="Arial" w:cs="Arial"/>
          <w:sz w:val="28"/>
        </w:rPr>
        <w:t>规</w:t>
      </w:r>
      <w:proofErr w:type="gramEnd"/>
      <w:r>
        <w:rPr>
          <w:rFonts w:ascii="Arial" w:eastAsia="仿宋_GB2312" w:hAnsi="Arial" w:cs="Arial"/>
          <w:sz w:val="28"/>
        </w:rPr>
        <w:t>自（顺）</w:t>
      </w:r>
      <w:proofErr w:type="gramStart"/>
      <w:r>
        <w:rPr>
          <w:rFonts w:ascii="Arial" w:eastAsia="仿宋_GB2312" w:hAnsi="Arial" w:cs="Arial"/>
          <w:sz w:val="28"/>
        </w:rPr>
        <w:t>供审函</w:t>
      </w:r>
      <w:proofErr w:type="gramEnd"/>
      <w:r>
        <w:rPr>
          <w:rFonts w:ascii="Arial" w:eastAsia="仿宋_GB2312" w:hAnsi="Arial" w:cs="Arial"/>
          <w:sz w:val="28"/>
        </w:rPr>
        <w:t>【</w:t>
      </w:r>
      <w:r>
        <w:rPr>
          <w:rFonts w:ascii="Arial" w:eastAsia="仿宋_GB2312" w:hAnsi="Arial" w:cs="Arial"/>
          <w:sz w:val="28"/>
        </w:rPr>
        <w:t>2023</w:t>
      </w:r>
      <w:r>
        <w:rPr>
          <w:rFonts w:ascii="Arial" w:eastAsia="仿宋_GB2312" w:hAnsi="Arial" w:cs="Arial"/>
          <w:sz w:val="28"/>
        </w:rPr>
        <w:t>】</w:t>
      </w:r>
      <w:r>
        <w:rPr>
          <w:rFonts w:ascii="Arial" w:eastAsia="仿宋_GB2312" w:hAnsi="Arial" w:cs="Arial"/>
          <w:sz w:val="28"/>
        </w:rPr>
        <w:t>0004</w:t>
      </w:r>
      <w:r>
        <w:rPr>
          <w:rFonts w:ascii="Arial" w:eastAsia="仿宋_GB2312" w:hAnsi="Arial" w:cs="Arial"/>
          <w:sz w:val="28"/>
        </w:rPr>
        <w:t>号）</w:t>
      </w:r>
      <w:r>
        <w:rPr>
          <w:rFonts w:ascii="Arial" w:eastAsia="仿宋_GB2312" w:hAnsi="Arial" w:cs="Arial" w:hint="eastAsia"/>
          <w:sz w:val="28"/>
        </w:rPr>
        <w:t>及规划意见附图</w:t>
      </w:r>
      <w:r>
        <w:rPr>
          <w:rFonts w:ascii="Arial" w:eastAsia="仿宋_GB2312" w:hAnsi="Arial" w:cs="Arial"/>
          <w:sz w:val="28"/>
        </w:rPr>
        <w:t>复印件</w:t>
      </w:r>
    </w:p>
    <w:p w14:paraId="7446E27D" w14:textId="77777777" w:rsidR="0062768B" w:rsidRDefault="00136729">
      <w:pPr>
        <w:numPr>
          <w:ilvl w:val="0"/>
          <w:numId w:val="10"/>
        </w:numPr>
        <w:spacing w:line="300" w:lineRule="auto"/>
        <w:jc w:val="both"/>
        <w:rPr>
          <w:rFonts w:ascii="Arial" w:eastAsia="仿宋_GB2312" w:hAnsi="Arial" w:cs="Arial"/>
          <w:sz w:val="28"/>
        </w:rPr>
      </w:pPr>
      <w:r>
        <w:rPr>
          <w:rFonts w:ascii="Arial" w:eastAsia="仿宋_GB2312" w:hAnsi="Arial" w:cs="Arial" w:hint="eastAsia"/>
          <w:sz w:val="28"/>
        </w:rPr>
        <w:t>《建设工程规划用地测量成果报告书》（</w:t>
      </w:r>
      <w:r>
        <w:rPr>
          <w:rFonts w:ascii="Arial" w:eastAsia="仿宋_GB2312" w:hAnsi="Arial" w:cs="Arial" w:hint="eastAsia"/>
          <w:sz w:val="28"/>
        </w:rPr>
        <w:t>2021</w:t>
      </w:r>
      <w:proofErr w:type="gramStart"/>
      <w:r>
        <w:rPr>
          <w:rFonts w:ascii="Arial" w:eastAsia="仿宋_GB2312" w:hAnsi="Arial" w:cs="Arial" w:hint="eastAsia"/>
          <w:sz w:val="28"/>
        </w:rPr>
        <w:t>规</w:t>
      </w:r>
      <w:proofErr w:type="gramEnd"/>
      <w:r>
        <w:rPr>
          <w:rFonts w:ascii="Arial" w:eastAsia="仿宋_GB2312" w:hAnsi="Arial" w:cs="Arial" w:hint="eastAsia"/>
          <w:sz w:val="28"/>
        </w:rPr>
        <w:t>自（顺）测字</w:t>
      </w:r>
      <w:r>
        <w:rPr>
          <w:rFonts w:ascii="Arial" w:eastAsia="仿宋_GB2312" w:hAnsi="Arial" w:cs="Arial" w:hint="eastAsia"/>
          <w:sz w:val="28"/>
        </w:rPr>
        <w:t>0008</w:t>
      </w:r>
      <w:r>
        <w:rPr>
          <w:rFonts w:ascii="Arial" w:eastAsia="仿宋_GB2312" w:hAnsi="Arial" w:cs="Arial" w:hint="eastAsia"/>
          <w:sz w:val="28"/>
        </w:rPr>
        <w:t>号）</w:t>
      </w:r>
      <w:r>
        <w:rPr>
          <w:rFonts w:ascii="Arial" w:eastAsia="仿宋_GB2312" w:hAnsi="Arial" w:cs="Arial"/>
          <w:sz w:val="28"/>
        </w:rPr>
        <w:t>复印件</w:t>
      </w:r>
    </w:p>
    <w:p w14:paraId="5E6BC4D4" w14:textId="77777777" w:rsidR="0062768B" w:rsidRDefault="00136729">
      <w:pPr>
        <w:numPr>
          <w:ilvl w:val="0"/>
          <w:numId w:val="10"/>
        </w:numPr>
        <w:spacing w:line="300" w:lineRule="auto"/>
        <w:jc w:val="both"/>
        <w:rPr>
          <w:rFonts w:ascii="Arial" w:eastAsia="仿宋_GB2312" w:hAnsi="Arial" w:cs="Arial"/>
          <w:sz w:val="28"/>
        </w:rPr>
      </w:pPr>
      <w:r>
        <w:rPr>
          <w:rFonts w:ascii="Arial" w:eastAsia="仿宋_GB2312" w:hAnsi="Arial" w:cs="Arial" w:hint="eastAsia"/>
          <w:sz w:val="28"/>
        </w:rPr>
        <w:t>《关于顺义区高丽营镇夏县营村棚户区改造土地开发项目</w:t>
      </w:r>
      <w:r>
        <w:rPr>
          <w:rFonts w:ascii="Arial" w:eastAsia="仿宋_GB2312" w:hAnsi="Arial" w:cs="Arial" w:hint="eastAsia"/>
          <w:sz w:val="28"/>
        </w:rPr>
        <w:t>0</w:t>
      </w:r>
      <w:r>
        <w:rPr>
          <w:rFonts w:ascii="Arial" w:eastAsia="仿宋_GB2312" w:hAnsi="Arial" w:cs="Arial"/>
          <w:sz w:val="28"/>
        </w:rPr>
        <w:t>1-008</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sz w:val="28"/>
        </w:rPr>
        <w:t>1-016</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sz w:val="28"/>
        </w:rPr>
        <w:t>1-026-1</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sz w:val="28"/>
        </w:rPr>
        <w:t>1-020</w:t>
      </w:r>
      <w:r>
        <w:rPr>
          <w:rFonts w:ascii="Arial" w:eastAsia="仿宋_GB2312" w:hAnsi="Arial" w:cs="Arial" w:hint="eastAsia"/>
          <w:sz w:val="28"/>
        </w:rPr>
        <w:t>地块实物补偿内容的说明》复印件</w:t>
      </w:r>
    </w:p>
    <w:p w14:paraId="676AD6C0" w14:textId="77777777" w:rsidR="0062768B" w:rsidRDefault="00136729">
      <w:pPr>
        <w:numPr>
          <w:ilvl w:val="0"/>
          <w:numId w:val="10"/>
        </w:numPr>
        <w:spacing w:line="300" w:lineRule="auto"/>
        <w:jc w:val="both"/>
        <w:rPr>
          <w:rFonts w:ascii="Arial" w:eastAsia="仿宋_GB2312" w:hAnsi="Arial" w:cs="Arial"/>
          <w:sz w:val="28"/>
        </w:rPr>
      </w:pPr>
      <w:r>
        <w:rPr>
          <w:rFonts w:ascii="Arial" w:eastAsia="仿宋_GB2312" w:hAnsi="Arial" w:cs="Arial" w:hint="eastAsia"/>
          <w:sz w:val="28"/>
        </w:rPr>
        <w:t>《关于顺义区高丽营镇夏县营村棚户区改造土地开发项目</w:t>
      </w:r>
      <w:r>
        <w:rPr>
          <w:rFonts w:ascii="Arial" w:eastAsia="仿宋_GB2312" w:hAnsi="Arial" w:cs="Arial" w:hint="eastAsia"/>
          <w:sz w:val="28"/>
        </w:rPr>
        <w:t>0</w:t>
      </w:r>
      <w:r>
        <w:rPr>
          <w:rFonts w:ascii="Arial" w:eastAsia="仿宋_GB2312" w:hAnsi="Arial" w:cs="Arial"/>
          <w:sz w:val="28"/>
        </w:rPr>
        <w:t>1-008</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sz w:val="28"/>
        </w:rPr>
        <w:t>1-016</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sz w:val="28"/>
        </w:rPr>
        <w:t>1-026-1</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sz w:val="28"/>
        </w:rPr>
        <w:t>1-020</w:t>
      </w:r>
      <w:r>
        <w:rPr>
          <w:rFonts w:ascii="Arial" w:eastAsia="仿宋_GB2312" w:hAnsi="Arial" w:cs="Arial" w:hint="eastAsia"/>
          <w:sz w:val="28"/>
        </w:rPr>
        <w:t>地块市政条件的说明》复印件</w:t>
      </w:r>
    </w:p>
    <w:p w14:paraId="08BD6682" w14:textId="77777777" w:rsidR="0062768B" w:rsidRDefault="00136729">
      <w:pPr>
        <w:numPr>
          <w:ilvl w:val="0"/>
          <w:numId w:val="10"/>
        </w:numPr>
        <w:spacing w:line="300" w:lineRule="auto"/>
        <w:jc w:val="both"/>
        <w:rPr>
          <w:rFonts w:ascii="Arial" w:eastAsia="仿宋_GB2312" w:hAnsi="Arial" w:cs="Arial"/>
          <w:sz w:val="28"/>
        </w:rPr>
      </w:pPr>
      <w:r>
        <w:rPr>
          <w:rFonts w:ascii="Arial" w:eastAsia="仿宋_GB2312" w:hAnsi="Arial" w:cs="Arial"/>
          <w:sz w:val="28"/>
          <w:szCs w:val="28"/>
        </w:rPr>
        <w:t>估价机构《营业执照（</w:t>
      </w:r>
      <w:r>
        <w:rPr>
          <w:rFonts w:ascii="Arial" w:eastAsia="仿宋_GB2312" w:hAnsi="Arial" w:cs="Arial"/>
          <w:sz w:val="28"/>
        </w:rPr>
        <w:t>副本）》复印件</w:t>
      </w:r>
    </w:p>
    <w:p w14:paraId="65124C23" w14:textId="77777777" w:rsidR="0062768B" w:rsidRDefault="00136729">
      <w:pPr>
        <w:numPr>
          <w:ilvl w:val="0"/>
          <w:numId w:val="10"/>
        </w:numPr>
        <w:spacing w:line="300" w:lineRule="auto"/>
        <w:jc w:val="both"/>
        <w:rPr>
          <w:rFonts w:ascii="Arial" w:eastAsia="仿宋_GB2312" w:hAnsi="Arial" w:cs="Arial"/>
          <w:sz w:val="28"/>
        </w:rPr>
      </w:pPr>
      <w:r>
        <w:rPr>
          <w:rFonts w:ascii="Arial" w:eastAsia="仿宋_GB2312" w:hAnsi="Arial" w:cs="Arial"/>
          <w:sz w:val="28"/>
        </w:rPr>
        <w:t>估价机构评估资质复印件</w:t>
      </w:r>
    </w:p>
    <w:p w14:paraId="09FFBC6D" w14:textId="77777777" w:rsidR="0062768B" w:rsidRDefault="00136729">
      <w:pPr>
        <w:numPr>
          <w:ilvl w:val="0"/>
          <w:numId w:val="10"/>
        </w:numPr>
        <w:spacing w:line="300" w:lineRule="auto"/>
        <w:jc w:val="both"/>
        <w:rPr>
          <w:rFonts w:ascii="Arial" w:eastAsia="仿宋_GB2312" w:hAnsi="Arial" w:cs="Arial"/>
          <w:sz w:val="28"/>
        </w:rPr>
      </w:pPr>
      <w:r>
        <w:rPr>
          <w:rFonts w:ascii="Arial" w:eastAsia="仿宋_GB2312" w:hAnsi="Arial" w:cs="Arial"/>
          <w:sz w:val="28"/>
        </w:rPr>
        <w:t>土地估价专业评估师资质证书复印件</w:t>
      </w:r>
    </w:p>
    <w:p w14:paraId="32EC4FAE" w14:textId="77777777" w:rsidR="0062768B" w:rsidRDefault="0062768B">
      <w:pPr>
        <w:spacing w:line="300" w:lineRule="auto"/>
        <w:ind w:left="840" w:hangingChars="300" w:hanging="840"/>
        <w:jc w:val="both"/>
        <w:rPr>
          <w:rFonts w:ascii="Arial" w:eastAsia="仿宋_GB2312" w:hAnsi="Arial" w:cs="Arial"/>
          <w:sz w:val="28"/>
        </w:rPr>
        <w:sectPr w:rsidR="0062768B">
          <w:footerReference w:type="default" r:id="rId51"/>
          <w:headerReference w:type="first" r:id="rId52"/>
          <w:footerReference w:type="first" r:id="rId53"/>
          <w:type w:val="nextColumn"/>
          <w:pgSz w:w="11907" w:h="16840"/>
          <w:pgMar w:top="1418" w:right="1418" w:bottom="1134" w:left="1418" w:header="794" w:footer="907" w:gutter="0"/>
          <w:cols w:space="720"/>
          <w:titlePg/>
          <w:docGrid w:linePitch="326"/>
        </w:sectPr>
      </w:pPr>
    </w:p>
    <w:p w14:paraId="2EB994E3" w14:textId="77777777" w:rsidR="0062768B" w:rsidRDefault="0062768B">
      <w:pPr>
        <w:spacing w:line="300" w:lineRule="auto"/>
        <w:jc w:val="center"/>
        <w:rPr>
          <w:rFonts w:ascii="Arial" w:hAnsi="Arial" w:cs="Arial"/>
          <w:b/>
          <w:sz w:val="44"/>
        </w:rPr>
      </w:pPr>
      <w:bookmarkStart w:id="195" w:name="_Toc418750902"/>
      <w:bookmarkStart w:id="196" w:name="_Toc416783539"/>
      <w:bookmarkStart w:id="197" w:name="_Toc416783635"/>
    </w:p>
    <w:p w14:paraId="209197AB" w14:textId="77777777" w:rsidR="0062768B" w:rsidRDefault="0062768B">
      <w:pPr>
        <w:spacing w:line="300" w:lineRule="auto"/>
        <w:jc w:val="center"/>
        <w:rPr>
          <w:rFonts w:ascii="Arial" w:hAnsi="Arial" w:cs="Arial"/>
          <w:b/>
          <w:sz w:val="44"/>
        </w:rPr>
      </w:pPr>
    </w:p>
    <w:p w14:paraId="0C742E60" w14:textId="77777777" w:rsidR="0062768B" w:rsidRDefault="00136729">
      <w:pPr>
        <w:spacing w:line="300" w:lineRule="auto"/>
        <w:jc w:val="center"/>
        <w:rPr>
          <w:rFonts w:ascii="Arial" w:hAnsi="Arial" w:cs="Arial"/>
          <w:b/>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技</w:t>
      </w:r>
      <w:r>
        <w:rPr>
          <w:rFonts w:ascii="Arial" w:eastAsia="仿宋_GB2312" w:hAnsi="Arial" w:cs="Arial"/>
          <w:b/>
          <w:sz w:val="44"/>
        </w:rPr>
        <w:t xml:space="preserve"> </w:t>
      </w:r>
      <w:r>
        <w:rPr>
          <w:rFonts w:ascii="Arial" w:hAnsi="Arial" w:cs="Arial"/>
          <w:b/>
          <w:sz w:val="44"/>
        </w:rPr>
        <w:t>术</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bookmarkEnd w:id="195"/>
      <w:bookmarkEnd w:id="196"/>
      <w:bookmarkEnd w:id="197"/>
    </w:p>
    <w:p w14:paraId="6023D5A4" w14:textId="77777777" w:rsidR="0062768B" w:rsidRDefault="00136729">
      <w:pPr>
        <w:spacing w:line="300" w:lineRule="auto"/>
        <w:jc w:val="center"/>
        <w:rPr>
          <w:rFonts w:ascii="Arial" w:hAnsi="Arial" w:cs="Arial"/>
          <w:sz w:val="44"/>
        </w:rPr>
      </w:pPr>
      <w:r>
        <w:rPr>
          <w:rFonts w:ascii="Arial" w:hAnsi="Arial" w:cs="Arial" w:hint="eastAsia"/>
          <w:sz w:val="44"/>
        </w:rPr>
        <w:t>（</w:t>
      </w:r>
      <w:r>
        <w:rPr>
          <w:rFonts w:ascii="宋体" w:hAnsi="宋体" w:cs="Arial" w:hint="eastAsia"/>
          <w:b/>
          <w:sz w:val="44"/>
        </w:rPr>
        <w:t>评估工作底稿</w:t>
      </w:r>
      <w:r>
        <w:rPr>
          <w:rFonts w:ascii="Arial" w:hAnsi="Arial" w:cs="Arial" w:hint="eastAsia"/>
          <w:sz w:val="44"/>
        </w:rPr>
        <w:t>）</w:t>
      </w:r>
    </w:p>
    <w:p w14:paraId="59C7DA54" w14:textId="77777777" w:rsidR="0062768B" w:rsidRDefault="0062768B">
      <w:pPr>
        <w:spacing w:line="300" w:lineRule="auto"/>
        <w:jc w:val="center"/>
        <w:rPr>
          <w:rFonts w:ascii="Arial" w:eastAsia="楷体_GB2312" w:hAnsi="Arial" w:cs="Arial"/>
          <w:bCs/>
          <w:sz w:val="32"/>
        </w:rPr>
      </w:pPr>
    </w:p>
    <w:p w14:paraId="630FBBFA" w14:textId="77777777" w:rsidR="0062768B" w:rsidRDefault="00136729">
      <w:pPr>
        <w:spacing w:line="300" w:lineRule="auto"/>
        <w:ind w:left="2201" w:hangingChars="685" w:hanging="2201"/>
        <w:jc w:val="both"/>
        <w:rPr>
          <w:rFonts w:ascii="Arial" w:eastAsia="楷体_GB2312" w:hAnsi="Arial" w:cs="Arial"/>
          <w:bCs/>
          <w:i/>
          <w:sz w:val="32"/>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Pr>
          <w:rFonts w:ascii="Arial" w:eastAsia="楷体_GB2312" w:hAnsi="Arial" w:cs="Arial" w:hint="eastAsia"/>
          <w:b/>
          <w:sz w:val="32"/>
        </w:rPr>
        <w:t>北京市顺义区高丽营镇夏县营村</w:t>
      </w:r>
      <w:r>
        <w:rPr>
          <w:rFonts w:ascii="Arial" w:eastAsia="楷体_GB2312" w:hAnsi="Arial" w:cs="Arial" w:hint="eastAsia"/>
          <w:b/>
          <w:sz w:val="32"/>
        </w:rPr>
        <w:t>01-008</w:t>
      </w:r>
      <w:r>
        <w:rPr>
          <w:rFonts w:ascii="Arial" w:eastAsia="楷体_GB2312" w:hAnsi="Arial" w:cs="Arial" w:hint="eastAsia"/>
          <w:b/>
          <w:sz w:val="32"/>
        </w:rPr>
        <w:t>、</w:t>
      </w:r>
      <w:r>
        <w:rPr>
          <w:rFonts w:ascii="Arial" w:eastAsia="楷体_GB2312" w:hAnsi="Arial" w:cs="Arial" w:hint="eastAsia"/>
          <w:b/>
          <w:sz w:val="32"/>
        </w:rPr>
        <w:t>01-016</w:t>
      </w:r>
      <w:r>
        <w:rPr>
          <w:rFonts w:ascii="Arial" w:eastAsia="楷体_GB2312" w:hAnsi="Arial" w:cs="Arial" w:hint="eastAsia"/>
          <w:b/>
          <w:sz w:val="32"/>
        </w:rPr>
        <w:t>、</w:t>
      </w:r>
      <w:r>
        <w:rPr>
          <w:rFonts w:ascii="Arial" w:eastAsia="楷体_GB2312" w:hAnsi="Arial" w:cs="Arial" w:hint="eastAsia"/>
          <w:b/>
          <w:sz w:val="32"/>
        </w:rPr>
        <w:t>01-026-1</w:t>
      </w:r>
      <w:r>
        <w:rPr>
          <w:rFonts w:ascii="Arial" w:eastAsia="楷体_GB2312" w:hAnsi="Arial" w:cs="Arial" w:hint="eastAsia"/>
          <w:b/>
          <w:sz w:val="32"/>
        </w:rPr>
        <w:t>地块</w:t>
      </w:r>
      <w:r>
        <w:rPr>
          <w:rFonts w:ascii="Arial" w:eastAsia="楷体_GB2312" w:hAnsi="Arial" w:cs="Arial" w:hint="eastAsia"/>
          <w:b/>
          <w:sz w:val="32"/>
        </w:rPr>
        <w:t>R2</w:t>
      </w:r>
      <w:proofErr w:type="gramStart"/>
      <w:r>
        <w:rPr>
          <w:rFonts w:ascii="Arial" w:eastAsia="楷体_GB2312" w:hAnsi="Arial" w:cs="Arial" w:hint="eastAsia"/>
          <w:b/>
          <w:sz w:val="32"/>
        </w:rPr>
        <w:t>二</w:t>
      </w:r>
      <w:proofErr w:type="gramEnd"/>
      <w:r>
        <w:rPr>
          <w:rFonts w:ascii="Arial" w:eastAsia="楷体_GB2312" w:hAnsi="Arial" w:cs="Arial" w:hint="eastAsia"/>
          <w:b/>
          <w:sz w:val="32"/>
        </w:rPr>
        <w:t>类居住用地及</w:t>
      </w:r>
      <w:r>
        <w:rPr>
          <w:rFonts w:ascii="Arial" w:eastAsia="楷体_GB2312" w:hAnsi="Arial" w:cs="Arial" w:hint="eastAsia"/>
          <w:b/>
          <w:sz w:val="32"/>
        </w:rPr>
        <w:t>01-020</w:t>
      </w:r>
      <w:r>
        <w:rPr>
          <w:rFonts w:ascii="Arial" w:eastAsia="楷体_GB2312" w:hAnsi="Arial" w:cs="Arial" w:hint="eastAsia"/>
          <w:b/>
          <w:sz w:val="32"/>
        </w:rPr>
        <w:t>地块</w:t>
      </w:r>
      <w:r>
        <w:rPr>
          <w:rFonts w:ascii="Arial" w:eastAsia="楷体_GB2312" w:hAnsi="Arial" w:cs="Arial" w:hint="eastAsia"/>
          <w:b/>
          <w:sz w:val="32"/>
        </w:rPr>
        <w:t>A334</w:t>
      </w:r>
      <w:r>
        <w:rPr>
          <w:rFonts w:ascii="Arial" w:eastAsia="楷体_GB2312" w:hAnsi="Arial" w:cs="Arial" w:hint="eastAsia"/>
          <w:b/>
          <w:sz w:val="32"/>
        </w:rPr>
        <w:t>托幼用地项目</w:t>
      </w:r>
      <w:r>
        <w:rPr>
          <w:rFonts w:ascii="Arial" w:eastAsia="楷体_GB2312" w:hAnsi="Arial" w:cs="Arial"/>
          <w:b/>
          <w:sz w:val="32"/>
        </w:rPr>
        <w:t>国有建设用地使用权出让价格评估</w:t>
      </w:r>
      <w:r>
        <w:rPr>
          <w:rFonts w:ascii="Arial" w:eastAsia="楷体_GB2312" w:hAnsi="Arial" w:cs="Arial" w:hint="eastAsia"/>
          <w:b/>
          <w:sz w:val="32"/>
        </w:rPr>
        <w:t>（北京市</w:t>
      </w:r>
      <w:r>
        <w:rPr>
          <w:rFonts w:ascii="Arial" w:eastAsia="楷体_GB2312" w:hAnsi="Arial" w:cs="Arial" w:hint="eastAsia"/>
          <w:b/>
          <w:sz w:val="32"/>
        </w:rPr>
        <w:t xml:space="preserve"> </w:t>
      </w:r>
      <w:r>
        <w:rPr>
          <w:rFonts w:ascii="Arial" w:eastAsia="楷体_GB2312" w:hAnsi="Arial" w:cs="Arial" w:hint="eastAsia"/>
          <w:b/>
          <w:sz w:val="32"/>
        </w:rPr>
        <w:t>顺义区）</w:t>
      </w:r>
    </w:p>
    <w:p w14:paraId="6DAB6280" w14:textId="77777777" w:rsidR="0062768B" w:rsidRDefault="0062768B">
      <w:pPr>
        <w:spacing w:line="300" w:lineRule="auto"/>
        <w:jc w:val="both"/>
        <w:rPr>
          <w:rFonts w:ascii="Arial" w:eastAsia="楷体_GB2312" w:hAnsi="Arial" w:cs="Arial"/>
          <w:b/>
          <w:sz w:val="28"/>
          <w:szCs w:val="28"/>
        </w:rPr>
      </w:pPr>
    </w:p>
    <w:p w14:paraId="62EEABEE" w14:textId="77777777" w:rsidR="0062768B" w:rsidRDefault="00136729">
      <w:pPr>
        <w:spacing w:line="300" w:lineRule="auto"/>
        <w:rPr>
          <w:rFonts w:ascii="Arial" w:eastAsia="楷体_GB2312" w:hAnsi="Arial" w:cs="Arial"/>
          <w:b/>
          <w:bCs/>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14:paraId="7946A4CC" w14:textId="77777777" w:rsidR="0062768B" w:rsidRDefault="0062768B">
      <w:pPr>
        <w:spacing w:line="300" w:lineRule="auto"/>
        <w:ind w:right="-327"/>
        <w:rPr>
          <w:rFonts w:ascii="Arial" w:eastAsia="楷体_GB2312" w:hAnsi="Arial" w:cs="Arial"/>
          <w:b/>
          <w:bCs/>
          <w:sz w:val="32"/>
        </w:rPr>
      </w:pPr>
      <w:bookmarkStart w:id="198" w:name="_Toc416783540"/>
      <w:bookmarkStart w:id="199" w:name="_Toc416783636"/>
    </w:p>
    <w:p w14:paraId="262D100F" w14:textId="77777777" w:rsidR="0062768B" w:rsidRDefault="00136729">
      <w:pPr>
        <w:spacing w:line="300" w:lineRule="auto"/>
        <w:jc w:val="both"/>
        <w:rPr>
          <w:rFonts w:ascii="Arial" w:eastAsia="楷体_GB2312" w:hAnsi="Arial" w:cs="Arial"/>
          <w:b/>
          <w:sz w:val="32"/>
        </w:rPr>
      </w:pPr>
      <w:bookmarkStart w:id="200" w:name="_Toc418750903"/>
      <w:bookmarkEnd w:id="198"/>
      <w:bookmarkEnd w:id="199"/>
      <w:r>
        <w:rPr>
          <w:rFonts w:ascii="Arial" w:eastAsia="楷体_GB2312" w:hAnsi="Arial" w:cs="Arial"/>
          <w:b/>
          <w:sz w:val="32"/>
        </w:rPr>
        <w:t>土地估价报告编号：</w:t>
      </w:r>
      <w:bookmarkEnd w:id="200"/>
      <w:proofErr w:type="gramStart"/>
      <w:r>
        <w:rPr>
          <w:rFonts w:ascii="Arial" w:eastAsia="楷体_GB2312" w:hAnsi="Arial" w:cs="Arial"/>
          <w:b/>
          <w:sz w:val="32"/>
        </w:rPr>
        <w:t>北京康正</w:t>
      </w:r>
      <w:proofErr w:type="gramEnd"/>
      <w:r>
        <w:rPr>
          <w:rFonts w:ascii="Arial" w:eastAsia="楷体_GB2312" w:hAnsi="Arial" w:cs="Arial"/>
          <w:b/>
          <w:sz w:val="32"/>
        </w:rPr>
        <w:t>2023</w:t>
      </w:r>
      <w:r>
        <w:rPr>
          <w:rFonts w:ascii="Arial" w:eastAsia="楷体_GB2312" w:hAnsi="Arial" w:cs="Arial"/>
          <w:b/>
          <w:sz w:val="32"/>
        </w:rPr>
        <w:t>（估）字第</w:t>
      </w:r>
      <w:r>
        <w:rPr>
          <w:rFonts w:ascii="Arial" w:eastAsia="楷体_GB2312" w:hAnsi="Arial" w:cs="Arial"/>
          <w:b/>
          <w:sz w:val="32"/>
        </w:rPr>
        <w:t>0007</w:t>
      </w:r>
      <w:r>
        <w:rPr>
          <w:rFonts w:ascii="Arial" w:eastAsia="楷体_GB2312" w:hAnsi="Arial" w:cs="Arial"/>
          <w:b/>
          <w:sz w:val="32"/>
        </w:rPr>
        <w:t>号</w:t>
      </w:r>
    </w:p>
    <w:p w14:paraId="29CDE34C" w14:textId="77777777" w:rsidR="0062768B" w:rsidRDefault="00136729">
      <w:pPr>
        <w:spacing w:line="300" w:lineRule="auto"/>
        <w:ind w:firstLineChars="900" w:firstLine="2891"/>
        <w:jc w:val="both"/>
        <w:rPr>
          <w:rFonts w:ascii="Arial" w:eastAsia="楷体_GB2312" w:hAnsi="Arial" w:cs="Arial"/>
          <w:b/>
          <w:sz w:val="32"/>
        </w:rPr>
      </w:pPr>
      <w:r>
        <w:rPr>
          <w:rFonts w:ascii="Arial" w:eastAsia="楷体_GB2312" w:hAnsi="Arial" w:cs="Arial"/>
          <w:b/>
          <w:sz w:val="32"/>
        </w:rPr>
        <w:t>2023 -1- 0340 -</w:t>
      </w:r>
      <w:r w:rsidR="00550FB0">
        <w:rPr>
          <w:rFonts w:ascii="Arial" w:eastAsia="楷体_GB2312" w:hAnsi="Arial" w:cs="Arial"/>
          <w:b/>
          <w:sz w:val="32"/>
        </w:rPr>
        <w:t>F06TDCR9</w:t>
      </w:r>
    </w:p>
    <w:p w14:paraId="5A9597E6" w14:textId="77777777" w:rsidR="0062768B" w:rsidRDefault="0062768B">
      <w:pPr>
        <w:spacing w:line="300" w:lineRule="auto"/>
        <w:ind w:right="-207"/>
        <w:rPr>
          <w:rFonts w:ascii="Arial" w:eastAsia="楷体_GB2312" w:hAnsi="Arial" w:cs="Arial"/>
          <w:b/>
          <w:bCs/>
          <w:spacing w:val="-10"/>
          <w:sz w:val="32"/>
        </w:rPr>
      </w:pPr>
      <w:bookmarkStart w:id="201" w:name="_Toc416783541"/>
      <w:bookmarkStart w:id="202" w:name="_Toc416783637"/>
    </w:p>
    <w:p w14:paraId="37F142B9" w14:textId="77777777" w:rsidR="0062768B" w:rsidRDefault="00136729">
      <w:pPr>
        <w:spacing w:line="300" w:lineRule="auto"/>
        <w:jc w:val="both"/>
        <w:rPr>
          <w:rFonts w:ascii="Arial" w:eastAsia="楷体_GB2312" w:hAnsi="Arial" w:cs="Arial"/>
          <w:b/>
          <w:sz w:val="32"/>
        </w:rPr>
      </w:pPr>
      <w:bookmarkStart w:id="203" w:name="_Toc418750904"/>
      <w:r>
        <w:rPr>
          <w:rFonts w:ascii="Arial" w:eastAsia="楷体_GB2312" w:hAnsi="Arial" w:cs="Arial"/>
          <w:b/>
          <w:bCs/>
          <w:spacing w:val="-10"/>
          <w:sz w:val="32"/>
        </w:rPr>
        <w:t>土地估价技术报告编号：</w:t>
      </w:r>
      <w:bookmarkEnd w:id="201"/>
      <w:bookmarkEnd w:id="202"/>
      <w:bookmarkEnd w:id="203"/>
      <w:proofErr w:type="gramStart"/>
      <w:r>
        <w:rPr>
          <w:rFonts w:ascii="Arial" w:eastAsia="楷体_GB2312" w:hAnsi="Arial" w:cs="Arial"/>
          <w:b/>
          <w:sz w:val="32"/>
        </w:rPr>
        <w:t>北京康正</w:t>
      </w:r>
      <w:proofErr w:type="gramEnd"/>
      <w:r>
        <w:rPr>
          <w:rFonts w:ascii="Arial" w:eastAsia="楷体_GB2312" w:hAnsi="Arial" w:cs="Arial" w:hint="eastAsia"/>
          <w:b/>
          <w:sz w:val="32"/>
        </w:rPr>
        <w:t>202</w:t>
      </w:r>
      <w:r>
        <w:rPr>
          <w:rFonts w:ascii="Arial" w:eastAsia="楷体_GB2312" w:hAnsi="Arial" w:cs="Arial"/>
          <w:b/>
          <w:sz w:val="32"/>
        </w:rPr>
        <w:t>3</w:t>
      </w:r>
      <w:r>
        <w:rPr>
          <w:rFonts w:ascii="Arial" w:eastAsia="楷体_GB2312" w:hAnsi="Arial" w:cs="Arial" w:hint="eastAsia"/>
          <w:b/>
          <w:sz w:val="32"/>
        </w:rPr>
        <w:t>（技）字第</w:t>
      </w:r>
      <w:r>
        <w:rPr>
          <w:rFonts w:ascii="Arial" w:eastAsia="楷体_GB2312" w:hAnsi="Arial" w:cs="Arial"/>
          <w:b/>
          <w:sz w:val="32"/>
        </w:rPr>
        <w:t>0007</w:t>
      </w:r>
      <w:r>
        <w:rPr>
          <w:rFonts w:ascii="Arial" w:eastAsia="楷体_GB2312" w:hAnsi="Arial" w:cs="Arial" w:hint="eastAsia"/>
          <w:b/>
          <w:sz w:val="32"/>
        </w:rPr>
        <w:t>号</w:t>
      </w:r>
    </w:p>
    <w:p w14:paraId="3D9989D3" w14:textId="77777777" w:rsidR="0062768B" w:rsidRDefault="00136729">
      <w:pPr>
        <w:spacing w:line="300" w:lineRule="auto"/>
        <w:ind w:firstLineChars="1100" w:firstLine="3534"/>
        <w:jc w:val="both"/>
        <w:rPr>
          <w:rFonts w:ascii="Arial" w:eastAsia="楷体_GB2312" w:hAnsi="Arial" w:cs="Arial"/>
          <w:b/>
          <w:sz w:val="32"/>
        </w:rPr>
      </w:pPr>
      <w:r>
        <w:rPr>
          <w:rFonts w:ascii="Arial" w:eastAsia="楷体_GB2312" w:hAnsi="Arial" w:cs="Arial"/>
          <w:b/>
          <w:sz w:val="32"/>
        </w:rPr>
        <w:t>2023 -1- 0340 -</w:t>
      </w:r>
      <w:r w:rsidR="00550FB0">
        <w:rPr>
          <w:rFonts w:ascii="Arial" w:eastAsia="楷体_GB2312" w:hAnsi="Arial" w:cs="Arial"/>
          <w:b/>
          <w:sz w:val="32"/>
        </w:rPr>
        <w:t>F06TDCR9</w:t>
      </w:r>
    </w:p>
    <w:p w14:paraId="46493C98" w14:textId="77777777" w:rsidR="0062768B" w:rsidRDefault="0062768B">
      <w:pPr>
        <w:spacing w:line="300" w:lineRule="auto"/>
        <w:rPr>
          <w:rFonts w:ascii="Arial" w:eastAsia="楷体_GB2312" w:hAnsi="Arial" w:cs="Arial"/>
          <w:b/>
          <w:sz w:val="32"/>
        </w:rPr>
      </w:pPr>
    </w:p>
    <w:p w14:paraId="02A65E00" w14:textId="0FF09650" w:rsidR="0062768B" w:rsidRDefault="00136729">
      <w:pPr>
        <w:spacing w:line="300" w:lineRule="auto"/>
        <w:rPr>
          <w:rFonts w:ascii="Arial" w:eastAsia="楷体_GB2312" w:hAnsi="Arial" w:cs="Arial"/>
          <w:b/>
          <w:bCs/>
          <w:spacing w:val="-20"/>
          <w:sz w:val="32"/>
        </w:rPr>
      </w:pPr>
      <w:r>
        <w:rPr>
          <w:rFonts w:ascii="Arial" w:eastAsia="楷体_GB2312" w:hAnsi="Arial" w:cs="Arial"/>
          <w:b/>
          <w:bCs/>
          <w:sz w:val="32"/>
        </w:rPr>
        <w:t>提交估价报告日期</w:t>
      </w:r>
      <w:r>
        <w:rPr>
          <w:rFonts w:ascii="Arial" w:eastAsia="楷体_GB2312" w:hAnsi="Arial" w:cs="Arial" w:hint="eastAsia"/>
          <w:b/>
          <w:bCs/>
          <w:sz w:val="32"/>
        </w:rPr>
        <w:t>：</w:t>
      </w:r>
      <w:r w:rsidR="00036F92">
        <w:rPr>
          <w:rFonts w:ascii="Arial" w:eastAsia="楷体_GB2312" w:hAnsi="Arial" w:cs="Arial"/>
          <w:b/>
          <w:sz w:val="32"/>
        </w:rPr>
        <w:t>2023</w:t>
      </w:r>
      <w:r w:rsidR="00036F92">
        <w:rPr>
          <w:rFonts w:ascii="Arial" w:eastAsia="楷体_GB2312" w:hAnsi="Arial" w:cs="Arial"/>
          <w:b/>
          <w:sz w:val="32"/>
        </w:rPr>
        <w:t>年</w:t>
      </w:r>
      <w:r w:rsidR="00036F92">
        <w:rPr>
          <w:rFonts w:ascii="Arial" w:eastAsia="楷体_GB2312" w:hAnsi="Arial" w:cs="Arial"/>
          <w:b/>
          <w:sz w:val="32"/>
        </w:rPr>
        <w:t>6</w:t>
      </w:r>
      <w:r w:rsidR="00036F92">
        <w:rPr>
          <w:rFonts w:ascii="Arial" w:eastAsia="楷体_GB2312" w:hAnsi="Arial" w:cs="Arial"/>
          <w:b/>
          <w:sz w:val="32"/>
        </w:rPr>
        <w:t>月</w:t>
      </w:r>
      <w:r w:rsidR="00036F92">
        <w:rPr>
          <w:rFonts w:ascii="Arial" w:eastAsia="楷体_GB2312" w:hAnsi="Arial" w:cs="Arial"/>
          <w:b/>
          <w:sz w:val="32"/>
        </w:rPr>
        <w:t>27</w:t>
      </w:r>
      <w:r w:rsidR="00036F92">
        <w:rPr>
          <w:rFonts w:ascii="Arial" w:eastAsia="楷体_GB2312" w:hAnsi="Arial" w:cs="Arial"/>
          <w:b/>
          <w:sz w:val="32"/>
        </w:rPr>
        <w:t>日</w:t>
      </w:r>
    </w:p>
    <w:p w14:paraId="4370E41E" w14:textId="77777777" w:rsidR="0062768B" w:rsidRDefault="0062768B">
      <w:pPr>
        <w:spacing w:line="300" w:lineRule="auto"/>
        <w:rPr>
          <w:rFonts w:ascii="Arial" w:eastAsia="楷体_GB2312" w:hAnsi="Arial" w:cs="Arial"/>
          <w:b/>
          <w:bCs/>
          <w:sz w:val="32"/>
        </w:rPr>
      </w:pPr>
    </w:p>
    <w:p w14:paraId="5CEC1CA1" w14:textId="77777777" w:rsidR="0062768B" w:rsidRDefault="00136729">
      <w:pPr>
        <w:spacing w:line="300" w:lineRule="auto"/>
        <w:rPr>
          <w:rFonts w:ascii="Arial" w:eastAsia="楷体_GB2312" w:hAnsi="Arial" w:cs="Arial"/>
          <w:b/>
          <w:bCs/>
          <w:sz w:val="32"/>
        </w:rPr>
      </w:pPr>
      <w:r>
        <w:rPr>
          <w:rFonts w:ascii="Arial" w:eastAsia="楷体_GB2312" w:hAnsi="Arial" w:cs="Arial"/>
          <w:b/>
          <w:bCs/>
          <w:sz w:val="32"/>
        </w:rPr>
        <w:t>关键词：北京市、</w:t>
      </w:r>
      <w:r>
        <w:rPr>
          <w:rFonts w:ascii="Arial" w:eastAsia="楷体_GB2312" w:hAnsi="Arial" w:cs="Arial" w:hint="eastAsia"/>
          <w:b/>
          <w:bCs/>
          <w:sz w:val="32"/>
        </w:rPr>
        <w:t>顺义</w:t>
      </w:r>
      <w:r>
        <w:rPr>
          <w:rFonts w:ascii="Arial" w:eastAsia="楷体_GB2312" w:hAnsi="Arial" w:cs="Arial"/>
          <w:b/>
          <w:bCs/>
          <w:sz w:val="32"/>
        </w:rPr>
        <w:t>区</w:t>
      </w:r>
    </w:p>
    <w:p w14:paraId="69133323" w14:textId="77777777" w:rsidR="0062768B" w:rsidRDefault="00136729">
      <w:pPr>
        <w:spacing w:line="300" w:lineRule="auto"/>
        <w:rPr>
          <w:rFonts w:ascii="Arial" w:eastAsia="楷体_GB2312" w:hAnsi="Arial" w:cs="Arial"/>
          <w:b/>
          <w:bCs/>
          <w:sz w:val="32"/>
        </w:rPr>
      </w:pPr>
      <w:r>
        <w:rPr>
          <w:rFonts w:ascii="Arial" w:eastAsia="楷体_GB2312" w:hAnsi="Arial" w:cs="Arial"/>
          <w:b/>
          <w:bCs/>
          <w:sz w:val="32"/>
        </w:rPr>
        <w:t xml:space="preserve">        </w:t>
      </w:r>
      <w:r>
        <w:rPr>
          <w:rFonts w:ascii="Arial" w:eastAsia="楷体_GB2312" w:hAnsi="Arial" w:cs="Arial"/>
          <w:b/>
          <w:bCs/>
          <w:sz w:val="32"/>
        </w:rPr>
        <w:t>出让</w:t>
      </w:r>
    </w:p>
    <w:p w14:paraId="209DC013" w14:textId="77777777" w:rsidR="0062768B" w:rsidRDefault="00136729">
      <w:pPr>
        <w:spacing w:line="300" w:lineRule="auto"/>
        <w:ind w:firstLineChars="400" w:firstLine="1285"/>
        <w:rPr>
          <w:rFonts w:ascii="Arial" w:eastAsia="楷体_GB2312" w:hAnsi="Arial" w:cs="Arial"/>
          <w:b/>
          <w:bCs/>
          <w:sz w:val="32"/>
        </w:rPr>
      </w:pPr>
      <w:proofErr w:type="gramStart"/>
      <w:r>
        <w:rPr>
          <w:rFonts w:ascii="Arial" w:eastAsia="楷体_GB2312" w:hAnsi="Arial" w:cs="Arial"/>
          <w:b/>
          <w:bCs/>
          <w:sz w:val="32"/>
        </w:rPr>
        <w:t>北京康正宏</w:t>
      </w:r>
      <w:proofErr w:type="gramEnd"/>
      <w:r>
        <w:rPr>
          <w:rFonts w:ascii="Arial" w:eastAsia="楷体_GB2312" w:hAnsi="Arial" w:cs="Arial"/>
          <w:b/>
          <w:bCs/>
          <w:sz w:val="32"/>
        </w:rPr>
        <w:t>基房地产评估有限公司</w:t>
      </w:r>
    </w:p>
    <w:p w14:paraId="5EDE6421" w14:textId="77777777" w:rsidR="0062768B" w:rsidRDefault="00136729">
      <w:pPr>
        <w:spacing w:line="300" w:lineRule="auto"/>
        <w:rPr>
          <w:rFonts w:ascii="Arial" w:eastAsia="楷体_GB2312" w:hAnsi="Arial" w:cs="Arial"/>
          <w:b/>
          <w:bCs/>
          <w:spacing w:val="-20"/>
          <w:sz w:val="32"/>
        </w:rPr>
      </w:pPr>
      <w:r>
        <w:rPr>
          <w:rFonts w:ascii="Arial" w:eastAsia="仿宋_GB2312" w:hAnsi="Arial" w:cs="Arial"/>
          <w:b/>
          <w:bCs/>
          <w:sz w:val="32"/>
        </w:rPr>
        <w:t xml:space="preserve">        </w:t>
      </w:r>
      <w:r>
        <w:rPr>
          <w:rFonts w:ascii="Arial" w:eastAsia="楷体_GB2312" w:hAnsi="Arial" w:cs="Arial"/>
          <w:b/>
          <w:bCs/>
          <w:sz w:val="32"/>
        </w:rPr>
        <w:t>二Ｏ</w:t>
      </w:r>
      <w:r>
        <w:rPr>
          <w:rFonts w:ascii="Arial" w:eastAsia="楷体_GB2312" w:hAnsi="Arial" w:cs="Arial" w:hint="eastAsia"/>
          <w:b/>
          <w:bCs/>
          <w:sz w:val="32"/>
        </w:rPr>
        <w:t>二三</w:t>
      </w:r>
      <w:r>
        <w:rPr>
          <w:rFonts w:ascii="Arial" w:eastAsia="楷体_GB2312" w:hAnsi="Arial" w:cs="Arial"/>
          <w:b/>
          <w:bCs/>
          <w:sz w:val="32"/>
        </w:rPr>
        <w:t>年</w:t>
      </w:r>
    </w:p>
    <w:p w14:paraId="14B42DEB" w14:textId="77777777" w:rsidR="0062768B" w:rsidRDefault="00136729">
      <w:pPr>
        <w:pStyle w:val="10"/>
        <w:spacing w:line="300" w:lineRule="auto"/>
        <w:rPr>
          <w:rFonts w:ascii="Arial" w:cs="Arial"/>
          <w:b/>
          <w:sz w:val="32"/>
          <w:szCs w:val="32"/>
        </w:rPr>
      </w:pPr>
      <w:r>
        <w:rPr>
          <w:rFonts w:ascii="Arial" w:cs="Arial"/>
          <w:b/>
          <w:sz w:val="32"/>
          <w:szCs w:val="32"/>
        </w:rPr>
        <w:br w:type="page"/>
      </w:r>
      <w:r>
        <w:rPr>
          <w:rFonts w:ascii="Arial" w:cs="Arial"/>
          <w:b/>
          <w:sz w:val="32"/>
          <w:szCs w:val="32"/>
        </w:rPr>
        <w:lastRenderedPageBreak/>
        <w:t>目录</w:t>
      </w:r>
    </w:p>
    <w:p w14:paraId="5F52415F" w14:textId="77777777" w:rsidR="0062768B" w:rsidRDefault="00136729">
      <w:pPr>
        <w:pStyle w:val="10"/>
        <w:rPr>
          <w:rFonts w:ascii="Arial" w:eastAsia="宋体"/>
          <w:noProof/>
          <w:kern w:val="2"/>
          <w:sz w:val="21"/>
          <w:szCs w:val="22"/>
        </w:rPr>
      </w:pPr>
      <w:r>
        <w:rPr>
          <w:rStyle w:val="af5"/>
          <w:rFonts w:ascii="Arial" w:cs="Arial"/>
          <w:b/>
          <w:color w:val="auto"/>
          <w:sz w:val="24"/>
          <w:szCs w:val="24"/>
        </w:rPr>
        <w:fldChar w:fldCharType="begin"/>
      </w:r>
      <w:r>
        <w:rPr>
          <w:rStyle w:val="af5"/>
          <w:rFonts w:ascii="Arial" w:cs="Arial"/>
          <w:b/>
          <w:color w:val="auto"/>
          <w:sz w:val="24"/>
          <w:szCs w:val="24"/>
        </w:rPr>
        <w:instrText xml:space="preserve"> TOC \o "1-2" \h \z \u </w:instrText>
      </w:r>
      <w:r>
        <w:rPr>
          <w:rStyle w:val="af5"/>
          <w:rFonts w:ascii="Arial" w:cs="Arial"/>
          <w:b/>
          <w:color w:val="auto"/>
          <w:sz w:val="24"/>
          <w:szCs w:val="24"/>
        </w:rPr>
        <w:fldChar w:fldCharType="separate"/>
      </w:r>
    </w:p>
    <w:p w14:paraId="71A2D1C5" w14:textId="5D9940BD" w:rsidR="0062768B" w:rsidRDefault="00BA64ED">
      <w:pPr>
        <w:pStyle w:val="10"/>
        <w:rPr>
          <w:rFonts w:ascii="Arial" w:eastAsia="宋体"/>
          <w:noProof/>
          <w:kern w:val="2"/>
          <w:sz w:val="21"/>
          <w:szCs w:val="22"/>
        </w:rPr>
      </w:pPr>
      <w:hyperlink w:anchor="_Toc132016739" w:history="1">
        <w:r w:rsidR="00136729">
          <w:rPr>
            <w:rStyle w:val="af5"/>
            <w:rFonts w:ascii="Arial" w:cs="Arial" w:hint="eastAsia"/>
            <w:b/>
            <w:noProof/>
            <w:color w:val="auto"/>
          </w:rPr>
          <w:t>第一部分</w:t>
        </w:r>
        <w:r w:rsidR="00136729">
          <w:rPr>
            <w:rStyle w:val="af5"/>
            <w:rFonts w:ascii="Arial" w:cs="Arial" w:hint="eastAsia"/>
            <w:b/>
            <w:noProof/>
            <w:color w:val="auto"/>
          </w:rPr>
          <w:t xml:space="preserve">  </w:t>
        </w:r>
        <w:r w:rsidR="00136729">
          <w:rPr>
            <w:rStyle w:val="af5"/>
            <w:rFonts w:ascii="Arial" w:cs="Arial" w:hint="eastAsia"/>
            <w:b/>
            <w:noProof/>
            <w:color w:val="auto"/>
          </w:rPr>
          <w:t>总</w:t>
        </w:r>
        <w:r w:rsidR="00136729">
          <w:rPr>
            <w:rStyle w:val="af5"/>
            <w:rFonts w:ascii="Arial" w:cs="Arial" w:hint="eastAsia"/>
            <w:b/>
            <w:noProof/>
            <w:color w:val="auto"/>
          </w:rPr>
          <w:t xml:space="preserve">  </w:t>
        </w:r>
        <w:r w:rsidR="00136729">
          <w:rPr>
            <w:rStyle w:val="af5"/>
            <w:rFonts w:ascii="Arial" w:cs="Arial" w:hint="eastAsia"/>
            <w:b/>
            <w:noProof/>
            <w:color w:val="auto"/>
          </w:rPr>
          <w:t>述</w:t>
        </w:r>
        <w:r w:rsidR="00136729">
          <w:rPr>
            <w:rFonts w:ascii="Arial" w:hint="eastAsia"/>
            <w:noProof/>
          </w:rPr>
          <w:tab/>
        </w:r>
        <w:r w:rsidR="00136729">
          <w:rPr>
            <w:rFonts w:ascii="Arial" w:hint="eastAsia"/>
            <w:noProof/>
          </w:rPr>
          <w:fldChar w:fldCharType="begin"/>
        </w:r>
        <w:r w:rsidR="00136729">
          <w:rPr>
            <w:rFonts w:ascii="Arial" w:hint="eastAsia"/>
            <w:noProof/>
          </w:rPr>
          <w:instrText xml:space="preserve"> </w:instrText>
        </w:r>
        <w:r w:rsidR="00136729">
          <w:rPr>
            <w:rFonts w:ascii="Arial"/>
            <w:noProof/>
          </w:rPr>
          <w:instrText>PAGEREF _Toc132016739 \h</w:instrText>
        </w:r>
        <w:r w:rsidR="00136729">
          <w:rPr>
            <w:rFonts w:ascii="Arial" w:hint="eastAsia"/>
            <w:noProof/>
          </w:rPr>
          <w:instrText xml:space="preserve"> </w:instrText>
        </w:r>
        <w:r w:rsidR="00136729">
          <w:rPr>
            <w:rFonts w:ascii="Arial" w:hint="eastAsia"/>
            <w:noProof/>
          </w:rPr>
        </w:r>
        <w:r w:rsidR="00136729">
          <w:rPr>
            <w:rFonts w:ascii="Arial" w:hint="eastAsia"/>
            <w:noProof/>
          </w:rPr>
          <w:fldChar w:fldCharType="separate"/>
        </w:r>
        <w:r w:rsidR="00821A1F">
          <w:rPr>
            <w:rFonts w:ascii="Arial"/>
            <w:noProof/>
          </w:rPr>
          <w:t>2</w:t>
        </w:r>
        <w:r w:rsidR="00136729">
          <w:rPr>
            <w:rFonts w:ascii="Arial" w:hint="eastAsia"/>
            <w:noProof/>
          </w:rPr>
          <w:fldChar w:fldCharType="end"/>
        </w:r>
      </w:hyperlink>
    </w:p>
    <w:p w14:paraId="0E5660DD" w14:textId="78E52883" w:rsidR="0062768B" w:rsidRDefault="00BA64ED">
      <w:pPr>
        <w:pStyle w:val="21"/>
        <w:tabs>
          <w:tab w:val="right" w:leader="dot" w:pos="8654"/>
        </w:tabs>
        <w:rPr>
          <w:rFonts w:ascii="Arial" w:hAnsi="Arial"/>
          <w:noProof/>
          <w:kern w:val="2"/>
          <w:sz w:val="21"/>
          <w:szCs w:val="22"/>
        </w:rPr>
      </w:pPr>
      <w:hyperlink w:anchor="_Toc132016740" w:history="1">
        <w:r w:rsidR="00136729">
          <w:rPr>
            <w:rStyle w:val="af5"/>
            <w:rFonts w:ascii="Arial" w:eastAsia="仿宋_GB2312" w:hAnsi="Arial" w:cs="Arial" w:hint="eastAsia"/>
            <w:b/>
            <w:noProof/>
            <w:color w:val="auto"/>
          </w:rPr>
          <w:t>一、估价项目名称</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_Toc132016740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2</w:t>
        </w:r>
        <w:r w:rsidR="00136729">
          <w:rPr>
            <w:rFonts w:ascii="Arial" w:hAnsi="Arial" w:hint="eastAsia"/>
            <w:noProof/>
          </w:rPr>
          <w:fldChar w:fldCharType="end"/>
        </w:r>
      </w:hyperlink>
    </w:p>
    <w:p w14:paraId="22CEC026" w14:textId="3E6BF8FF" w:rsidR="0062768B" w:rsidRDefault="00BA64ED">
      <w:pPr>
        <w:pStyle w:val="21"/>
        <w:tabs>
          <w:tab w:val="right" w:leader="dot" w:pos="8654"/>
        </w:tabs>
        <w:rPr>
          <w:rFonts w:ascii="Arial" w:hAnsi="Arial"/>
          <w:noProof/>
          <w:kern w:val="2"/>
          <w:sz w:val="21"/>
          <w:szCs w:val="22"/>
        </w:rPr>
      </w:pPr>
      <w:hyperlink w:anchor="_Toc132016741" w:history="1">
        <w:r w:rsidR="00136729">
          <w:rPr>
            <w:rStyle w:val="af5"/>
            <w:rFonts w:ascii="Arial" w:eastAsia="仿宋_GB2312" w:hAnsi="Arial" w:cs="Arial" w:hint="eastAsia"/>
            <w:b/>
            <w:noProof/>
            <w:color w:val="auto"/>
          </w:rPr>
          <w:t>二、委托估价方</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_Toc132016741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2</w:t>
        </w:r>
        <w:r w:rsidR="00136729">
          <w:rPr>
            <w:rFonts w:ascii="Arial" w:hAnsi="Arial" w:hint="eastAsia"/>
            <w:noProof/>
          </w:rPr>
          <w:fldChar w:fldCharType="end"/>
        </w:r>
      </w:hyperlink>
    </w:p>
    <w:p w14:paraId="70AE3EAE" w14:textId="511D8B2C" w:rsidR="0062768B" w:rsidRDefault="00BA64ED">
      <w:pPr>
        <w:pStyle w:val="21"/>
        <w:tabs>
          <w:tab w:val="right" w:leader="dot" w:pos="8654"/>
        </w:tabs>
        <w:rPr>
          <w:rFonts w:ascii="Arial" w:hAnsi="Arial"/>
          <w:noProof/>
          <w:kern w:val="2"/>
          <w:sz w:val="21"/>
          <w:szCs w:val="22"/>
        </w:rPr>
      </w:pPr>
      <w:hyperlink w:anchor="_Toc132016742" w:history="1">
        <w:r w:rsidR="00136729">
          <w:rPr>
            <w:rStyle w:val="af5"/>
            <w:rFonts w:ascii="Arial" w:eastAsia="仿宋_GB2312" w:hAnsi="Arial" w:cs="Arial" w:hint="eastAsia"/>
            <w:b/>
            <w:noProof/>
            <w:color w:val="auto"/>
          </w:rPr>
          <w:t>三、受托估价方</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_Toc132016742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2</w:t>
        </w:r>
        <w:r w:rsidR="00136729">
          <w:rPr>
            <w:rFonts w:ascii="Arial" w:hAnsi="Arial" w:hint="eastAsia"/>
            <w:noProof/>
          </w:rPr>
          <w:fldChar w:fldCharType="end"/>
        </w:r>
      </w:hyperlink>
    </w:p>
    <w:p w14:paraId="67A780FC" w14:textId="0C5D1797" w:rsidR="0062768B" w:rsidRDefault="00BA64ED">
      <w:pPr>
        <w:pStyle w:val="21"/>
        <w:tabs>
          <w:tab w:val="right" w:leader="dot" w:pos="8654"/>
        </w:tabs>
        <w:rPr>
          <w:rFonts w:ascii="Arial" w:hAnsi="Arial"/>
          <w:noProof/>
          <w:kern w:val="2"/>
          <w:sz w:val="21"/>
          <w:szCs w:val="22"/>
        </w:rPr>
      </w:pPr>
      <w:hyperlink w:anchor="_Toc132016743" w:history="1">
        <w:r w:rsidR="00136729">
          <w:rPr>
            <w:rStyle w:val="af5"/>
            <w:rFonts w:ascii="Arial" w:eastAsia="仿宋_GB2312" w:hAnsi="Arial" w:cs="Arial" w:hint="eastAsia"/>
            <w:b/>
            <w:noProof/>
            <w:color w:val="auto"/>
          </w:rPr>
          <w:t>四、估价目的</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_Toc132016743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2</w:t>
        </w:r>
        <w:r w:rsidR="00136729">
          <w:rPr>
            <w:rFonts w:ascii="Arial" w:hAnsi="Arial" w:hint="eastAsia"/>
            <w:noProof/>
          </w:rPr>
          <w:fldChar w:fldCharType="end"/>
        </w:r>
      </w:hyperlink>
    </w:p>
    <w:p w14:paraId="200C336B" w14:textId="4E595776" w:rsidR="0062768B" w:rsidRDefault="00BA64ED">
      <w:pPr>
        <w:pStyle w:val="21"/>
        <w:tabs>
          <w:tab w:val="right" w:leader="dot" w:pos="8654"/>
        </w:tabs>
        <w:rPr>
          <w:rFonts w:ascii="Arial" w:hAnsi="Arial"/>
          <w:noProof/>
          <w:kern w:val="2"/>
          <w:sz w:val="21"/>
          <w:szCs w:val="22"/>
        </w:rPr>
      </w:pPr>
      <w:hyperlink w:anchor="_Toc132016744" w:history="1">
        <w:r w:rsidR="00136729">
          <w:rPr>
            <w:rStyle w:val="af5"/>
            <w:rFonts w:ascii="Arial" w:eastAsia="仿宋_GB2312" w:hAnsi="Arial" w:cs="Arial" w:hint="eastAsia"/>
            <w:b/>
            <w:noProof/>
            <w:color w:val="auto"/>
          </w:rPr>
          <w:t>五、估价依据</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_Toc132016744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3</w:t>
        </w:r>
        <w:r w:rsidR="00136729">
          <w:rPr>
            <w:rFonts w:ascii="Arial" w:hAnsi="Arial" w:hint="eastAsia"/>
            <w:noProof/>
          </w:rPr>
          <w:fldChar w:fldCharType="end"/>
        </w:r>
      </w:hyperlink>
    </w:p>
    <w:p w14:paraId="0F1D4A9E" w14:textId="63508013" w:rsidR="0062768B" w:rsidRDefault="00BA64ED">
      <w:pPr>
        <w:pStyle w:val="21"/>
        <w:tabs>
          <w:tab w:val="right" w:leader="dot" w:pos="8654"/>
        </w:tabs>
        <w:rPr>
          <w:rFonts w:ascii="Arial" w:hAnsi="Arial"/>
          <w:noProof/>
          <w:kern w:val="2"/>
          <w:sz w:val="21"/>
          <w:szCs w:val="22"/>
        </w:rPr>
      </w:pPr>
      <w:hyperlink w:anchor="_Toc132016745" w:history="1">
        <w:r w:rsidR="00136729">
          <w:rPr>
            <w:rStyle w:val="af5"/>
            <w:rFonts w:ascii="Arial" w:eastAsia="仿宋_GB2312" w:hAnsi="Arial" w:cs="Arial" w:hint="eastAsia"/>
            <w:b/>
            <w:noProof/>
            <w:color w:val="auto"/>
          </w:rPr>
          <w:t>六、估价期日</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_Toc132016745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8</w:t>
        </w:r>
        <w:r w:rsidR="00136729">
          <w:rPr>
            <w:rFonts w:ascii="Arial" w:hAnsi="Arial" w:hint="eastAsia"/>
            <w:noProof/>
          </w:rPr>
          <w:fldChar w:fldCharType="end"/>
        </w:r>
      </w:hyperlink>
    </w:p>
    <w:p w14:paraId="71C45275" w14:textId="2FB51566" w:rsidR="0062768B" w:rsidRDefault="00BA64ED">
      <w:pPr>
        <w:pStyle w:val="21"/>
        <w:tabs>
          <w:tab w:val="right" w:leader="dot" w:pos="8654"/>
        </w:tabs>
        <w:rPr>
          <w:rFonts w:ascii="Arial" w:hAnsi="Arial"/>
          <w:noProof/>
          <w:kern w:val="2"/>
          <w:sz w:val="21"/>
          <w:szCs w:val="22"/>
        </w:rPr>
      </w:pPr>
      <w:hyperlink w:anchor="_Toc132016746" w:history="1">
        <w:r w:rsidR="00136729">
          <w:rPr>
            <w:rStyle w:val="af5"/>
            <w:rFonts w:ascii="Arial" w:eastAsia="仿宋_GB2312" w:hAnsi="Arial" w:cs="Arial" w:hint="eastAsia"/>
            <w:b/>
            <w:bCs/>
            <w:noProof/>
            <w:color w:val="auto"/>
          </w:rPr>
          <w:t>七、估价日期</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_Toc132016746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9</w:t>
        </w:r>
        <w:r w:rsidR="00136729">
          <w:rPr>
            <w:rFonts w:ascii="Arial" w:hAnsi="Arial" w:hint="eastAsia"/>
            <w:noProof/>
          </w:rPr>
          <w:fldChar w:fldCharType="end"/>
        </w:r>
      </w:hyperlink>
    </w:p>
    <w:p w14:paraId="139C4226" w14:textId="72167A61" w:rsidR="0062768B" w:rsidRDefault="00BA64ED">
      <w:pPr>
        <w:pStyle w:val="21"/>
        <w:tabs>
          <w:tab w:val="right" w:leader="dot" w:pos="8654"/>
        </w:tabs>
        <w:rPr>
          <w:rFonts w:ascii="Arial" w:hAnsi="Arial"/>
          <w:noProof/>
          <w:kern w:val="2"/>
          <w:sz w:val="21"/>
          <w:szCs w:val="22"/>
        </w:rPr>
      </w:pPr>
      <w:hyperlink w:anchor="_Toc132016747" w:history="1">
        <w:r w:rsidR="00136729">
          <w:rPr>
            <w:rStyle w:val="af5"/>
            <w:rFonts w:ascii="Arial" w:eastAsia="仿宋_GB2312" w:hAnsi="Arial" w:cs="Arial" w:hint="eastAsia"/>
            <w:b/>
            <w:bCs/>
            <w:noProof/>
            <w:color w:val="auto"/>
          </w:rPr>
          <w:t>八、地价定义</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_Toc132016747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9</w:t>
        </w:r>
        <w:r w:rsidR="00136729">
          <w:rPr>
            <w:rFonts w:ascii="Arial" w:hAnsi="Arial" w:hint="eastAsia"/>
            <w:noProof/>
          </w:rPr>
          <w:fldChar w:fldCharType="end"/>
        </w:r>
      </w:hyperlink>
    </w:p>
    <w:p w14:paraId="6CA27827" w14:textId="38D3B656" w:rsidR="0062768B" w:rsidRDefault="00BA64ED">
      <w:pPr>
        <w:pStyle w:val="21"/>
        <w:tabs>
          <w:tab w:val="right" w:leader="dot" w:pos="8654"/>
        </w:tabs>
        <w:rPr>
          <w:rFonts w:ascii="Arial" w:hAnsi="Arial"/>
          <w:noProof/>
          <w:kern w:val="2"/>
          <w:sz w:val="21"/>
          <w:szCs w:val="22"/>
        </w:rPr>
      </w:pPr>
      <w:hyperlink w:anchor="_Toc132016748" w:history="1">
        <w:r w:rsidR="00136729">
          <w:rPr>
            <w:rStyle w:val="af5"/>
            <w:rFonts w:ascii="Arial" w:eastAsia="仿宋_GB2312" w:hAnsi="Arial" w:cs="Arial" w:hint="eastAsia"/>
            <w:b/>
            <w:noProof/>
            <w:color w:val="auto"/>
          </w:rPr>
          <w:t>九、估价结果</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_Toc132016748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12</w:t>
        </w:r>
        <w:r w:rsidR="00136729">
          <w:rPr>
            <w:rFonts w:ascii="Arial" w:hAnsi="Arial" w:hint="eastAsia"/>
            <w:noProof/>
          </w:rPr>
          <w:fldChar w:fldCharType="end"/>
        </w:r>
      </w:hyperlink>
    </w:p>
    <w:p w14:paraId="2FE873E5" w14:textId="7C1ADA45" w:rsidR="0062768B" w:rsidRDefault="00BA64ED">
      <w:pPr>
        <w:pStyle w:val="21"/>
        <w:tabs>
          <w:tab w:val="right" w:leader="dot" w:pos="8654"/>
        </w:tabs>
        <w:rPr>
          <w:rFonts w:ascii="Arial" w:hAnsi="Arial"/>
          <w:noProof/>
          <w:kern w:val="2"/>
          <w:sz w:val="21"/>
          <w:szCs w:val="22"/>
        </w:rPr>
      </w:pPr>
      <w:hyperlink w:anchor="_Toc132016749" w:history="1">
        <w:r w:rsidR="00136729">
          <w:rPr>
            <w:rStyle w:val="af5"/>
            <w:rFonts w:ascii="Arial" w:eastAsia="仿宋_GB2312" w:hAnsi="Arial" w:cs="Arial" w:hint="eastAsia"/>
            <w:b/>
            <w:noProof/>
            <w:color w:val="auto"/>
          </w:rPr>
          <w:t>十、需要特殊说明的事项</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_Toc132016749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14</w:t>
        </w:r>
        <w:r w:rsidR="00136729">
          <w:rPr>
            <w:rFonts w:ascii="Arial" w:hAnsi="Arial" w:hint="eastAsia"/>
            <w:noProof/>
          </w:rPr>
          <w:fldChar w:fldCharType="end"/>
        </w:r>
      </w:hyperlink>
    </w:p>
    <w:p w14:paraId="03B2D842" w14:textId="53800E04" w:rsidR="0062768B" w:rsidRDefault="00BA64ED">
      <w:pPr>
        <w:pStyle w:val="21"/>
        <w:tabs>
          <w:tab w:val="right" w:leader="dot" w:pos="8654"/>
        </w:tabs>
        <w:rPr>
          <w:rFonts w:ascii="Arial" w:hAnsi="Arial"/>
          <w:noProof/>
          <w:kern w:val="2"/>
          <w:sz w:val="21"/>
          <w:szCs w:val="22"/>
        </w:rPr>
      </w:pPr>
      <w:hyperlink w:anchor="_Toc132016750" w:history="1">
        <w:r w:rsidR="00136729">
          <w:rPr>
            <w:rStyle w:val="af5"/>
            <w:rFonts w:ascii="Arial" w:eastAsia="仿宋_GB2312" w:hAnsi="Arial" w:cs="Arial" w:hint="eastAsia"/>
            <w:b/>
            <w:noProof/>
            <w:color w:val="auto"/>
          </w:rPr>
          <w:t>十一、土地估价专业评估师签字</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_Toc132016750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19</w:t>
        </w:r>
        <w:r w:rsidR="00136729">
          <w:rPr>
            <w:rFonts w:ascii="Arial" w:hAnsi="Arial" w:hint="eastAsia"/>
            <w:noProof/>
          </w:rPr>
          <w:fldChar w:fldCharType="end"/>
        </w:r>
      </w:hyperlink>
    </w:p>
    <w:p w14:paraId="7F1F1B10" w14:textId="7C915586" w:rsidR="0062768B" w:rsidRDefault="00BA64ED">
      <w:pPr>
        <w:pStyle w:val="21"/>
        <w:tabs>
          <w:tab w:val="right" w:leader="dot" w:pos="8654"/>
        </w:tabs>
        <w:rPr>
          <w:rFonts w:ascii="Arial" w:hAnsi="Arial"/>
          <w:noProof/>
          <w:kern w:val="2"/>
          <w:sz w:val="21"/>
          <w:szCs w:val="22"/>
        </w:rPr>
      </w:pPr>
      <w:hyperlink w:anchor="_Toc132016751" w:history="1">
        <w:r w:rsidR="00136729">
          <w:rPr>
            <w:rStyle w:val="af5"/>
            <w:rFonts w:ascii="Arial" w:eastAsia="仿宋_GB2312" w:hAnsi="Arial" w:cs="Arial" w:hint="eastAsia"/>
            <w:b/>
            <w:noProof/>
            <w:color w:val="auto"/>
          </w:rPr>
          <w:t>十二、土地估价机构</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_Toc132016751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19</w:t>
        </w:r>
        <w:r w:rsidR="00136729">
          <w:rPr>
            <w:rFonts w:ascii="Arial" w:hAnsi="Arial" w:hint="eastAsia"/>
            <w:noProof/>
          </w:rPr>
          <w:fldChar w:fldCharType="end"/>
        </w:r>
      </w:hyperlink>
    </w:p>
    <w:p w14:paraId="675E32C4" w14:textId="629201A9" w:rsidR="0062768B" w:rsidRDefault="00BA64ED">
      <w:pPr>
        <w:pStyle w:val="10"/>
        <w:rPr>
          <w:rFonts w:ascii="Arial" w:eastAsia="宋体"/>
          <w:noProof/>
          <w:kern w:val="2"/>
          <w:sz w:val="21"/>
          <w:szCs w:val="22"/>
        </w:rPr>
      </w:pPr>
      <w:hyperlink w:anchor="_Toc132016752" w:history="1">
        <w:r w:rsidR="00136729">
          <w:rPr>
            <w:rStyle w:val="af5"/>
            <w:rFonts w:ascii="Arial" w:cs="Arial" w:hint="eastAsia"/>
            <w:b/>
            <w:noProof/>
            <w:color w:val="auto"/>
          </w:rPr>
          <w:t>第二部分</w:t>
        </w:r>
        <w:r w:rsidR="00136729">
          <w:rPr>
            <w:rStyle w:val="af5"/>
            <w:rFonts w:ascii="Arial" w:cs="Arial" w:hint="eastAsia"/>
            <w:b/>
            <w:noProof/>
            <w:color w:val="auto"/>
          </w:rPr>
          <w:t xml:space="preserve">  </w:t>
        </w:r>
        <w:r w:rsidR="00136729">
          <w:rPr>
            <w:rStyle w:val="af5"/>
            <w:rFonts w:ascii="Arial" w:cs="Arial" w:hint="eastAsia"/>
            <w:b/>
            <w:noProof/>
            <w:color w:val="auto"/>
          </w:rPr>
          <w:t>估价对象描述及土地价格影响因素分析</w:t>
        </w:r>
        <w:r w:rsidR="00136729">
          <w:rPr>
            <w:rFonts w:ascii="Arial" w:hint="eastAsia"/>
            <w:noProof/>
          </w:rPr>
          <w:tab/>
        </w:r>
        <w:r w:rsidR="00136729">
          <w:rPr>
            <w:rFonts w:ascii="Arial" w:hint="eastAsia"/>
            <w:noProof/>
          </w:rPr>
          <w:fldChar w:fldCharType="begin"/>
        </w:r>
        <w:r w:rsidR="00136729">
          <w:rPr>
            <w:rFonts w:ascii="Arial" w:hint="eastAsia"/>
            <w:noProof/>
          </w:rPr>
          <w:instrText xml:space="preserve"> </w:instrText>
        </w:r>
        <w:r w:rsidR="00136729">
          <w:rPr>
            <w:rFonts w:ascii="Arial"/>
            <w:noProof/>
          </w:rPr>
          <w:instrText>PAGEREF _Toc132016752 \h</w:instrText>
        </w:r>
        <w:r w:rsidR="00136729">
          <w:rPr>
            <w:rFonts w:ascii="Arial" w:hint="eastAsia"/>
            <w:noProof/>
          </w:rPr>
          <w:instrText xml:space="preserve"> </w:instrText>
        </w:r>
        <w:r w:rsidR="00136729">
          <w:rPr>
            <w:rFonts w:ascii="Arial" w:hint="eastAsia"/>
            <w:noProof/>
          </w:rPr>
        </w:r>
        <w:r w:rsidR="00136729">
          <w:rPr>
            <w:rFonts w:ascii="Arial" w:hint="eastAsia"/>
            <w:noProof/>
          </w:rPr>
          <w:fldChar w:fldCharType="separate"/>
        </w:r>
        <w:r w:rsidR="00821A1F">
          <w:rPr>
            <w:rFonts w:ascii="Arial"/>
            <w:noProof/>
          </w:rPr>
          <w:t>20</w:t>
        </w:r>
        <w:r w:rsidR="00136729">
          <w:rPr>
            <w:rFonts w:ascii="Arial" w:hint="eastAsia"/>
            <w:noProof/>
          </w:rPr>
          <w:fldChar w:fldCharType="end"/>
        </w:r>
      </w:hyperlink>
    </w:p>
    <w:p w14:paraId="23CE7015" w14:textId="11CB286B" w:rsidR="0062768B" w:rsidRDefault="00BA64ED">
      <w:pPr>
        <w:pStyle w:val="21"/>
        <w:tabs>
          <w:tab w:val="right" w:leader="dot" w:pos="8654"/>
        </w:tabs>
        <w:rPr>
          <w:rFonts w:ascii="Arial" w:hAnsi="Arial"/>
          <w:noProof/>
          <w:kern w:val="2"/>
          <w:sz w:val="21"/>
          <w:szCs w:val="22"/>
        </w:rPr>
      </w:pPr>
      <w:hyperlink w:anchor="_Toc132016753" w:history="1">
        <w:r w:rsidR="00136729">
          <w:rPr>
            <w:rStyle w:val="af5"/>
            <w:rFonts w:ascii="Arial" w:eastAsia="仿宋_GB2312" w:hAnsi="Arial" w:cs="Arial" w:hint="eastAsia"/>
            <w:b/>
            <w:noProof/>
            <w:color w:val="auto"/>
          </w:rPr>
          <w:t>一、估价对象描述</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_Toc132016753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20</w:t>
        </w:r>
        <w:r w:rsidR="00136729">
          <w:rPr>
            <w:rFonts w:ascii="Arial" w:hAnsi="Arial" w:hint="eastAsia"/>
            <w:noProof/>
          </w:rPr>
          <w:fldChar w:fldCharType="end"/>
        </w:r>
      </w:hyperlink>
    </w:p>
    <w:p w14:paraId="41AE982A" w14:textId="082EBCF8" w:rsidR="0062768B" w:rsidRDefault="00BA64ED">
      <w:pPr>
        <w:pStyle w:val="21"/>
        <w:tabs>
          <w:tab w:val="right" w:leader="dot" w:pos="8654"/>
        </w:tabs>
        <w:rPr>
          <w:rFonts w:ascii="Arial" w:hAnsi="Arial"/>
          <w:noProof/>
          <w:kern w:val="2"/>
          <w:sz w:val="21"/>
          <w:szCs w:val="22"/>
        </w:rPr>
      </w:pPr>
      <w:hyperlink w:anchor="_Toc132016754" w:history="1">
        <w:r w:rsidR="00136729">
          <w:rPr>
            <w:rStyle w:val="af5"/>
            <w:rFonts w:ascii="Arial" w:eastAsia="仿宋_GB2312" w:hAnsi="Arial" w:cs="Arial" w:hint="eastAsia"/>
            <w:b/>
            <w:noProof/>
            <w:color w:val="auto"/>
          </w:rPr>
          <w:t>二、地价影响因素分析</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_Toc132016754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22</w:t>
        </w:r>
        <w:r w:rsidR="00136729">
          <w:rPr>
            <w:rFonts w:ascii="Arial" w:hAnsi="Arial" w:hint="eastAsia"/>
            <w:noProof/>
          </w:rPr>
          <w:fldChar w:fldCharType="end"/>
        </w:r>
      </w:hyperlink>
    </w:p>
    <w:p w14:paraId="6210687C" w14:textId="30C909A6" w:rsidR="0062768B" w:rsidRDefault="00BA64ED">
      <w:pPr>
        <w:pStyle w:val="10"/>
        <w:rPr>
          <w:rFonts w:ascii="Arial"/>
          <w:noProof/>
          <w:kern w:val="2"/>
          <w:sz w:val="21"/>
          <w:szCs w:val="22"/>
        </w:rPr>
      </w:pPr>
      <w:hyperlink w:anchor="_Toc132016755" w:history="1">
        <w:r w:rsidR="00136729">
          <w:rPr>
            <w:rStyle w:val="af5"/>
            <w:rFonts w:ascii="Arial" w:cs="Arial" w:hint="eastAsia"/>
            <w:b/>
            <w:noProof/>
            <w:color w:val="auto"/>
          </w:rPr>
          <w:t>第三部分</w:t>
        </w:r>
        <w:r w:rsidR="00136729">
          <w:rPr>
            <w:rStyle w:val="af5"/>
            <w:rFonts w:ascii="Arial" w:cs="Arial" w:hint="eastAsia"/>
            <w:b/>
            <w:noProof/>
            <w:color w:val="auto"/>
          </w:rPr>
          <w:t xml:space="preserve">  </w:t>
        </w:r>
        <w:r w:rsidR="00136729">
          <w:rPr>
            <w:rStyle w:val="af5"/>
            <w:rFonts w:ascii="Arial" w:cs="Arial" w:hint="eastAsia"/>
            <w:b/>
            <w:noProof/>
            <w:color w:val="auto"/>
          </w:rPr>
          <w:t>土地估价</w:t>
        </w:r>
        <w:r w:rsidR="00136729">
          <w:rPr>
            <w:rFonts w:ascii="Arial" w:hint="eastAsia"/>
            <w:noProof/>
          </w:rPr>
          <w:tab/>
          <w:t>4</w:t>
        </w:r>
      </w:hyperlink>
      <w:r w:rsidR="00136729">
        <w:rPr>
          <w:rFonts w:ascii="Arial" w:hint="eastAsia"/>
          <w:noProof/>
        </w:rPr>
        <w:t>0</w:t>
      </w:r>
    </w:p>
    <w:p w14:paraId="2A854619" w14:textId="15BC4A01" w:rsidR="0062768B" w:rsidRDefault="00BA64ED">
      <w:pPr>
        <w:pStyle w:val="21"/>
        <w:tabs>
          <w:tab w:val="right" w:leader="dot" w:pos="8654"/>
        </w:tabs>
        <w:rPr>
          <w:rFonts w:ascii="Arial" w:hAnsi="Arial"/>
          <w:noProof/>
          <w:kern w:val="2"/>
          <w:sz w:val="21"/>
          <w:szCs w:val="22"/>
        </w:rPr>
      </w:pPr>
      <w:hyperlink w:anchor="_Toc132016756" w:history="1">
        <w:r w:rsidR="00136729">
          <w:rPr>
            <w:rStyle w:val="af5"/>
            <w:rFonts w:ascii="Arial" w:eastAsia="仿宋_GB2312" w:hAnsi="Arial" w:cs="Arial" w:hint="eastAsia"/>
            <w:b/>
            <w:noProof/>
            <w:color w:val="auto"/>
          </w:rPr>
          <w:t>一、估价原则</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_Toc132016756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40</w:t>
        </w:r>
        <w:r w:rsidR="00136729">
          <w:rPr>
            <w:rFonts w:ascii="Arial" w:hAnsi="Arial" w:hint="eastAsia"/>
            <w:noProof/>
          </w:rPr>
          <w:fldChar w:fldCharType="end"/>
        </w:r>
      </w:hyperlink>
    </w:p>
    <w:p w14:paraId="55DEF9E2" w14:textId="23FB50F2" w:rsidR="0062768B" w:rsidRDefault="00BA64ED">
      <w:pPr>
        <w:pStyle w:val="21"/>
        <w:tabs>
          <w:tab w:val="right" w:leader="dot" w:pos="8654"/>
        </w:tabs>
        <w:rPr>
          <w:rFonts w:ascii="Arial" w:hAnsi="Arial"/>
          <w:noProof/>
          <w:kern w:val="2"/>
          <w:sz w:val="21"/>
          <w:szCs w:val="22"/>
        </w:rPr>
      </w:pPr>
      <w:hyperlink w:anchor="_Toc132016757" w:history="1">
        <w:r w:rsidR="00136729">
          <w:rPr>
            <w:rStyle w:val="af5"/>
            <w:rFonts w:ascii="Arial" w:eastAsia="仿宋_GB2312" w:hAnsi="Arial" w:cs="Arial" w:hint="eastAsia"/>
            <w:b/>
            <w:noProof/>
            <w:color w:val="auto"/>
          </w:rPr>
          <w:t>二、估价方法与估价过程</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_Toc132016757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43</w:t>
        </w:r>
        <w:r w:rsidR="00136729">
          <w:rPr>
            <w:rFonts w:ascii="Arial" w:hAnsi="Arial" w:hint="eastAsia"/>
            <w:noProof/>
          </w:rPr>
          <w:fldChar w:fldCharType="end"/>
        </w:r>
      </w:hyperlink>
    </w:p>
    <w:p w14:paraId="662533E8" w14:textId="40271CFE" w:rsidR="0062768B" w:rsidRDefault="00BA64ED">
      <w:pPr>
        <w:pStyle w:val="21"/>
        <w:tabs>
          <w:tab w:val="right" w:leader="dot" w:pos="8654"/>
        </w:tabs>
        <w:rPr>
          <w:rFonts w:ascii="Arial" w:hAnsi="Arial"/>
          <w:noProof/>
          <w:kern w:val="2"/>
          <w:sz w:val="21"/>
          <w:szCs w:val="22"/>
        </w:rPr>
      </w:pPr>
      <w:hyperlink w:anchor="_Toc132016758" w:history="1">
        <w:r w:rsidR="00136729">
          <w:rPr>
            <w:rStyle w:val="af5"/>
            <w:rFonts w:ascii="Arial" w:eastAsia="仿宋_GB2312" w:hAnsi="Arial" w:cs="Arial" w:hint="eastAsia"/>
            <w:b/>
            <w:noProof/>
            <w:color w:val="auto"/>
          </w:rPr>
          <w:t>三、求取估价对象各用途楼面熟地价</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_Toc132016758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109</w:t>
        </w:r>
        <w:r w:rsidR="00136729">
          <w:rPr>
            <w:rFonts w:ascii="Arial" w:hAnsi="Arial" w:hint="eastAsia"/>
            <w:noProof/>
          </w:rPr>
          <w:fldChar w:fldCharType="end"/>
        </w:r>
      </w:hyperlink>
    </w:p>
    <w:p w14:paraId="3C453F32" w14:textId="2E879E61" w:rsidR="0062768B" w:rsidRDefault="00BA64ED">
      <w:pPr>
        <w:pStyle w:val="21"/>
        <w:tabs>
          <w:tab w:val="right" w:leader="dot" w:pos="8654"/>
        </w:tabs>
        <w:rPr>
          <w:rFonts w:ascii="Arial" w:hAnsi="Arial"/>
          <w:noProof/>
          <w:kern w:val="2"/>
          <w:sz w:val="21"/>
          <w:szCs w:val="22"/>
        </w:rPr>
      </w:pPr>
      <w:hyperlink w:anchor="_Toc132016759" w:history="1">
        <w:r w:rsidR="00136729">
          <w:rPr>
            <w:rStyle w:val="af5"/>
            <w:rFonts w:ascii="Arial" w:eastAsia="仿宋_GB2312" w:hAnsi="Arial" w:cs="Arial" w:hint="eastAsia"/>
            <w:b/>
            <w:noProof/>
            <w:color w:val="auto"/>
          </w:rPr>
          <w:t>四、政府土地出让收益</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_Toc132016759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112</w:t>
        </w:r>
        <w:r w:rsidR="00136729">
          <w:rPr>
            <w:rFonts w:ascii="Arial" w:hAnsi="Arial" w:hint="eastAsia"/>
            <w:noProof/>
          </w:rPr>
          <w:fldChar w:fldCharType="end"/>
        </w:r>
      </w:hyperlink>
    </w:p>
    <w:p w14:paraId="47963AEE" w14:textId="0DD32195" w:rsidR="0062768B" w:rsidRDefault="00BA64ED">
      <w:pPr>
        <w:pStyle w:val="21"/>
        <w:tabs>
          <w:tab w:val="right" w:leader="dot" w:pos="8654"/>
        </w:tabs>
        <w:rPr>
          <w:rFonts w:ascii="Arial" w:hAnsi="Arial"/>
          <w:noProof/>
          <w:kern w:val="2"/>
          <w:sz w:val="21"/>
          <w:szCs w:val="22"/>
        </w:rPr>
      </w:pPr>
      <w:hyperlink w:anchor="_Toc132016760" w:history="1">
        <w:r w:rsidR="00136729">
          <w:rPr>
            <w:rStyle w:val="af5"/>
            <w:rFonts w:ascii="Arial" w:eastAsia="仿宋_GB2312" w:hAnsi="Arial" w:cs="Arial" w:hint="eastAsia"/>
            <w:b/>
            <w:noProof/>
            <w:color w:val="auto"/>
          </w:rPr>
          <w:t>五、近三年同区域土地市场情况分析</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_Toc132016760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113</w:t>
        </w:r>
        <w:r w:rsidR="00136729">
          <w:rPr>
            <w:rFonts w:ascii="Arial" w:hAnsi="Arial" w:hint="eastAsia"/>
            <w:noProof/>
          </w:rPr>
          <w:fldChar w:fldCharType="end"/>
        </w:r>
      </w:hyperlink>
    </w:p>
    <w:p w14:paraId="695F872A" w14:textId="010F96BF" w:rsidR="0062768B" w:rsidRDefault="00BA64ED">
      <w:pPr>
        <w:pStyle w:val="21"/>
        <w:tabs>
          <w:tab w:val="right" w:leader="dot" w:pos="8654"/>
        </w:tabs>
        <w:rPr>
          <w:rFonts w:ascii="Arial" w:hAnsi="Arial"/>
          <w:noProof/>
          <w:kern w:val="2"/>
          <w:sz w:val="21"/>
          <w:szCs w:val="22"/>
        </w:rPr>
      </w:pPr>
      <w:hyperlink w:anchor="_Toc132016761" w:history="1">
        <w:r w:rsidR="00136729">
          <w:rPr>
            <w:rStyle w:val="af5"/>
            <w:rFonts w:ascii="Arial" w:eastAsia="仿宋_GB2312" w:hAnsi="Arial" w:cs="Arial" w:hint="eastAsia"/>
            <w:b/>
            <w:noProof/>
            <w:color w:val="auto"/>
          </w:rPr>
          <w:t>六、估价结果的确定</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_Toc132016761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118</w:t>
        </w:r>
        <w:r w:rsidR="00136729">
          <w:rPr>
            <w:rFonts w:ascii="Arial" w:hAnsi="Arial" w:hint="eastAsia"/>
            <w:noProof/>
          </w:rPr>
          <w:fldChar w:fldCharType="end"/>
        </w:r>
      </w:hyperlink>
    </w:p>
    <w:p w14:paraId="10D133C6" w14:textId="0F001BA3" w:rsidR="0062768B" w:rsidRDefault="00BA64ED">
      <w:pPr>
        <w:pStyle w:val="10"/>
        <w:rPr>
          <w:rFonts w:ascii="Arial"/>
          <w:noProof/>
          <w:kern w:val="2"/>
          <w:sz w:val="21"/>
          <w:szCs w:val="22"/>
        </w:rPr>
      </w:pPr>
      <w:hyperlink w:anchor="_Toc132016762" w:history="1">
        <w:r w:rsidR="00136729">
          <w:rPr>
            <w:rStyle w:val="af5"/>
            <w:rFonts w:ascii="Arial" w:cs="Arial" w:hint="eastAsia"/>
            <w:b/>
            <w:noProof/>
            <w:color w:val="auto"/>
          </w:rPr>
          <w:t>第四部分</w:t>
        </w:r>
        <w:r w:rsidR="00136729">
          <w:rPr>
            <w:rStyle w:val="af5"/>
            <w:rFonts w:ascii="Arial" w:cs="Arial" w:hint="eastAsia"/>
            <w:b/>
            <w:noProof/>
            <w:color w:val="auto"/>
          </w:rPr>
          <w:t xml:space="preserve">  </w:t>
        </w:r>
        <w:r w:rsidR="00136729">
          <w:rPr>
            <w:rStyle w:val="af5"/>
            <w:rFonts w:ascii="Arial" w:cs="Arial" w:hint="eastAsia"/>
            <w:b/>
            <w:noProof/>
            <w:color w:val="auto"/>
          </w:rPr>
          <w:t>附</w:t>
        </w:r>
        <w:r w:rsidR="00136729">
          <w:rPr>
            <w:rStyle w:val="af5"/>
            <w:rFonts w:ascii="Arial" w:cs="Arial" w:hint="eastAsia"/>
            <w:b/>
            <w:noProof/>
            <w:color w:val="auto"/>
          </w:rPr>
          <w:t xml:space="preserve">  </w:t>
        </w:r>
        <w:r w:rsidR="00136729">
          <w:rPr>
            <w:rStyle w:val="af5"/>
            <w:rFonts w:ascii="Arial" w:cs="Arial" w:hint="eastAsia"/>
            <w:b/>
            <w:noProof/>
            <w:color w:val="auto"/>
          </w:rPr>
          <w:t>件</w:t>
        </w:r>
        <w:r w:rsidR="00136729">
          <w:rPr>
            <w:rFonts w:ascii="Arial" w:hint="eastAsia"/>
            <w:noProof/>
          </w:rPr>
          <w:tab/>
        </w:r>
        <w:r w:rsidR="00ED3BF9">
          <w:rPr>
            <w:rFonts w:ascii="Arial"/>
            <w:noProof/>
          </w:rPr>
          <w:t>121</w:t>
        </w:r>
      </w:hyperlink>
    </w:p>
    <w:p w14:paraId="44BBDA6B" w14:textId="77777777" w:rsidR="0062768B" w:rsidRDefault="00136729">
      <w:pPr>
        <w:pStyle w:val="21"/>
        <w:tabs>
          <w:tab w:val="right" w:leader="dot" w:pos="8654"/>
        </w:tabs>
        <w:spacing w:line="300" w:lineRule="auto"/>
        <w:rPr>
          <w:rFonts w:ascii="Arial" w:eastAsia="楷体" w:hAnsi="Arial" w:cs="Arial"/>
          <w:b/>
          <w:sz w:val="32"/>
        </w:rPr>
        <w:sectPr w:rsidR="0062768B">
          <w:footerReference w:type="default" r:id="rId54"/>
          <w:headerReference w:type="first" r:id="rId55"/>
          <w:footerReference w:type="first" r:id="rId56"/>
          <w:type w:val="nextColumn"/>
          <w:pgSz w:w="11907" w:h="16840"/>
          <w:pgMar w:top="1418" w:right="1418" w:bottom="1134" w:left="1418" w:header="794" w:footer="907" w:gutter="0"/>
          <w:pgNumType w:start="0"/>
          <w:cols w:space="720"/>
          <w:titlePg/>
          <w:docGrid w:linePitch="326"/>
        </w:sectPr>
      </w:pPr>
      <w:r>
        <w:rPr>
          <w:rStyle w:val="af5"/>
          <w:rFonts w:ascii="Arial" w:eastAsia="仿宋_GB2312" w:hAnsi="Arial" w:cs="Arial"/>
          <w:b/>
          <w:color w:val="auto"/>
          <w:szCs w:val="24"/>
        </w:rPr>
        <w:fldChar w:fldCharType="end"/>
      </w:r>
    </w:p>
    <w:p w14:paraId="75B70A24" w14:textId="77777777" w:rsidR="0062768B" w:rsidRDefault="00136729">
      <w:pPr>
        <w:spacing w:line="300" w:lineRule="auto"/>
        <w:jc w:val="center"/>
        <w:rPr>
          <w:rFonts w:ascii="Arial" w:hAnsi="Arial" w:cs="Arial"/>
          <w:sz w:val="32"/>
        </w:rPr>
      </w:pPr>
      <w:bookmarkStart w:id="204" w:name="_Toc416783638"/>
      <w:bookmarkStart w:id="205" w:name="_Toc416783542"/>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技</w:t>
      </w:r>
      <w:r>
        <w:rPr>
          <w:rFonts w:ascii="Arial" w:eastAsia="仿宋_GB2312" w:hAnsi="Arial" w:cs="Arial"/>
          <w:b/>
          <w:sz w:val="32"/>
        </w:rPr>
        <w:t xml:space="preserve"> </w:t>
      </w:r>
      <w:r>
        <w:rPr>
          <w:rFonts w:ascii="Arial" w:hAnsi="Arial" w:cs="Arial"/>
          <w:b/>
          <w:sz w:val="32"/>
        </w:rPr>
        <w:t>术</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bookmarkEnd w:id="204"/>
      <w:bookmarkEnd w:id="205"/>
    </w:p>
    <w:p w14:paraId="0A0D0E07" w14:textId="77777777" w:rsidR="0062768B" w:rsidRDefault="0062768B">
      <w:pPr>
        <w:spacing w:line="300" w:lineRule="auto"/>
        <w:jc w:val="center"/>
        <w:rPr>
          <w:rFonts w:ascii="Arial" w:hAnsi="Arial" w:cs="Arial"/>
          <w:sz w:val="32"/>
        </w:rPr>
      </w:pPr>
    </w:p>
    <w:p w14:paraId="31DFDB44" w14:textId="77777777" w:rsidR="0062768B" w:rsidRDefault="00136729">
      <w:pPr>
        <w:spacing w:line="300" w:lineRule="auto"/>
        <w:jc w:val="center"/>
        <w:outlineLvl w:val="0"/>
        <w:rPr>
          <w:rFonts w:ascii="Arial" w:hAnsi="Arial" w:cs="Arial"/>
          <w:sz w:val="32"/>
        </w:rPr>
      </w:pPr>
      <w:bookmarkStart w:id="206" w:name="_Toc138063010"/>
      <w:bookmarkStart w:id="207" w:name="_Toc416783639"/>
      <w:bookmarkStart w:id="208" w:name="_Toc416783543"/>
      <w:bookmarkStart w:id="209" w:name="_Toc469066149"/>
      <w:bookmarkStart w:id="210" w:name="_Toc516488179"/>
      <w:bookmarkStart w:id="211" w:name="_Toc515457801"/>
      <w:bookmarkStart w:id="212" w:name="_Toc132016739"/>
      <w:bookmarkStart w:id="213" w:name="_Toc132016622"/>
      <w:r>
        <w:rPr>
          <w:rFonts w:ascii="Arial" w:hAnsi="Arial" w:cs="Arial"/>
          <w:b/>
          <w:sz w:val="32"/>
        </w:rPr>
        <w:t>第一部分</w:t>
      </w:r>
      <w:r>
        <w:rPr>
          <w:rFonts w:ascii="Arial" w:eastAsia="仿宋_GB2312" w:hAnsi="Arial" w:cs="Arial"/>
          <w:b/>
          <w:sz w:val="32"/>
        </w:rPr>
        <w:t xml:space="preserve">  </w:t>
      </w:r>
      <w:r>
        <w:rPr>
          <w:rFonts w:ascii="Arial" w:hAnsi="Arial" w:cs="Arial"/>
          <w:b/>
          <w:sz w:val="32"/>
        </w:rPr>
        <w:t>总</w:t>
      </w:r>
      <w:r>
        <w:rPr>
          <w:rFonts w:ascii="Arial" w:eastAsia="仿宋_GB2312" w:hAnsi="Arial" w:cs="Arial"/>
          <w:b/>
          <w:sz w:val="32"/>
        </w:rPr>
        <w:t xml:space="preserve">  </w:t>
      </w:r>
      <w:r>
        <w:rPr>
          <w:rFonts w:ascii="Arial" w:hAnsi="Arial" w:cs="Arial"/>
          <w:b/>
          <w:sz w:val="32"/>
        </w:rPr>
        <w:t>述</w:t>
      </w:r>
      <w:bookmarkEnd w:id="206"/>
      <w:bookmarkEnd w:id="207"/>
      <w:bookmarkEnd w:id="208"/>
      <w:bookmarkEnd w:id="209"/>
      <w:bookmarkEnd w:id="210"/>
      <w:bookmarkEnd w:id="211"/>
      <w:bookmarkEnd w:id="212"/>
      <w:bookmarkEnd w:id="213"/>
    </w:p>
    <w:p w14:paraId="73EB866F" w14:textId="77777777" w:rsidR="0062768B" w:rsidRDefault="0062768B">
      <w:pPr>
        <w:spacing w:line="300" w:lineRule="auto"/>
        <w:jc w:val="center"/>
        <w:rPr>
          <w:rFonts w:ascii="Arial" w:eastAsia="仿宋_GB2312" w:hAnsi="Arial" w:cs="Arial"/>
          <w:sz w:val="28"/>
        </w:rPr>
      </w:pPr>
    </w:p>
    <w:p w14:paraId="2D913C26" w14:textId="77777777" w:rsidR="0062768B" w:rsidRDefault="00136729">
      <w:pPr>
        <w:spacing w:line="300" w:lineRule="auto"/>
        <w:outlineLvl w:val="1"/>
        <w:rPr>
          <w:rFonts w:ascii="Arial" w:eastAsia="仿宋_GB2312" w:hAnsi="Arial" w:cs="Arial"/>
          <w:b/>
          <w:sz w:val="28"/>
        </w:rPr>
      </w:pPr>
      <w:bookmarkStart w:id="214" w:name="_Toc132016740"/>
      <w:bookmarkStart w:id="215" w:name="_Toc515457802"/>
      <w:bookmarkStart w:id="216" w:name="_Toc469066150"/>
      <w:bookmarkStart w:id="217" w:name="_Toc132016623"/>
      <w:bookmarkStart w:id="218" w:name="_Toc516488180"/>
      <w:bookmarkStart w:id="219" w:name="_Toc416783640"/>
      <w:bookmarkStart w:id="220" w:name="_Toc138063011"/>
      <w:bookmarkStart w:id="221" w:name="_Toc416783544"/>
      <w:r>
        <w:rPr>
          <w:rFonts w:ascii="Arial" w:eastAsia="仿宋_GB2312" w:hAnsi="Arial" w:cs="Arial"/>
          <w:b/>
          <w:sz w:val="28"/>
        </w:rPr>
        <w:t>一、估价项目名称</w:t>
      </w:r>
      <w:bookmarkEnd w:id="214"/>
      <w:bookmarkEnd w:id="215"/>
      <w:bookmarkEnd w:id="216"/>
      <w:bookmarkEnd w:id="217"/>
      <w:bookmarkEnd w:id="218"/>
      <w:bookmarkEnd w:id="219"/>
      <w:bookmarkEnd w:id="220"/>
      <w:bookmarkEnd w:id="221"/>
    </w:p>
    <w:p w14:paraId="37BD3FF8" w14:textId="77777777" w:rsidR="0062768B" w:rsidRDefault="00136729">
      <w:pPr>
        <w:spacing w:line="300" w:lineRule="auto"/>
        <w:ind w:firstLineChars="199" w:firstLine="557"/>
        <w:jc w:val="both"/>
        <w:rPr>
          <w:rFonts w:ascii="Arial" w:eastAsia="仿宋_GB2312" w:hAnsi="Arial" w:cs="Arial"/>
          <w:sz w:val="28"/>
        </w:rPr>
      </w:pPr>
      <w:r>
        <w:rPr>
          <w:rFonts w:ascii="Arial" w:eastAsia="仿宋_GB2312" w:hAnsi="Arial" w:cs="Arial" w:hint="eastAsia"/>
          <w:sz w:val="28"/>
        </w:rPr>
        <w:t>北京市顺义区高丽营镇夏县营村</w:t>
      </w:r>
      <w:r>
        <w:rPr>
          <w:rFonts w:ascii="Arial" w:eastAsia="仿宋_GB2312" w:hAnsi="Arial" w:cs="Arial" w:hint="eastAsia"/>
          <w:sz w:val="28"/>
        </w:rPr>
        <w:t>01-008</w:t>
      </w:r>
      <w:r>
        <w:rPr>
          <w:rFonts w:ascii="Arial" w:eastAsia="仿宋_GB2312" w:hAnsi="Arial" w:cs="Arial" w:hint="eastAsia"/>
          <w:sz w:val="28"/>
        </w:rPr>
        <w:t>、</w:t>
      </w:r>
      <w:r>
        <w:rPr>
          <w:rFonts w:ascii="Arial" w:eastAsia="仿宋_GB2312" w:hAnsi="Arial" w:cs="Arial" w:hint="eastAsia"/>
          <w:sz w:val="28"/>
        </w:rPr>
        <w:t>01-016</w:t>
      </w:r>
      <w:r>
        <w:rPr>
          <w:rFonts w:ascii="Arial" w:eastAsia="仿宋_GB2312" w:hAnsi="Arial" w:cs="Arial" w:hint="eastAsia"/>
          <w:sz w:val="28"/>
        </w:rPr>
        <w:t>、</w:t>
      </w:r>
      <w:r>
        <w:rPr>
          <w:rFonts w:ascii="Arial" w:eastAsia="仿宋_GB2312" w:hAnsi="Arial" w:cs="Arial" w:hint="eastAsia"/>
          <w:sz w:val="28"/>
        </w:rPr>
        <w:t>01-026-1</w:t>
      </w:r>
      <w:r>
        <w:rPr>
          <w:rFonts w:ascii="Arial" w:eastAsia="仿宋_GB2312" w:hAnsi="Arial" w:cs="Arial" w:hint="eastAsia"/>
          <w:sz w:val="28"/>
        </w:rPr>
        <w:t>地块</w:t>
      </w:r>
      <w:r>
        <w:rPr>
          <w:rFonts w:ascii="Arial" w:eastAsia="仿宋_GB2312" w:hAnsi="Arial" w:cs="Arial" w:hint="eastAsia"/>
          <w:sz w:val="28"/>
        </w:rPr>
        <w:t>R2</w:t>
      </w:r>
      <w:proofErr w:type="gramStart"/>
      <w:r>
        <w:rPr>
          <w:rFonts w:ascii="Arial" w:eastAsia="仿宋_GB2312" w:hAnsi="Arial" w:cs="Arial" w:hint="eastAsia"/>
          <w:sz w:val="28"/>
        </w:rPr>
        <w:t>二</w:t>
      </w:r>
      <w:proofErr w:type="gramEnd"/>
      <w:r>
        <w:rPr>
          <w:rFonts w:ascii="Arial" w:eastAsia="仿宋_GB2312" w:hAnsi="Arial" w:cs="Arial" w:hint="eastAsia"/>
          <w:sz w:val="28"/>
        </w:rPr>
        <w:t>类居住用地及</w:t>
      </w:r>
      <w:r>
        <w:rPr>
          <w:rFonts w:ascii="Arial" w:eastAsia="仿宋_GB2312" w:hAnsi="Arial" w:cs="Arial" w:hint="eastAsia"/>
          <w:sz w:val="28"/>
        </w:rPr>
        <w:t>01-020</w:t>
      </w:r>
      <w:r>
        <w:rPr>
          <w:rFonts w:ascii="Arial" w:eastAsia="仿宋_GB2312" w:hAnsi="Arial" w:cs="Arial" w:hint="eastAsia"/>
          <w:sz w:val="28"/>
        </w:rPr>
        <w:t>地块</w:t>
      </w:r>
      <w:r>
        <w:rPr>
          <w:rFonts w:ascii="Arial" w:eastAsia="仿宋_GB2312" w:hAnsi="Arial" w:cs="Arial" w:hint="eastAsia"/>
          <w:sz w:val="28"/>
        </w:rPr>
        <w:t>A334</w:t>
      </w:r>
      <w:r>
        <w:rPr>
          <w:rFonts w:ascii="Arial" w:eastAsia="仿宋_GB2312" w:hAnsi="Arial" w:cs="Arial" w:hint="eastAsia"/>
          <w:sz w:val="28"/>
        </w:rPr>
        <w:t>托幼用地项目国有建设用地</w:t>
      </w:r>
      <w:r>
        <w:rPr>
          <w:rFonts w:ascii="Arial" w:eastAsia="仿宋_GB2312" w:hAnsi="Arial" w:cs="Arial"/>
          <w:sz w:val="28"/>
        </w:rPr>
        <w:t>使用权出让价格评估</w:t>
      </w:r>
    </w:p>
    <w:p w14:paraId="724BCF7A" w14:textId="77777777" w:rsidR="0062768B" w:rsidRDefault="0062768B">
      <w:pPr>
        <w:spacing w:line="300" w:lineRule="auto"/>
        <w:ind w:right="-327"/>
        <w:rPr>
          <w:rFonts w:ascii="Arial" w:eastAsia="仿宋_GB2312" w:hAnsi="Arial" w:cs="Arial"/>
          <w:sz w:val="28"/>
        </w:rPr>
      </w:pPr>
    </w:p>
    <w:p w14:paraId="616378F9" w14:textId="77777777" w:rsidR="0062768B" w:rsidRDefault="00136729">
      <w:pPr>
        <w:spacing w:line="300" w:lineRule="auto"/>
        <w:outlineLvl w:val="1"/>
        <w:rPr>
          <w:rFonts w:ascii="Arial" w:eastAsia="仿宋_GB2312" w:hAnsi="Arial" w:cs="Arial"/>
          <w:b/>
          <w:sz w:val="28"/>
        </w:rPr>
      </w:pPr>
      <w:bookmarkStart w:id="222" w:name="_Toc138063012"/>
      <w:bookmarkStart w:id="223" w:name="_Toc416783546"/>
      <w:bookmarkStart w:id="224" w:name="_Toc132016624"/>
      <w:bookmarkStart w:id="225" w:name="_Toc132016741"/>
      <w:bookmarkStart w:id="226" w:name="_Toc516488181"/>
      <w:bookmarkStart w:id="227" w:name="_Toc515457803"/>
      <w:bookmarkStart w:id="228" w:name="_Toc469066151"/>
      <w:bookmarkStart w:id="229" w:name="_Toc416783642"/>
      <w:r>
        <w:rPr>
          <w:rFonts w:ascii="Arial" w:eastAsia="仿宋_GB2312" w:hAnsi="Arial" w:cs="Arial"/>
          <w:b/>
          <w:sz w:val="28"/>
        </w:rPr>
        <w:t>二、委托估价方</w:t>
      </w:r>
      <w:bookmarkEnd w:id="222"/>
      <w:bookmarkEnd w:id="223"/>
      <w:bookmarkEnd w:id="224"/>
      <w:bookmarkEnd w:id="225"/>
      <w:bookmarkEnd w:id="226"/>
      <w:bookmarkEnd w:id="227"/>
      <w:bookmarkEnd w:id="228"/>
      <w:bookmarkEnd w:id="229"/>
    </w:p>
    <w:p w14:paraId="4024D9D3" w14:textId="77777777" w:rsidR="0062768B" w:rsidRDefault="00136729">
      <w:pPr>
        <w:spacing w:line="300" w:lineRule="auto"/>
        <w:ind w:firstLineChars="200" w:firstLine="560"/>
        <w:jc w:val="both"/>
        <w:rPr>
          <w:rFonts w:ascii="Arial" w:eastAsia="仿宋_GB2312" w:hAnsi="Arial" w:cs="Arial"/>
          <w:bCs/>
          <w:sz w:val="28"/>
        </w:rPr>
      </w:pPr>
      <w:r>
        <w:rPr>
          <w:rFonts w:ascii="Arial" w:eastAsia="仿宋" w:hAnsi="Arial" w:cs="Arial" w:hint="eastAsia"/>
          <w:bCs/>
          <w:sz w:val="28"/>
          <w:szCs w:val="28"/>
        </w:rPr>
        <w:t>北京市</w:t>
      </w:r>
      <w:r>
        <w:rPr>
          <w:rFonts w:ascii="Arial" w:eastAsia="仿宋" w:hAnsi="Arial" w:cs="Arial"/>
          <w:bCs/>
          <w:sz w:val="28"/>
          <w:szCs w:val="28"/>
        </w:rPr>
        <w:t>规划和自然资源委员会</w:t>
      </w:r>
      <w:r>
        <w:rPr>
          <w:rFonts w:ascii="Arial" w:eastAsia="仿宋_GB2312" w:hAnsi="Arial" w:cs="Arial"/>
          <w:bCs/>
          <w:sz w:val="28"/>
        </w:rPr>
        <w:t xml:space="preserve"> </w:t>
      </w:r>
    </w:p>
    <w:p w14:paraId="60C546AC" w14:textId="77777777" w:rsidR="0062768B" w:rsidRDefault="0062768B">
      <w:pPr>
        <w:spacing w:line="300" w:lineRule="auto"/>
        <w:rPr>
          <w:rFonts w:ascii="Arial" w:eastAsia="仿宋_GB2312" w:hAnsi="Arial" w:cs="Arial"/>
          <w:b/>
          <w:sz w:val="28"/>
        </w:rPr>
      </w:pPr>
    </w:p>
    <w:p w14:paraId="0B351838" w14:textId="77777777" w:rsidR="0062768B" w:rsidRDefault="00136729">
      <w:pPr>
        <w:spacing w:line="300" w:lineRule="auto"/>
        <w:outlineLvl w:val="1"/>
        <w:rPr>
          <w:rFonts w:ascii="Arial" w:eastAsia="仿宋_GB2312" w:hAnsi="Arial" w:cs="Arial"/>
          <w:b/>
          <w:sz w:val="28"/>
        </w:rPr>
      </w:pPr>
      <w:bookmarkStart w:id="230" w:name="_Toc515457804"/>
      <w:bookmarkStart w:id="231" w:name="_Toc138063013"/>
      <w:bookmarkStart w:id="232" w:name="_Toc516488182"/>
      <w:bookmarkStart w:id="233" w:name="_Toc416783547"/>
      <w:bookmarkStart w:id="234" w:name="_Toc416783643"/>
      <w:bookmarkStart w:id="235" w:name="_Toc469066152"/>
      <w:bookmarkStart w:id="236" w:name="_Toc132016742"/>
      <w:bookmarkStart w:id="237" w:name="_Toc132016625"/>
      <w:r>
        <w:rPr>
          <w:rFonts w:ascii="Arial" w:eastAsia="仿宋_GB2312" w:hAnsi="Arial" w:cs="Arial"/>
          <w:b/>
          <w:sz w:val="28"/>
        </w:rPr>
        <w:t>三、受托估价方</w:t>
      </w:r>
      <w:bookmarkEnd w:id="230"/>
      <w:bookmarkEnd w:id="231"/>
      <w:bookmarkEnd w:id="232"/>
      <w:bookmarkEnd w:id="233"/>
      <w:bookmarkEnd w:id="234"/>
      <w:bookmarkEnd w:id="235"/>
      <w:bookmarkEnd w:id="236"/>
      <w:bookmarkEnd w:id="237"/>
    </w:p>
    <w:p w14:paraId="0EEEC6C2" w14:textId="77777777" w:rsidR="0062768B" w:rsidRDefault="00136729">
      <w:pPr>
        <w:spacing w:line="300" w:lineRule="auto"/>
        <w:ind w:firstLine="570"/>
        <w:jc w:val="both"/>
        <w:rPr>
          <w:rFonts w:ascii="Arial" w:eastAsia="仿宋_GB2312" w:hAnsi="Arial" w:cs="Arial"/>
          <w:sz w:val="28"/>
        </w:rPr>
      </w:pPr>
      <w:bookmarkStart w:id="238" w:name="_Toc416783644"/>
      <w:bookmarkStart w:id="239" w:name="_Toc416783548"/>
      <w:r>
        <w:rPr>
          <w:rFonts w:ascii="Arial" w:eastAsia="仿宋_GB2312" w:hAnsi="Arial" w:cs="Arial"/>
          <w:sz w:val="28"/>
        </w:rPr>
        <w:t>受托机构：</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w:t>
      </w:r>
      <w:bookmarkEnd w:id="238"/>
      <w:bookmarkEnd w:id="239"/>
    </w:p>
    <w:p w14:paraId="794BAC9B" w14:textId="77777777" w:rsidR="0062768B" w:rsidRDefault="00136729">
      <w:pPr>
        <w:spacing w:line="300" w:lineRule="auto"/>
        <w:ind w:left="1960" w:hangingChars="700" w:hanging="1960"/>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地</w:t>
      </w:r>
      <w:r>
        <w:rPr>
          <w:rFonts w:ascii="Arial" w:eastAsia="仿宋_GB2312" w:hAnsi="Arial" w:cs="Arial"/>
          <w:sz w:val="28"/>
        </w:rPr>
        <w:t xml:space="preserve">    </w:t>
      </w:r>
      <w:r>
        <w:rPr>
          <w:rFonts w:ascii="Arial" w:eastAsia="仿宋_GB2312" w:hAnsi="Arial" w:cs="Arial"/>
          <w:sz w:val="28"/>
        </w:rPr>
        <w:t>址：北京市朝阳区裕民路</w:t>
      </w:r>
      <w:r>
        <w:rPr>
          <w:rFonts w:ascii="Arial" w:eastAsia="仿宋_GB2312" w:hAnsi="Arial" w:cs="Arial"/>
          <w:sz w:val="28"/>
        </w:rPr>
        <w:t>12</w:t>
      </w:r>
      <w:r>
        <w:rPr>
          <w:rFonts w:ascii="Arial" w:eastAsia="仿宋_GB2312" w:hAnsi="Arial" w:cs="Arial"/>
          <w:sz w:val="28"/>
        </w:rPr>
        <w:t>号中国国际科技会展中心</w:t>
      </w:r>
      <w:r>
        <w:rPr>
          <w:rFonts w:ascii="Arial" w:eastAsia="仿宋_GB2312" w:hAnsi="Arial" w:cs="Arial"/>
          <w:sz w:val="28"/>
        </w:rPr>
        <w:t xml:space="preserve">B </w:t>
      </w:r>
      <w:r>
        <w:rPr>
          <w:rFonts w:ascii="Arial" w:eastAsia="仿宋_GB2312" w:hAnsi="Arial" w:cs="Arial"/>
          <w:sz w:val="28"/>
        </w:rPr>
        <w:t>座</w:t>
      </w:r>
      <w:r>
        <w:rPr>
          <w:rFonts w:ascii="Arial" w:eastAsia="仿宋_GB2312" w:hAnsi="Arial" w:cs="Arial"/>
          <w:sz w:val="28"/>
        </w:rPr>
        <w:t>10</w:t>
      </w:r>
      <w:r>
        <w:rPr>
          <w:rFonts w:ascii="Arial" w:eastAsia="仿宋_GB2312" w:hAnsi="Arial" w:cs="Arial"/>
          <w:sz w:val="28"/>
        </w:rPr>
        <w:t>层</w:t>
      </w:r>
      <w:r>
        <w:rPr>
          <w:rFonts w:ascii="Arial" w:eastAsia="仿宋_GB2312" w:hAnsi="Arial" w:cs="Arial"/>
          <w:sz w:val="28"/>
        </w:rPr>
        <w:t>1003</w:t>
      </w:r>
      <w:r>
        <w:rPr>
          <w:rFonts w:ascii="Arial" w:eastAsia="仿宋_GB2312" w:hAnsi="Arial" w:cs="Arial"/>
          <w:sz w:val="28"/>
        </w:rPr>
        <w:t>室</w:t>
      </w:r>
    </w:p>
    <w:p w14:paraId="6729B5FC" w14:textId="77777777" w:rsidR="0062768B" w:rsidRDefault="00136729">
      <w:pPr>
        <w:spacing w:line="300" w:lineRule="auto"/>
        <w:ind w:firstLine="540"/>
        <w:rPr>
          <w:rFonts w:ascii="Arial" w:eastAsia="仿宋_GB2312" w:hAnsi="Arial" w:cs="Arial"/>
          <w:sz w:val="28"/>
        </w:rPr>
      </w:pPr>
      <w:r>
        <w:rPr>
          <w:rFonts w:ascii="Arial" w:eastAsia="仿宋_GB2312" w:hAnsi="Arial" w:cs="Arial"/>
          <w:sz w:val="28"/>
        </w:rPr>
        <w:t>资质级别：在全国范围内从事土地估价业务</w:t>
      </w:r>
    </w:p>
    <w:p w14:paraId="4637722B" w14:textId="77777777" w:rsidR="0062768B" w:rsidRDefault="00136729">
      <w:pPr>
        <w:spacing w:line="300" w:lineRule="auto"/>
        <w:ind w:firstLine="540"/>
        <w:rPr>
          <w:rFonts w:ascii="Arial" w:eastAsia="仿宋_GB2312" w:hAnsi="Arial" w:cs="Arial"/>
          <w:sz w:val="28"/>
        </w:rPr>
      </w:pPr>
      <w:r>
        <w:rPr>
          <w:rFonts w:ascii="Arial" w:eastAsia="仿宋_GB2312" w:hAnsi="Arial" w:cs="Arial" w:hint="eastAsia"/>
          <w:sz w:val="28"/>
        </w:rPr>
        <w:t>土地估价机构备案</w:t>
      </w:r>
      <w:proofErr w:type="gramStart"/>
      <w:r>
        <w:rPr>
          <w:rFonts w:ascii="Arial" w:eastAsia="仿宋_GB2312" w:hAnsi="Arial" w:cs="Arial" w:hint="eastAsia"/>
          <w:sz w:val="28"/>
        </w:rPr>
        <w:t>函获得</w:t>
      </w:r>
      <w:proofErr w:type="gramEnd"/>
      <w:r>
        <w:rPr>
          <w:rFonts w:ascii="Arial" w:eastAsia="仿宋_GB2312" w:hAnsi="Arial" w:cs="Arial" w:hint="eastAsia"/>
          <w:sz w:val="28"/>
        </w:rPr>
        <w:t>时间：</w:t>
      </w:r>
      <w:r>
        <w:rPr>
          <w:rFonts w:ascii="Arial" w:eastAsia="仿宋_GB2312" w:hAnsi="Arial" w:cs="Arial" w:hint="eastAsia"/>
          <w:sz w:val="28"/>
        </w:rPr>
        <w:t>2021</w:t>
      </w:r>
      <w:r>
        <w:rPr>
          <w:rFonts w:ascii="Arial" w:eastAsia="仿宋_GB2312" w:hAnsi="Arial" w:cs="Arial" w:hint="eastAsia"/>
          <w:sz w:val="28"/>
        </w:rPr>
        <w:t>年</w:t>
      </w:r>
      <w:r>
        <w:rPr>
          <w:rFonts w:ascii="Arial" w:eastAsia="仿宋_GB2312" w:hAnsi="Arial" w:cs="Arial" w:hint="eastAsia"/>
          <w:sz w:val="28"/>
        </w:rPr>
        <w:t>4</w:t>
      </w:r>
      <w:r>
        <w:rPr>
          <w:rFonts w:ascii="Arial" w:eastAsia="仿宋_GB2312" w:hAnsi="Arial" w:cs="Arial" w:hint="eastAsia"/>
          <w:sz w:val="28"/>
        </w:rPr>
        <w:t>月</w:t>
      </w:r>
      <w:r>
        <w:rPr>
          <w:rFonts w:ascii="Arial" w:eastAsia="仿宋_GB2312" w:hAnsi="Arial" w:cs="Arial" w:hint="eastAsia"/>
          <w:sz w:val="28"/>
        </w:rPr>
        <w:t>30</w:t>
      </w:r>
      <w:r>
        <w:rPr>
          <w:rFonts w:ascii="Arial" w:eastAsia="仿宋_GB2312" w:hAnsi="Arial" w:cs="Arial" w:hint="eastAsia"/>
          <w:sz w:val="28"/>
        </w:rPr>
        <w:t>日</w:t>
      </w:r>
    </w:p>
    <w:p w14:paraId="5823AB7E" w14:textId="77777777" w:rsidR="0062768B" w:rsidRDefault="00136729">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资质证书号：</w:t>
      </w:r>
      <w:r>
        <w:rPr>
          <w:rFonts w:ascii="Arial" w:eastAsia="仿宋_GB2312" w:hAnsi="Arial" w:cs="Arial"/>
          <w:sz w:val="28"/>
        </w:rPr>
        <w:t>A201111009</w:t>
      </w:r>
    </w:p>
    <w:p w14:paraId="6B76F2BD" w14:textId="77777777" w:rsidR="0062768B" w:rsidRDefault="00136729">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法人代表：齐</w:t>
      </w:r>
      <w:r>
        <w:rPr>
          <w:rFonts w:ascii="Arial" w:eastAsia="仿宋_GB2312" w:hAnsi="Arial" w:cs="Arial"/>
          <w:sz w:val="28"/>
        </w:rPr>
        <w:t xml:space="preserve">  </w:t>
      </w:r>
      <w:r>
        <w:rPr>
          <w:rFonts w:ascii="Arial" w:eastAsia="仿宋_GB2312" w:hAnsi="Arial" w:cs="Arial"/>
          <w:sz w:val="28"/>
        </w:rPr>
        <w:t>宏</w:t>
      </w:r>
    </w:p>
    <w:p w14:paraId="4D4B2110" w14:textId="77777777" w:rsidR="0062768B" w:rsidRDefault="00136729">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pacing w:val="38"/>
          <w:sz w:val="28"/>
        </w:rPr>
        <w:t>联系人：</w:t>
      </w:r>
      <w:r>
        <w:rPr>
          <w:rFonts w:ascii="Arial" w:eastAsia="仿宋_GB2312" w:hAnsi="Arial" w:cs="Arial" w:hint="eastAsia"/>
          <w:sz w:val="28"/>
        </w:rPr>
        <w:t>叶</w:t>
      </w:r>
      <w:r>
        <w:rPr>
          <w:rFonts w:ascii="Arial" w:eastAsia="仿宋_GB2312" w:hAnsi="Arial" w:cs="Arial" w:hint="eastAsia"/>
          <w:sz w:val="28"/>
        </w:rPr>
        <w:t xml:space="preserve">  </w:t>
      </w:r>
      <w:proofErr w:type="gramStart"/>
      <w:r>
        <w:rPr>
          <w:rFonts w:ascii="Arial" w:eastAsia="仿宋_GB2312" w:hAnsi="Arial" w:cs="Arial" w:hint="eastAsia"/>
          <w:sz w:val="28"/>
        </w:rPr>
        <w:t>凌</w:t>
      </w:r>
      <w:proofErr w:type="gramEnd"/>
    </w:p>
    <w:p w14:paraId="56404BF0" w14:textId="77777777" w:rsidR="0062768B" w:rsidRDefault="00136729">
      <w:pPr>
        <w:spacing w:line="300" w:lineRule="auto"/>
        <w:ind w:firstLine="600"/>
        <w:jc w:val="both"/>
        <w:rPr>
          <w:rFonts w:ascii="Arial" w:eastAsia="仿宋_GB2312" w:hAnsi="Arial" w:cs="Arial"/>
          <w:sz w:val="28"/>
        </w:rPr>
      </w:pPr>
      <w:r>
        <w:rPr>
          <w:rFonts w:ascii="Arial" w:eastAsia="仿宋_GB2312" w:hAnsi="Arial" w:cs="Arial"/>
          <w:sz w:val="28"/>
        </w:rPr>
        <w:t>联系电话：</w:t>
      </w:r>
      <w:r>
        <w:rPr>
          <w:rFonts w:ascii="Arial" w:eastAsia="仿宋_GB2312" w:hAnsi="Arial" w:cs="Arial"/>
          <w:sz w:val="28"/>
        </w:rPr>
        <w:t>010-82253558</w:t>
      </w:r>
      <w:r>
        <w:rPr>
          <w:rFonts w:ascii="Arial" w:eastAsia="仿宋_GB2312" w:hAnsi="Arial" w:cs="Arial"/>
          <w:sz w:val="28"/>
        </w:rPr>
        <w:t>、</w:t>
      </w:r>
      <w:r>
        <w:rPr>
          <w:rFonts w:ascii="Arial" w:eastAsia="仿宋" w:hAnsi="Arial" w:cs="Arial"/>
          <w:sz w:val="28"/>
          <w:szCs w:val="28"/>
        </w:rPr>
        <w:t>13801277006</w:t>
      </w:r>
    </w:p>
    <w:p w14:paraId="7BAE09F4" w14:textId="77777777" w:rsidR="0062768B" w:rsidRDefault="0062768B">
      <w:pPr>
        <w:spacing w:line="300" w:lineRule="auto"/>
        <w:ind w:firstLine="600"/>
        <w:jc w:val="both"/>
        <w:rPr>
          <w:rFonts w:ascii="Arial" w:eastAsia="仿宋_GB2312" w:hAnsi="Arial" w:cs="Arial"/>
          <w:sz w:val="28"/>
        </w:rPr>
      </w:pPr>
    </w:p>
    <w:p w14:paraId="5EC0D8B0" w14:textId="77777777" w:rsidR="0062768B" w:rsidRDefault="00136729">
      <w:pPr>
        <w:spacing w:line="300" w:lineRule="auto"/>
        <w:outlineLvl w:val="1"/>
        <w:rPr>
          <w:rFonts w:ascii="Arial" w:eastAsia="仿宋_GB2312" w:hAnsi="Arial" w:cs="Arial"/>
          <w:b/>
          <w:sz w:val="28"/>
        </w:rPr>
      </w:pPr>
      <w:bookmarkStart w:id="240" w:name="_Toc132016743"/>
      <w:bookmarkStart w:id="241" w:name="_Toc516488183"/>
      <w:bookmarkStart w:id="242" w:name="_Toc416783645"/>
      <w:bookmarkStart w:id="243" w:name="_Toc515457805"/>
      <w:bookmarkStart w:id="244" w:name="_Toc138063014"/>
      <w:bookmarkStart w:id="245" w:name="_Toc132016626"/>
      <w:bookmarkStart w:id="246" w:name="_Toc416783549"/>
      <w:bookmarkStart w:id="247" w:name="_Toc469066153"/>
      <w:r>
        <w:rPr>
          <w:rFonts w:ascii="Arial" w:eastAsia="仿宋_GB2312" w:hAnsi="Arial" w:cs="Arial"/>
          <w:b/>
          <w:sz w:val="28"/>
        </w:rPr>
        <w:t>四、估价目的</w:t>
      </w:r>
      <w:bookmarkEnd w:id="240"/>
      <w:bookmarkEnd w:id="241"/>
      <w:bookmarkEnd w:id="242"/>
      <w:bookmarkEnd w:id="243"/>
      <w:bookmarkEnd w:id="244"/>
      <w:bookmarkEnd w:id="245"/>
      <w:bookmarkEnd w:id="246"/>
      <w:bookmarkEnd w:id="247"/>
    </w:p>
    <w:p w14:paraId="2745CC4E"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w:t>
      </w:r>
      <w:r>
        <w:rPr>
          <w:rFonts w:ascii="Arial" w:eastAsia="仿宋" w:hAnsi="Arial" w:cs="Arial"/>
          <w:sz w:val="28"/>
        </w:rPr>
        <w:t>北京市顺义区高丽营镇夏县营村</w:t>
      </w:r>
      <w:r>
        <w:rPr>
          <w:rFonts w:ascii="Arial" w:eastAsia="仿宋" w:hAnsi="Arial" w:cs="Arial"/>
          <w:sz w:val="28"/>
        </w:rPr>
        <w:t>01-008</w:t>
      </w:r>
      <w:r>
        <w:rPr>
          <w:rFonts w:ascii="Arial" w:eastAsia="仿宋" w:hAnsi="Arial" w:cs="Arial"/>
          <w:sz w:val="28"/>
        </w:rPr>
        <w:t>等</w:t>
      </w:r>
      <w:r>
        <w:rPr>
          <w:rFonts w:ascii="Arial" w:eastAsia="仿宋" w:hAnsi="Arial" w:cs="Arial"/>
          <w:sz w:val="28"/>
          <w:szCs w:val="28"/>
        </w:rPr>
        <w:t>地块位于</w:t>
      </w:r>
      <w:r>
        <w:rPr>
          <w:rFonts w:ascii="Arial" w:eastAsia="仿宋" w:hAnsi="Arial" w:cs="Arial"/>
          <w:sz w:val="28"/>
        </w:rPr>
        <w:t>顺义</w:t>
      </w:r>
      <w:r>
        <w:rPr>
          <w:rFonts w:ascii="Arial" w:eastAsia="仿宋" w:hAnsi="Arial" w:cs="Arial"/>
          <w:sz w:val="28"/>
          <w:szCs w:val="28"/>
        </w:rPr>
        <w:t>区</w:t>
      </w:r>
      <w:r>
        <w:rPr>
          <w:rFonts w:ascii="Arial" w:eastAsia="仿宋" w:hAnsi="Arial" w:cs="Arial"/>
          <w:sz w:val="28"/>
        </w:rPr>
        <w:t>高丽营</w:t>
      </w:r>
      <w:r>
        <w:rPr>
          <w:rFonts w:ascii="Arial" w:eastAsia="仿宋" w:hAnsi="Arial" w:cs="Arial"/>
          <w:sz w:val="28"/>
          <w:szCs w:val="28"/>
        </w:rPr>
        <w:t>镇夏县营村，东至</w:t>
      </w:r>
      <w:proofErr w:type="gramStart"/>
      <w:r>
        <w:rPr>
          <w:rFonts w:ascii="Arial" w:eastAsia="仿宋" w:hAnsi="Arial" w:cs="Arial"/>
          <w:sz w:val="28"/>
          <w:szCs w:val="28"/>
        </w:rPr>
        <w:t>火寺路</w:t>
      </w:r>
      <w:proofErr w:type="gramEnd"/>
      <w:r>
        <w:rPr>
          <w:rFonts w:ascii="Arial" w:eastAsia="仿宋" w:hAnsi="Arial" w:cs="Arial"/>
          <w:sz w:val="28"/>
          <w:szCs w:val="28"/>
        </w:rPr>
        <w:t>，</w:t>
      </w:r>
      <w:proofErr w:type="gramStart"/>
      <w:r>
        <w:rPr>
          <w:rFonts w:ascii="Arial" w:eastAsia="仿宋" w:hAnsi="Arial" w:cs="Arial"/>
          <w:sz w:val="28"/>
          <w:szCs w:val="28"/>
        </w:rPr>
        <w:t>西至喜行路</w:t>
      </w:r>
      <w:proofErr w:type="gramEnd"/>
      <w:r>
        <w:rPr>
          <w:rFonts w:ascii="Arial" w:eastAsia="仿宋" w:hAnsi="Arial" w:cs="Arial"/>
          <w:sz w:val="28"/>
          <w:szCs w:val="28"/>
        </w:rPr>
        <w:t>，南</w:t>
      </w:r>
      <w:proofErr w:type="gramStart"/>
      <w:r>
        <w:rPr>
          <w:rFonts w:ascii="Arial" w:eastAsia="仿宋" w:hAnsi="Arial" w:cs="Arial"/>
          <w:sz w:val="28"/>
          <w:szCs w:val="28"/>
        </w:rPr>
        <w:t>至丽喜花园</w:t>
      </w:r>
      <w:proofErr w:type="gramEnd"/>
      <w:r>
        <w:rPr>
          <w:rFonts w:ascii="Arial" w:eastAsia="仿宋" w:hAnsi="Arial" w:cs="Arial"/>
          <w:sz w:val="28"/>
          <w:szCs w:val="28"/>
        </w:rPr>
        <w:t>，北至</w:t>
      </w:r>
      <w:proofErr w:type="gramStart"/>
      <w:r>
        <w:rPr>
          <w:rFonts w:ascii="Arial" w:eastAsia="仿宋" w:hAnsi="Arial" w:cs="Arial"/>
          <w:sz w:val="28"/>
          <w:szCs w:val="28"/>
        </w:rPr>
        <w:t>鑫</w:t>
      </w:r>
      <w:proofErr w:type="gramEnd"/>
      <w:r>
        <w:rPr>
          <w:rFonts w:ascii="Arial" w:eastAsia="仿宋" w:hAnsi="Arial" w:cs="Arial"/>
          <w:sz w:val="28"/>
          <w:szCs w:val="28"/>
        </w:rPr>
        <w:t>鼎街。该宗地已取得</w:t>
      </w:r>
      <w:r>
        <w:rPr>
          <w:rFonts w:ascii="Arial" w:eastAsia="仿宋" w:hAnsi="Arial" w:cs="Arial"/>
          <w:sz w:val="28"/>
        </w:rPr>
        <w:t>《北京市人民政府关于顺义区二〇二〇年度批次建设用地的批复》（</w:t>
      </w:r>
      <w:proofErr w:type="gramStart"/>
      <w:r>
        <w:rPr>
          <w:rFonts w:ascii="Arial" w:eastAsia="仿宋" w:hAnsi="Arial" w:cs="Arial"/>
          <w:sz w:val="28"/>
        </w:rPr>
        <w:t>京政地字</w:t>
      </w:r>
      <w:proofErr w:type="gramEnd"/>
      <w:r>
        <w:rPr>
          <w:rFonts w:ascii="Arial" w:eastAsia="仿宋" w:hAnsi="Arial" w:cs="Arial"/>
          <w:sz w:val="28"/>
        </w:rPr>
        <w:t>【</w:t>
      </w:r>
      <w:r>
        <w:rPr>
          <w:rFonts w:ascii="Arial" w:eastAsia="仿宋" w:hAnsi="Arial" w:cs="Arial"/>
          <w:sz w:val="28"/>
        </w:rPr>
        <w:t>2020</w:t>
      </w:r>
      <w:r>
        <w:rPr>
          <w:rFonts w:ascii="Arial" w:eastAsia="仿宋" w:hAnsi="Arial" w:cs="Arial"/>
          <w:sz w:val="28"/>
        </w:rPr>
        <w:t>】</w:t>
      </w:r>
      <w:r>
        <w:rPr>
          <w:rFonts w:ascii="Arial" w:eastAsia="仿宋" w:hAnsi="Arial" w:cs="Arial"/>
          <w:sz w:val="28"/>
        </w:rPr>
        <w:t>121</w:t>
      </w:r>
      <w:r>
        <w:rPr>
          <w:rFonts w:ascii="Arial" w:eastAsia="仿宋" w:hAnsi="Arial" w:cs="Arial"/>
          <w:sz w:val="28"/>
        </w:rPr>
        <w:t>号）</w:t>
      </w:r>
      <w:r>
        <w:rPr>
          <w:rFonts w:ascii="Arial" w:eastAsia="仿宋" w:hAnsi="Arial" w:cs="Arial"/>
          <w:sz w:val="28"/>
          <w:szCs w:val="28"/>
        </w:rPr>
        <w:t>，同意</w:t>
      </w:r>
      <w:r>
        <w:rPr>
          <w:rFonts w:ascii="Arial" w:eastAsia="仿宋" w:hAnsi="Arial" w:cs="Arial"/>
          <w:sz w:val="28"/>
        </w:rPr>
        <w:t>北京中交城市开发有限公司</w:t>
      </w:r>
      <w:r>
        <w:rPr>
          <w:rFonts w:ascii="Arial" w:eastAsia="仿宋" w:hAnsi="Arial" w:cs="Arial"/>
          <w:sz w:val="28"/>
          <w:szCs w:val="28"/>
        </w:rPr>
        <w:t>实施</w:t>
      </w:r>
      <w:r>
        <w:rPr>
          <w:rFonts w:ascii="Arial" w:eastAsia="仿宋" w:hAnsi="Arial" w:cs="Arial"/>
          <w:sz w:val="28"/>
        </w:rPr>
        <w:t>顺义</w:t>
      </w:r>
      <w:r>
        <w:rPr>
          <w:rFonts w:ascii="Arial" w:eastAsia="仿宋" w:hAnsi="Arial" w:cs="Arial"/>
          <w:sz w:val="28"/>
          <w:szCs w:val="28"/>
        </w:rPr>
        <w:t>区高丽营镇夏县营村棚户区</w:t>
      </w:r>
      <w:r>
        <w:rPr>
          <w:rFonts w:ascii="Arial" w:eastAsia="仿宋" w:hAnsi="Arial" w:cs="Arial"/>
          <w:sz w:val="28"/>
        </w:rPr>
        <w:t>改造土地开发项目</w:t>
      </w:r>
      <w:r>
        <w:rPr>
          <w:rFonts w:ascii="Arial" w:eastAsia="仿宋" w:hAnsi="Arial" w:cs="Arial"/>
          <w:sz w:val="28"/>
          <w:szCs w:val="28"/>
        </w:rPr>
        <w:t>，其中经营性建设用地入市公开交易。根据《北京市规划和自然资源委员会顺义分局关于顺义区高丽营镇夏县营村棚户区改造土地开发项目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01-015-1</w:t>
      </w:r>
      <w:r>
        <w:rPr>
          <w:rFonts w:ascii="Arial" w:eastAsia="仿宋" w:hAnsi="Arial" w:cs="Arial"/>
          <w:sz w:val="28"/>
          <w:szCs w:val="28"/>
        </w:rPr>
        <w:t>、</w:t>
      </w:r>
      <w:r>
        <w:rPr>
          <w:rFonts w:ascii="Arial" w:eastAsia="仿宋" w:hAnsi="Arial" w:cs="Arial"/>
          <w:sz w:val="28"/>
          <w:szCs w:val="28"/>
        </w:rPr>
        <w:lastRenderedPageBreak/>
        <w:t>01-015-2</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w:t>
      </w:r>
      <w:r>
        <w:rPr>
          <w:rFonts w:ascii="Arial" w:eastAsia="仿宋" w:hAnsi="Arial" w:cs="Arial"/>
          <w:sz w:val="28"/>
          <w:szCs w:val="28"/>
        </w:rPr>
        <w:t>01-025</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等二类居住用地、托幼用地、商业用地地块</w:t>
      </w:r>
      <w:r>
        <w:rPr>
          <w:rFonts w:ascii="Arial" w:eastAsia="仿宋" w:hAnsi="Arial" w:cs="Arial"/>
          <w:sz w:val="28"/>
          <w:szCs w:val="28"/>
        </w:rPr>
        <w:t>“</w:t>
      </w:r>
      <w:r>
        <w:rPr>
          <w:rFonts w:ascii="Arial" w:eastAsia="仿宋" w:hAnsi="Arial" w:cs="Arial"/>
          <w:sz w:val="28"/>
          <w:szCs w:val="28"/>
        </w:rPr>
        <w:t>多规合一</w:t>
      </w:r>
      <w:r>
        <w:rPr>
          <w:rFonts w:ascii="Arial" w:eastAsia="仿宋" w:hAnsi="Arial" w:cs="Arial"/>
          <w:sz w:val="28"/>
          <w:szCs w:val="28"/>
        </w:rPr>
        <w:t>”</w:t>
      </w:r>
      <w:r>
        <w:rPr>
          <w:rFonts w:ascii="Arial" w:eastAsia="仿宋" w:hAnsi="Arial" w:cs="Arial"/>
          <w:sz w:val="28"/>
          <w:szCs w:val="28"/>
        </w:rPr>
        <w:t>协同平台供地审核意见的函》（京</w:t>
      </w:r>
      <w:proofErr w:type="gramStart"/>
      <w:r>
        <w:rPr>
          <w:rFonts w:ascii="Arial" w:eastAsia="仿宋" w:hAnsi="Arial" w:cs="Arial"/>
          <w:sz w:val="28"/>
          <w:szCs w:val="28"/>
        </w:rPr>
        <w:t>规</w:t>
      </w:r>
      <w:proofErr w:type="gramEnd"/>
      <w:r>
        <w:rPr>
          <w:rFonts w:ascii="Arial" w:eastAsia="仿宋" w:hAnsi="Arial" w:cs="Arial"/>
          <w:sz w:val="28"/>
          <w:szCs w:val="28"/>
        </w:rPr>
        <w:t>自（顺）</w:t>
      </w:r>
      <w:proofErr w:type="gramStart"/>
      <w:r>
        <w:rPr>
          <w:rFonts w:ascii="Arial" w:eastAsia="仿宋" w:hAnsi="Arial" w:cs="Arial"/>
          <w:sz w:val="28"/>
          <w:szCs w:val="28"/>
        </w:rPr>
        <w:t>供审函</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0004</w:t>
      </w:r>
      <w:r>
        <w:rPr>
          <w:rFonts w:ascii="Arial" w:eastAsia="仿宋" w:hAnsi="Arial" w:cs="Arial"/>
          <w:sz w:val="28"/>
          <w:szCs w:val="28"/>
        </w:rPr>
        <w:t>号）</w:t>
      </w:r>
      <w:r>
        <w:rPr>
          <w:rFonts w:ascii="Arial" w:eastAsia="仿宋" w:hAnsi="Arial" w:cs="Arial"/>
          <w:sz w:val="28"/>
          <w:szCs w:val="28"/>
        </w:rPr>
        <w:t>,</w:t>
      </w:r>
      <w:r>
        <w:rPr>
          <w:rFonts w:ascii="Arial" w:eastAsia="仿宋" w:hAnsi="Arial" w:cs="Arial"/>
          <w:sz w:val="28"/>
          <w:szCs w:val="28"/>
        </w:rPr>
        <w:t>估价对象规划建设用地性质为</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类居住用地及</w:t>
      </w:r>
      <w:r>
        <w:rPr>
          <w:rFonts w:ascii="Arial" w:eastAsia="仿宋" w:hAnsi="Arial" w:cs="Arial"/>
          <w:sz w:val="28"/>
        </w:rPr>
        <w:t>A334</w:t>
      </w:r>
      <w:r>
        <w:rPr>
          <w:rFonts w:ascii="Arial" w:eastAsia="仿宋" w:hAnsi="Arial" w:cs="Arial"/>
          <w:sz w:val="28"/>
        </w:rPr>
        <w:t>托幼</w:t>
      </w:r>
      <w:r>
        <w:rPr>
          <w:rFonts w:ascii="Arial" w:eastAsia="仿宋" w:hAnsi="Arial" w:cs="Arial"/>
          <w:sz w:val="28"/>
          <w:szCs w:val="28"/>
        </w:rPr>
        <w:t>用地，</w:t>
      </w:r>
      <w:r>
        <w:rPr>
          <w:rFonts w:ascii="Arial" w:eastAsia="仿宋" w:hAnsi="Arial" w:cs="Arial"/>
          <w:bCs/>
          <w:sz w:val="28"/>
          <w:szCs w:val="28"/>
        </w:rPr>
        <w:t>北京市规划和自然资源委员会</w:t>
      </w:r>
      <w:proofErr w:type="gramStart"/>
      <w:r>
        <w:rPr>
          <w:rFonts w:ascii="Arial" w:eastAsia="仿宋" w:hAnsi="Arial" w:cs="Arial"/>
          <w:sz w:val="28"/>
          <w:szCs w:val="28"/>
        </w:rPr>
        <w:t>拟按照</w:t>
      </w:r>
      <w:proofErr w:type="gramEnd"/>
      <w:r>
        <w:rPr>
          <w:rFonts w:ascii="Arial" w:eastAsia="仿宋" w:hAnsi="Arial" w:cs="Arial"/>
          <w:sz w:val="28"/>
          <w:szCs w:val="28"/>
        </w:rPr>
        <w:t>规划用途对估价对象实施挂牌供应。</w:t>
      </w:r>
    </w:p>
    <w:p w14:paraId="3BBB832F" w14:textId="77777777" w:rsidR="0062768B" w:rsidRDefault="00136729">
      <w:pPr>
        <w:snapToGrid w:val="0"/>
        <w:spacing w:line="300" w:lineRule="auto"/>
        <w:ind w:firstLine="556"/>
        <w:jc w:val="both"/>
        <w:rPr>
          <w:rFonts w:ascii="Arial" w:eastAsia="仿宋_GB2312" w:hAnsi="Arial" w:cs="Arial"/>
          <w:sz w:val="28"/>
        </w:rPr>
      </w:pPr>
      <w:r>
        <w:rPr>
          <w:rFonts w:ascii="Arial" w:eastAsia="仿宋" w:hAnsi="Arial" w:cs="Arial"/>
          <w:sz w:val="28"/>
        </w:rPr>
        <w:t>根据《招标拍卖挂牌出让国有建设用地使用权规定》（国土资源部令第</w:t>
      </w:r>
      <w:r>
        <w:rPr>
          <w:rFonts w:ascii="Arial" w:eastAsia="仿宋" w:hAnsi="Arial" w:cs="Arial"/>
          <w:sz w:val="28"/>
        </w:rPr>
        <w:t>39</w:t>
      </w:r>
      <w:r>
        <w:rPr>
          <w:rFonts w:ascii="Arial" w:eastAsia="仿宋" w:hAnsi="Arial" w:cs="Arial"/>
          <w:sz w:val="28"/>
        </w:rPr>
        <w:t>号）及《国土资源部办公厅关于发布</w:t>
      </w:r>
      <w:r>
        <w:rPr>
          <w:rFonts w:ascii="Arial" w:eastAsia="仿宋" w:hAnsi="Arial" w:cs="Arial"/>
          <w:sz w:val="28"/>
        </w:rPr>
        <w:t>&lt;</w:t>
      </w:r>
      <w:r>
        <w:rPr>
          <w:rFonts w:ascii="Arial" w:eastAsia="仿宋" w:hAnsi="Arial" w:cs="Arial"/>
          <w:sz w:val="28"/>
        </w:rPr>
        <w:t>国有建设用地使用权出让地价评估技术规范</w:t>
      </w:r>
      <w:r>
        <w:rPr>
          <w:rFonts w:ascii="Arial" w:eastAsia="仿宋" w:hAnsi="Arial" w:cs="Arial"/>
          <w:sz w:val="28"/>
        </w:rPr>
        <w:t>&gt;</w:t>
      </w:r>
      <w:r>
        <w:rPr>
          <w:rFonts w:ascii="Arial" w:eastAsia="仿宋" w:hAnsi="Arial" w:cs="Arial"/>
          <w:sz w:val="28"/>
        </w:rPr>
        <w:t>的通知》（</w:t>
      </w:r>
      <w:proofErr w:type="gramStart"/>
      <w:r>
        <w:rPr>
          <w:rFonts w:ascii="Arial" w:eastAsia="仿宋" w:hAnsi="Arial" w:cs="Arial"/>
          <w:sz w:val="28"/>
        </w:rPr>
        <w:t>国土资厅发</w:t>
      </w:r>
      <w:proofErr w:type="gramEnd"/>
      <w:r>
        <w:rPr>
          <w:rFonts w:ascii="Arial" w:eastAsia="仿宋" w:hAnsi="Arial" w:cs="Arial"/>
          <w:sz w:val="28"/>
        </w:rPr>
        <w:t>（</w:t>
      </w:r>
      <w:r>
        <w:rPr>
          <w:rFonts w:ascii="Arial" w:eastAsia="仿宋" w:hAnsi="Arial" w:cs="Arial"/>
          <w:sz w:val="28"/>
        </w:rPr>
        <w:t>2018</w:t>
      </w:r>
      <w:r>
        <w:rPr>
          <w:rFonts w:ascii="Arial" w:eastAsia="仿宋" w:hAnsi="Arial" w:cs="Arial"/>
          <w:sz w:val="28"/>
        </w:rPr>
        <w:t>）</w:t>
      </w:r>
      <w:r>
        <w:rPr>
          <w:rFonts w:ascii="Arial" w:eastAsia="仿宋" w:hAnsi="Arial" w:cs="Arial"/>
          <w:sz w:val="28"/>
        </w:rPr>
        <w:t>4</w:t>
      </w:r>
      <w:r>
        <w:rPr>
          <w:rFonts w:ascii="Arial" w:eastAsia="仿宋" w:hAnsi="Arial" w:cs="Arial"/>
          <w:sz w:val="28"/>
        </w:rPr>
        <w:t>号）的有关规定，受</w:t>
      </w:r>
      <w:r>
        <w:rPr>
          <w:rFonts w:ascii="Arial" w:eastAsia="仿宋" w:hAnsi="Arial" w:cs="Arial"/>
          <w:bCs/>
          <w:sz w:val="28"/>
          <w:szCs w:val="28"/>
        </w:rPr>
        <w:t>北京市规划和自然资源委员会</w:t>
      </w:r>
      <w:r>
        <w:rPr>
          <w:rFonts w:ascii="Arial" w:eastAsia="仿宋" w:hAnsi="Arial" w:cs="Arial"/>
          <w:sz w:val="28"/>
        </w:rPr>
        <w:t>委托评估该宗地（北京市顺义区高丽营镇夏县营村</w:t>
      </w:r>
      <w:r>
        <w:rPr>
          <w:rFonts w:ascii="Arial" w:eastAsia="仿宋" w:hAnsi="Arial" w:cs="Arial"/>
          <w:sz w:val="28"/>
        </w:rPr>
        <w:t>01-008</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类居住用地及</w:t>
      </w:r>
      <w:r>
        <w:rPr>
          <w:rFonts w:ascii="Arial" w:eastAsia="仿宋" w:hAnsi="Arial" w:cs="Arial"/>
          <w:sz w:val="28"/>
        </w:rPr>
        <w:t>01-020</w:t>
      </w:r>
      <w:r>
        <w:rPr>
          <w:rFonts w:ascii="Arial" w:eastAsia="仿宋" w:hAnsi="Arial" w:cs="Arial"/>
          <w:sz w:val="28"/>
        </w:rPr>
        <w:t>地块</w:t>
      </w:r>
      <w:r>
        <w:rPr>
          <w:rFonts w:ascii="Arial" w:eastAsia="仿宋" w:hAnsi="Arial" w:cs="Arial"/>
          <w:sz w:val="28"/>
        </w:rPr>
        <w:t>A334</w:t>
      </w:r>
      <w:r>
        <w:rPr>
          <w:rFonts w:ascii="Arial" w:eastAsia="仿宋" w:hAnsi="Arial" w:cs="Arial"/>
          <w:sz w:val="28"/>
        </w:rPr>
        <w:t>托幼用地）国有建设用地使用权价格，为出让方通过集体决策确定</w:t>
      </w:r>
      <w:r>
        <w:rPr>
          <w:rFonts w:ascii="Arial" w:eastAsia="仿宋_GB2312" w:hAnsi="Arial" w:cs="Arial"/>
          <w:sz w:val="28"/>
        </w:rPr>
        <w:t>土地出让底价提供参考依据。</w:t>
      </w:r>
    </w:p>
    <w:p w14:paraId="23A47A6B" w14:textId="77777777" w:rsidR="0062768B" w:rsidRDefault="0062768B">
      <w:pPr>
        <w:spacing w:line="300" w:lineRule="auto"/>
        <w:jc w:val="both"/>
        <w:rPr>
          <w:rFonts w:ascii="Arial" w:eastAsia="仿宋_GB2312" w:hAnsi="Arial" w:cs="Arial"/>
          <w:sz w:val="28"/>
        </w:rPr>
      </w:pPr>
    </w:p>
    <w:p w14:paraId="77F91443" w14:textId="77777777" w:rsidR="0062768B" w:rsidRDefault="00136729">
      <w:pPr>
        <w:spacing w:line="300" w:lineRule="auto"/>
        <w:outlineLvl w:val="1"/>
        <w:rPr>
          <w:rFonts w:ascii="Arial" w:eastAsia="仿宋_GB2312" w:hAnsi="Arial" w:cs="Arial"/>
          <w:b/>
          <w:sz w:val="28"/>
        </w:rPr>
      </w:pPr>
      <w:bookmarkStart w:id="248" w:name="_Toc132016744"/>
      <w:bookmarkStart w:id="249" w:name="_Toc469066154"/>
      <w:bookmarkStart w:id="250" w:name="_Toc138063015"/>
      <w:bookmarkStart w:id="251" w:name="_Toc516488184"/>
      <w:bookmarkStart w:id="252" w:name="_Toc515457806"/>
      <w:bookmarkStart w:id="253" w:name="_Toc132016627"/>
      <w:bookmarkStart w:id="254" w:name="_Toc416783553"/>
      <w:bookmarkStart w:id="255" w:name="_Toc416783649"/>
      <w:r>
        <w:rPr>
          <w:rFonts w:ascii="Arial" w:eastAsia="仿宋_GB2312" w:hAnsi="Arial" w:cs="Arial"/>
          <w:b/>
          <w:sz w:val="28"/>
        </w:rPr>
        <w:t>五、估价依据</w:t>
      </w:r>
      <w:bookmarkEnd w:id="248"/>
      <w:bookmarkEnd w:id="249"/>
      <w:bookmarkEnd w:id="250"/>
      <w:bookmarkEnd w:id="251"/>
      <w:bookmarkEnd w:id="252"/>
      <w:bookmarkEnd w:id="253"/>
      <w:bookmarkEnd w:id="254"/>
      <w:bookmarkEnd w:id="255"/>
    </w:p>
    <w:p w14:paraId="298B53CA" w14:textId="77777777" w:rsidR="0062768B" w:rsidRDefault="00136729">
      <w:pPr>
        <w:adjustRightInd/>
        <w:spacing w:line="300" w:lineRule="auto"/>
        <w:ind w:firstLineChars="200" w:firstLine="560"/>
        <w:jc w:val="both"/>
        <w:rPr>
          <w:rFonts w:ascii="Arial" w:eastAsia="仿宋" w:hAnsi="Arial" w:cs="Arial"/>
          <w:sz w:val="28"/>
          <w:szCs w:val="28"/>
        </w:rPr>
      </w:pPr>
      <w:bookmarkStart w:id="256" w:name="_Toc515457807"/>
      <w:bookmarkStart w:id="257" w:name="_Toc469066155"/>
      <w:bookmarkStart w:id="258" w:name="_Toc516488185"/>
      <w:bookmarkStart w:id="259" w:name="_Toc416783670"/>
      <w:bookmarkStart w:id="260" w:name="_Toc416783574"/>
      <w:r>
        <w:rPr>
          <w:rFonts w:ascii="Arial" w:eastAsia="仿宋" w:hAnsi="Arial" w:cs="Arial"/>
          <w:sz w:val="28"/>
          <w:szCs w:val="28"/>
        </w:rPr>
        <w:t>（一）有关的法律、法规、行政规章及估价对象所在省市的有关法律法规和政策</w:t>
      </w:r>
    </w:p>
    <w:p w14:paraId="611A3330" w14:textId="77777777" w:rsidR="0062768B" w:rsidRDefault="00136729" w:rsidP="00791FE1">
      <w:pPr>
        <w:numPr>
          <w:ilvl w:val="0"/>
          <w:numId w:val="13"/>
        </w:numPr>
        <w:adjustRightInd/>
        <w:snapToGrid w:val="0"/>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《中华人民共和国土地管理法》（</w:t>
      </w:r>
      <w:r>
        <w:rPr>
          <w:rFonts w:ascii="Arial" w:eastAsia="仿宋" w:hAnsi="Arial" w:cs="Arial"/>
          <w:sz w:val="28"/>
          <w:szCs w:val="28"/>
        </w:rPr>
        <w:t>1986</w:t>
      </w:r>
      <w:r>
        <w:rPr>
          <w:rFonts w:ascii="Arial" w:eastAsia="仿宋" w:hAnsi="Arial" w:cs="Arial"/>
          <w:sz w:val="28"/>
          <w:szCs w:val="28"/>
        </w:rPr>
        <w:t>年</w:t>
      </w:r>
      <w:r>
        <w:rPr>
          <w:rFonts w:ascii="Arial" w:eastAsia="仿宋" w:hAnsi="Arial" w:cs="Arial"/>
          <w:sz w:val="28"/>
          <w:szCs w:val="28"/>
        </w:rPr>
        <w:t>6</w:t>
      </w:r>
      <w:r>
        <w:rPr>
          <w:rFonts w:ascii="Arial" w:eastAsia="仿宋" w:hAnsi="Arial" w:cs="Arial"/>
          <w:sz w:val="28"/>
          <w:szCs w:val="28"/>
        </w:rPr>
        <w:t>月</w:t>
      </w:r>
      <w:r>
        <w:rPr>
          <w:rFonts w:ascii="Arial" w:eastAsia="仿宋" w:hAnsi="Arial" w:cs="Arial"/>
          <w:sz w:val="28"/>
          <w:szCs w:val="28"/>
        </w:rPr>
        <w:t>25</w:t>
      </w:r>
      <w:r>
        <w:rPr>
          <w:rFonts w:ascii="Arial" w:eastAsia="仿宋" w:hAnsi="Arial" w:cs="Arial"/>
          <w:sz w:val="28"/>
          <w:szCs w:val="28"/>
        </w:rPr>
        <w:t>日第六届全国人民代表大会常务委员会第十六次会议通过，中华人民共和国主席令第</w:t>
      </w:r>
      <w:r>
        <w:rPr>
          <w:rFonts w:ascii="Arial" w:eastAsia="仿宋" w:hAnsi="Arial" w:cs="Arial"/>
          <w:sz w:val="28"/>
          <w:szCs w:val="28"/>
        </w:rPr>
        <w:t>41</w:t>
      </w:r>
      <w:r>
        <w:rPr>
          <w:rFonts w:ascii="Arial" w:eastAsia="仿宋" w:hAnsi="Arial" w:cs="Arial"/>
          <w:sz w:val="28"/>
          <w:szCs w:val="28"/>
        </w:rPr>
        <w:t>号公布，</w:t>
      </w:r>
      <w:r>
        <w:rPr>
          <w:rFonts w:ascii="Arial" w:eastAsia="仿宋" w:hAnsi="Arial" w:cs="Arial"/>
          <w:sz w:val="28"/>
          <w:szCs w:val="28"/>
        </w:rPr>
        <w:t>1987</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r>
        <w:rPr>
          <w:rFonts w:ascii="Arial" w:eastAsia="仿宋" w:hAnsi="Arial" w:cs="Arial"/>
          <w:sz w:val="28"/>
          <w:szCs w:val="28"/>
        </w:rPr>
        <w:t>1988</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日第七届全国人民代表大会常务委员会第五次会议第一次修正通过，自</w:t>
      </w:r>
      <w:r>
        <w:rPr>
          <w:rFonts w:ascii="Arial" w:eastAsia="仿宋" w:hAnsi="Arial" w:cs="Arial"/>
          <w:sz w:val="28"/>
          <w:szCs w:val="28"/>
        </w:rPr>
        <w:t>1988</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日起施行；</w:t>
      </w:r>
      <w:r>
        <w:rPr>
          <w:rFonts w:ascii="Arial" w:eastAsia="仿宋" w:hAnsi="Arial" w:cs="Arial"/>
          <w:sz w:val="28"/>
          <w:szCs w:val="28"/>
        </w:rPr>
        <w:t>1998</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日第九届全国人民代表大会常务委员会第四次会议修订通过，中华人民共和国主席令第</w:t>
      </w:r>
      <w:r>
        <w:rPr>
          <w:rFonts w:ascii="Arial" w:eastAsia="仿宋" w:hAnsi="Arial" w:cs="Arial"/>
          <w:sz w:val="28"/>
          <w:szCs w:val="28"/>
        </w:rPr>
        <w:t>8</w:t>
      </w:r>
      <w:r>
        <w:rPr>
          <w:rFonts w:ascii="Arial" w:eastAsia="仿宋" w:hAnsi="Arial" w:cs="Arial"/>
          <w:sz w:val="28"/>
          <w:szCs w:val="28"/>
        </w:rPr>
        <w:t>号公布，自</w:t>
      </w:r>
      <w:r>
        <w:rPr>
          <w:rFonts w:ascii="Arial" w:eastAsia="仿宋" w:hAnsi="Arial" w:cs="Arial"/>
          <w:sz w:val="28"/>
          <w:szCs w:val="28"/>
        </w:rPr>
        <w:t>1999</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r>
        <w:rPr>
          <w:rFonts w:ascii="Arial" w:eastAsia="仿宋" w:hAnsi="Arial" w:cs="Arial"/>
          <w:sz w:val="28"/>
          <w:szCs w:val="28"/>
        </w:rPr>
        <w:t>2004</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28</w:t>
      </w:r>
      <w:r>
        <w:rPr>
          <w:rFonts w:ascii="Arial" w:eastAsia="仿宋" w:hAnsi="Arial" w:cs="Arial"/>
          <w:sz w:val="28"/>
          <w:szCs w:val="28"/>
        </w:rPr>
        <w:t>日第十届全国人民代表大会常务委员会第十一次会议第二次修正通过，中华人民共和国主席令第</w:t>
      </w:r>
      <w:r>
        <w:rPr>
          <w:rFonts w:ascii="Arial" w:eastAsia="仿宋" w:hAnsi="Arial" w:cs="Arial"/>
          <w:sz w:val="28"/>
          <w:szCs w:val="28"/>
        </w:rPr>
        <w:t>28</w:t>
      </w:r>
      <w:r>
        <w:rPr>
          <w:rFonts w:ascii="Arial" w:eastAsia="仿宋" w:hAnsi="Arial" w:cs="Arial"/>
          <w:sz w:val="28"/>
          <w:szCs w:val="28"/>
        </w:rPr>
        <w:t>号公布，自公布起日起施行；</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26</w:t>
      </w:r>
      <w:r>
        <w:rPr>
          <w:rFonts w:ascii="Arial" w:eastAsia="仿宋" w:hAnsi="Arial" w:cs="Arial"/>
          <w:sz w:val="28"/>
          <w:szCs w:val="28"/>
        </w:rPr>
        <w:t>日第十三届全国人民代表大会常务委员会第十二次会议第三次修正通过，自</w:t>
      </w:r>
      <w:r>
        <w:rPr>
          <w:rFonts w:ascii="Arial" w:eastAsia="仿宋" w:hAnsi="Arial" w:cs="Arial"/>
          <w:sz w:val="28"/>
          <w:szCs w:val="28"/>
        </w:rPr>
        <w:t>2020</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p>
    <w:p w14:paraId="452AAB3A"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《中华人民共和国城市房地产管理法》（</w:t>
      </w:r>
      <w:r>
        <w:rPr>
          <w:rFonts w:ascii="Arial" w:eastAsia="仿宋" w:hAnsi="Arial" w:cs="Arial"/>
          <w:sz w:val="28"/>
          <w:szCs w:val="28"/>
        </w:rPr>
        <w:t>1994</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5</w:t>
      </w:r>
      <w:r>
        <w:rPr>
          <w:rFonts w:ascii="Arial" w:eastAsia="仿宋" w:hAnsi="Arial" w:cs="Arial"/>
          <w:sz w:val="28"/>
          <w:szCs w:val="28"/>
        </w:rPr>
        <w:t>日第八届全国人民代表大会常务委员会第八次会议通过，中华人民共和国主席令第</w:t>
      </w:r>
      <w:r>
        <w:rPr>
          <w:rFonts w:ascii="Arial" w:eastAsia="仿宋" w:hAnsi="Arial" w:cs="Arial"/>
          <w:sz w:val="28"/>
          <w:szCs w:val="28"/>
        </w:rPr>
        <w:t>29</w:t>
      </w:r>
      <w:r>
        <w:rPr>
          <w:rFonts w:ascii="Arial" w:eastAsia="仿宋" w:hAnsi="Arial" w:cs="Arial"/>
          <w:sz w:val="28"/>
          <w:szCs w:val="28"/>
        </w:rPr>
        <w:t>号公布，自</w:t>
      </w:r>
      <w:r>
        <w:rPr>
          <w:rFonts w:ascii="Arial" w:eastAsia="仿宋" w:hAnsi="Arial" w:cs="Arial"/>
          <w:sz w:val="28"/>
          <w:szCs w:val="28"/>
        </w:rPr>
        <w:t>1995</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r>
        <w:rPr>
          <w:rFonts w:ascii="Arial" w:eastAsia="仿宋" w:hAnsi="Arial" w:cs="Arial"/>
          <w:sz w:val="28"/>
          <w:szCs w:val="28"/>
        </w:rPr>
        <w:t>2007</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30</w:t>
      </w:r>
      <w:r>
        <w:rPr>
          <w:rFonts w:ascii="Arial" w:eastAsia="仿宋" w:hAnsi="Arial" w:cs="Arial"/>
          <w:sz w:val="28"/>
          <w:szCs w:val="28"/>
        </w:rPr>
        <w:t>日第十届全国人民代表大会常务委员会第二十九次会议通过第一次修正通过，中华人民共和国主席令第</w:t>
      </w:r>
      <w:r>
        <w:rPr>
          <w:rFonts w:ascii="Arial" w:eastAsia="仿宋" w:hAnsi="Arial" w:cs="Arial"/>
          <w:sz w:val="28"/>
          <w:szCs w:val="28"/>
        </w:rPr>
        <w:t>72</w:t>
      </w:r>
      <w:r>
        <w:rPr>
          <w:rFonts w:ascii="Arial" w:eastAsia="仿宋" w:hAnsi="Arial" w:cs="Arial"/>
          <w:sz w:val="28"/>
          <w:szCs w:val="28"/>
        </w:rPr>
        <w:t>号公布，自公布之日起施行；</w:t>
      </w:r>
      <w:r>
        <w:rPr>
          <w:rFonts w:ascii="Arial" w:eastAsia="仿宋" w:hAnsi="Arial" w:cs="Arial"/>
          <w:sz w:val="28"/>
          <w:szCs w:val="28"/>
        </w:rPr>
        <w:t>2009</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27</w:t>
      </w:r>
      <w:r>
        <w:rPr>
          <w:rFonts w:ascii="Arial" w:eastAsia="仿宋" w:hAnsi="Arial" w:cs="Arial"/>
          <w:sz w:val="28"/>
          <w:szCs w:val="28"/>
        </w:rPr>
        <w:t>日第十一</w:t>
      </w:r>
      <w:r>
        <w:rPr>
          <w:rFonts w:ascii="Arial" w:eastAsia="仿宋" w:hAnsi="Arial" w:cs="Arial"/>
          <w:sz w:val="28"/>
          <w:szCs w:val="28"/>
        </w:rPr>
        <w:lastRenderedPageBreak/>
        <w:t>届全国人民代表大会常务委员会第十次会议第二次修正通过，中华人民共和国主席令第</w:t>
      </w:r>
      <w:r>
        <w:rPr>
          <w:rFonts w:ascii="Arial" w:eastAsia="仿宋" w:hAnsi="Arial" w:cs="Arial"/>
          <w:sz w:val="28"/>
          <w:szCs w:val="28"/>
        </w:rPr>
        <w:t>18</w:t>
      </w:r>
      <w:r>
        <w:rPr>
          <w:rFonts w:ascii="Arial" w:eastAsia="仿宋" w:hAnsi="Arial" w:cs="Arial"/>
          <w:sz w:val="28"/>
          <w:szCs w:val="28"/>
        </w:rPr>
        <w:t>号公布，自公布之日起施行；</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26</w:t>
      </w:r>
      <w:r>
        <w:rPr>
          <w:rFonts w:ascii="Arial" w:eastAsia="仿宋" w:hAnsi="Arial" w:cs="Arial"/>
          <w:sz w:val="28"/>
          <w:szCs w:val="28"/>
        </w:rPr>
        <w:t>日第十三届全国人大常委会第十二次会议通过第三次修正，自</w:t>
      </w:r>
      <w:r>
        <w:rPr>
          <w:rFonts w:ascii="Arial" w:eastAsia="仿宋" w:hAnsi="Arial" w:cs="Arial"/>
          <w:sz w:val="28"/>
          <w:szCs w:val="28"/>
        </w:rPr>
        <w:t>2020</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p>
    <w:p w14:paraId="10F7B467"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《中华人民共和国城乡规划法》（</w:t>
      </w:r>
      <w:r>
        <w:rPr>
          <w:rFonts w:ascii="Arial" w:eastAsia="仿宋" w:hAnsi="Arial" w:cs="Arial"/>
          <w:sz w:val="28"/>
          <w:szCs w:val="28"/>
        </w:rPr>
        <w:t>2007</w:t>
      </w:r>
      <w:r>
        <w:rPr>
          <w:rFonts w:ascii="Arial" w:eastAsia="仿宋" w:hAnsi="Arial" w:cs="Arial"/>
          <w:sz w:val="28"/>
          <w:szCs w:val="28"/>
        </w:rPr>
        <w:t>年</w:t>
      </w:r>
      <w:r>
        <w:rPr>
          <w:rFonts w:ascii="Arial" w:eastAsia="仿宋" w:hAnsi="Arial" w:cs="Arial"/>
          <w:sz w:val="28"/>
          <w:szCs w:val="28"/>
        </w:rPr>
        <w:t>10</w:t>
      </w:r>
      <w:r>
        <w:rPr>
          <w:rFonts w:ascii="Arial" w:eastAsia="仿宋" w:hAnsi="Arial" w:cs="Arial"/>
          <w:sz w:val="28"/>
          <w:szCs w:val="28"/>
        </w:rPr>
        <w:t>月</w:t>
      </w:r>
      <w:r>
        <w:rPr>
          <w:rFonts w:ascii="Arial" w:eastAsia="仿宋" w:hAnsi="Arial" w:cs="Arial"/>
          <w:sz w:val="28"/>
          <w:szCs w:val="28"/>
        </w:rPr>
        <w:t>28</w:t>
      </w:r>
      <w:r>
        <w:rPr>
          <w:rFonts w:ascii="Arial" w:eastAsia="仿宋" w:hAnsi="Arial" w:cs="Arial"/>
          <w:sz w:val="28"/>
          <w:szCs w:val="28"/>
        </w:rPr>
        <w:t>日第十届全国人民代表大会常务委员会第三十次会议通过；根据</w:t>
      </w:r>
      <w:r>
        <w:rPr>
          <w:rFonts w:ascii="Arial" w:eastAsia="仿宋" w:hAnsi="Arial" w:cs="Arial"/>
          <w:sz w:val="28"/>
          <w:szCs w:val="28"/>
        </w:rPr>
        <w:t>2015</w:t>
      </w:r>
      <w:r>
        <w:rPr>
          <w:rFonts w:ascii="Arial" w:eastAsia="仿宋" w:hAnsi="Arial" w:cs="Arial"/>
          <w:sz w:val="28"/>
          <w:szCs w:val="28"/>
        </w:rPr>
        <w:t>年</w:t>
      </w:r>
      <w:r>
        <w:rPr>
          <w:rFonts w:ascii="Arial" w:eastAsia="仿宋" w:hAnsi="Arial" w:cs="Arial"/>
          <w:sz w:val="28"/>
          <w:szCs w:val="28"/>
        </w:rPr>
        <w:t>4</w:t>
      </w:r>
      <w:r>
        <w:rPr>
          <w:rFonts w:ascii="Arial" w:eastAsia="仿宋" w:hAnsi="Arial" w:cs="Arial"/>
          <w:sz w:val="28"/>
          <w:szCs w:val="28"/>
        </w:rPr>
        <w:t>月</w:t>
      </w:r>
      <w:r>
        <w:rPr>
          <w:rFonts w:ascii="Arial" w:eastAsia="仿宋" w:hAnsi="Arial" w:cs="Arial"/>
          <w:sz w:val="28"/>
          <w:szCs w:val="28"/>
        </w:rPr>
        <w:t>24</w:t>
      </w:r>
      <w:r>
        <w:rPr>
          <w:rFonts w:ascii="Arial" w:eastAsia="仿宋" w:hAnsi="Arial" w:cs="Arial"/>
          <w:sz w:val="28"/>
          <w:szCs w:val="28"/>
        </w:rPr>
        <w:t>日第十二届全国人民代表大会常务委员会第十四次会议《关于修改〈中华人民共和国港口法〉等七部法律的决定》第一次修正，公布之日起施行；根据</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4</w:t>
      </w:r>
      <w:r>
        <w:rPr>
          <w:rFonts w:ascii="Arial" w:eastAsia="仿宋" w:hAnsi="Arial" w:cs="Arial"/>
          <w:sz w:val="28"/>
          <w:szCs w:val="28"/>
        </w:rPr>
        <w:t>月</w:t>
      </w:r>
      <w:r>
        <w:rPr>
          <w:rFonts w:ascii="Arial" w:eastAsia="仿宋" w:hAnsi="Arial" w:cs="Arial"/>
          <w:sz w:val="28"/>
          <w:szCs w:val="28"/>
        </w:rPr>
        <w:t>23</w:t>
      </w:r>
      <w:r>
        <w:rPr>
          <w:rFonts w:ascii="Arial" w:eastAsia="仿宋" w:hAnsi="Arial" w:cs="Arial"/>
          <w:sz w:val="28"/>
          <w:szCs w:val="28"/>
        </w:rPr>
        <w:t>日第十三届全国人民代表大会常务委员会第十次会议《关于修改〈中华人民共和国建筑法〉等八部法律的决定》第二次修正自，公布之日起施行）</w:t>
      </w:r>
    </w:p>
    <w:p w14:paraId="09D08F37"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《中华人民共和国资产评估法》（</w:t>
      </w:r>
      <w:r>
        <w:rPr>
          <w:rFonts w:ascii="Arial" w:eastAsia="仿宋" w:hAnsi="Arial" w:cs="Arial"/>
          <w:sz w:val="28"/>
          <w:szCs w:val="28"/>
        </w:rPr>
        <w:t>2016</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2</w:t>
      </w:r>
      <w:r>
        <w:rPr>
          <w:rFonts w:ascii="Arial" w:eastAsia="仿宋" w:hAnsi="Arial" w:cs="Arial"/>
          <w:sz w:val="28"/>
          <w:szCs w:val="28"/>
        </w:rPr>
        <w:t>日第十二届全国人民代表大会常务委员会第二十一次会议通过，</w:t>
      </w:r>
      <w:r>
        <w:rPr>
          <w:rFonts w:ascii="Arial" w:eastAsia="仿宋" w:hAnsi="Arial" w:cs="Arial"/>
          <w:sz w:val="28"/>
          <w:szCs w:val="28"/>
        </w:rPr>
        <w:t>2016</w:t>
      </w:r>
      <w:r>
        <w:rPr>
          <w:rFonts w:ascii="Arial" w:eastAsia="仿宋" w:hAnsi="Arial" w:cs="Arial"/>
          <w:sz w:val="28"/>
          <w:szCs w:val="28"/>
        </w:rPr>
        <w:t>年</w:t>
      </w:r>
      <w:r>
        <w:rPr>
          <w:rFonts w:ascii="Arial" w:eastAsia="仿宋" w:hAnsi="Arial" w:cs="Arial"/>
          <w:sz w:val="28"/>
          <w:szCs w:val="28"/>
        </w:rPr>
        <w:t>3</w:t>
      </w:r>
      <w:r>
        <w:rPr>
          <w:rFonts w:ascii="Arial" w:eastAsia="仿宋" w:hAnsi="Arial" w:cs="Arial"/>
          <w:sz w:val="28"/>
          <w:szCs w:val="28"/>
        </w:rPr>
        <w:t>月</w:t>
      </w:r>
      <w:r>
        <w:rPr>
          <w:rFonts w:ascii="Arial" w:eastAsia="仿宋" w:hAnsi="Arial" w:cs="Arial"/>
          <w:sz w:val="28"/>
          <w:szCs w:val="28"/>
        </w:rPr>
        <w:t>16</w:t>
      </w:r>
      <w:r>
        <w:rPr>
          <w:rFonts w:ascii="Arial" w:eastAsia="仿宋" w:hAnsi="Arial" w:cs="Arial"/>
          <w:sz w:val="28"/>
          <w:szCs w:val="28"/>
        </w:rPr>
        <w:t>日中华人民共和国主席令第</w:t>
      </w:r>
      <w:r>
        <w:rPr>
          <w:rFonts w:ascii="Arial" w:eastAsia="仿宋" w:hAnsi="Arial" w:cs="Arial"/>
          <w:sz w:val="28"/>
          <w:szCs w:val="28"/>
        </w:rPr>
        <w:t>46</w:t>
      </w:r>
      <w:r>
        <w:rPr>
          <w:rFonts w:ascii="Arial" w:eastAsia="仿宋" w:hAnsi="Arial" w:cs="Arial"/>
          <w:sz w:val="28"/>
          <w:szCs w:val="28"/>
        </w:rPr>
        <w:t>号公布，自</w:t>
      </w:r>
      <w:r>
        <w:rPr>
          <w:rFonts w:ascii="Arial" w:eastAsia="仿宋" w:hAnsi="Arial" w:cs="Arial"/>
          <w:sz w:val="28"/>
          <w:szCs w:val="28"/>
        </w:rPr>
        <w:t>2016</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p>
    <w:p w14:paraId="2112E283"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《中华人民共和国民法典》（</w:t>
      </w:r>
      <w:r>
        <w:rPr>
          <w:rFonts w:ascii="Arial" w:eastAsia="仿宋" w:hAnsi="Arial" w:cs="Arial"/>
          <w:sz w:val="28"/>
          <w:szCs w:val="28"/>
        </w:rPr>
        <w:t>2020</w:t>
      </w:r>
      <w:r>
        <w:rPr>
          <w:rFonts w:ascii="Arial" w:eastAsia="仿宋" w:hAnsi="Arial" w:cs="Arial"/>
          <w:sz w:val="28"/>
          <w:szCs w:val="28"/>
        </w:rPr>
        <w:t>年</w:t>
      </w:r>
      <w:r>
        <w:rPr>
          <w:rFonts w:ascii="Arial" w:eastAsia="仿宋" w:hAnsi="Arial" w:cs="Arial"/>
          <w:sz w:val="28"/>
          <w:szCs w:val="28"/>
        </w:rPr>
        <w:t>5</w:t>
      </w:r>
      <w:r>
        <w:rPr>
          <w:rFonts w:ascii="Arial" w:eastAsia="仿宋" w:hAnsi="Arial" w:cs="Arial"/>
          <w:sz w:val="28"/>
          <w:szCs w:val="28"/>
        </w:rPr>
        <w:t>月</w:t>
      </w:r>
      <w:r>
        <w:rPr>
          <w:rFonts w:ascii="Arial" w:eastAsia="仿宋" w:hAnsi="Arial" w:cs="Arial"/>
          <w:sz w:val="28"/>
          <w:szCs w:val="28"/>
        </w:rPr>
        <w:t>28</w:t>
      </w:r>
      <w:r>
        <w:rPr>
          <w:rFonts w:ascii="Arial" w:eastAsia="仿宋" w:hAnsi="Arial" w:cs="Arial"/>
          <w:sz w:val="28"/>
          <w:szCs w:val="28"/>
        </w:rPr>
        <w:t>日第十三届全国人大三次会议表决通过，自</w:t>
      </w:r>
      <w:r>
        <w:rPr>
          <w:rFonts w:ascii="Arial" w:eastAsia="仿宋" w:hAnsi="Arial" w:cs="Arial"/>
          <w:sz w:val="28"/>
          <w:szCs w:val="28"/>
        </w:rPr>
        <w:t>2021</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p>
    <w:p w14:paraId="6C887189"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《中华人民共和国城镇国有土地使用权出让和转让暂行条例》（</w:t>
      </w:r>
      <w:r>
        <w:rPr>
          <w:rFonts w:ascii="Arial" w:eastAsia="仿宋" w:hAnsi="Arial" w:cs="Arial"/>
          <w:sz w:val="28"/>
          <w:szCs w:val="28"/>
        </w:rPr>
        <w:t>1990</w:t>
      </w:r>
      <w:r>
        <w:rPr>
          <w:rFonts w:ascii="Arial" w:eastAsia="仿宋" w:hAnsi="Arial" w:cs="Arial"/>
          <w:sz w:val="28"/>
          <w:szCs w:val="28"/>
        </w:rPr>
        <w:t>年</w:t>
      </w:r>
      <w:r>
        <w:rPr>
          <w:rFonts w:ascii="Arial" w:eastAsia="仿宋" w:hAnsi="Arial" w:cs="Arial"/>
          <w:sz w:val="28"/>
          <w:szCs w:val="28"/>
        </w:rPr>
        <w:t>5</w:t>
      </w:r>
      <w:r>
        <w:rPr>
          <w:rFonts w:ascii="Arial" w:eastAsia="仿宋" w:hAnsi="Arial" w:cs="Arial"/>
          <w:sz w:val="28"/>
          <w:szCs w:val="28"/>
        </w:rPr>
        <w:t>月</w:t>
      </w:r>
      <w:r>
        <w:rPr>
          <w:rFonts w:ascii="Arial" w:eastAsia="仿宋" w:hAnsi="Arial" w:cs="Arial"/>
          <w:sz w:val="28"/>
          <w:szCs w:val="28"/>
        </w:rPr>
        <w:t>19</w:t>
      </w:r>
      <w:r>
        <w:rPr>
          <w:rFonts w:ascii="Arial" w:eastAsia="仿宋" w:hAnsi="Arial" w:cs="Arial"/>
          <w:sz w:val="28"/>
          <w:szCs w:val="28"/>
        </w:rPr>
        <w:t>日中华人民共和国国务院令第</w:t>
      </w:r>
      <w:r>
        <w:rPr>
          <w:rFonts w:ascii="Arial" w:eastAsia="仿宋" w:hAnsi="Arial" w:cs="Arial"/>
          <w:sz w:val="28"/>
          <w:szCs w:val="28"/>
        </w:rPr>
        <w:t>55</w:t>
      </w:r>
      <w:r>
        <w:rPr>
          <w:rFonts w:ascii="Arial" w:eastAsia="仿宋" w:hAnsi="Arial" w:cs="Arial"/>
          <w:sz w:val="28"/>
          <w:szCs w:val="28"/>
        </w:rPr>
        <w:t>号发布，自发布之日起施行；根据</w:t>
      </w:r>
      <w:r>
        <w:rPr>
          <w:rFonts w:ascii="Arial" w:eastAsia="仿宋" w:hAnsi="Arial" w:cs="Arial"/>
          <w:sz w:val="28"/>
          <w:szCs w:val="28"/>
        </w:rPr>
        <w:t>2020</w:t>
      </w:r>
      <w:r>
        <w:rPr>
          <w:rFonts w:ascii="Arial" w:eastAsia="仿宋" w:hAnsi="Arial" w:cs="Arial"/>
          <w:sz w:val="28"/>
          <w:szCs w:val="28"/>
        </w:rPr>
        <w:t>年</w:t>
      </w:r>
      <w:r>
        <w:rPr>
          <w:rFonts w:ascii="Arial" w:eastAsia="仿宋" w:hAnsi="Arial" w:cs="Arial"/>
          <w:sz w:val="28"/>
          <w:szCs w:val="28"/>
        </w:rPr>
        <w:t>11</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日中华人民共和国国务院令第</w:t>
      </w:r>
      <w:r>
        <w:rPr>
          <w:rFonts w:ascii="Arial" w:eastAsia="仿宋" w:hAnsi="Arial" w:cs="Arial"/>
          <w:sz w:val="28"/>
          <w:szCs w:val="28"/>
        </w:rPr>
        <w:t>732</w:t>
      </w:r>
      <w:r>
        <w:rPr>
          <w:rFonts w:ascii="Arial" w:eastAsia="仿宋" w:hAnsi="Arial" w:cs="Arial"/>
          <w:sz w:val="28"/>
          <w:szCs w:val="28"/>
        </w:rPr>
        <w:t>号公布的《国务院关于修改和废止部分行政法规的决定》修订，自公布之日起施行）</w:t>
      </w:r>
    </w:p>
    <w:p w14:paraId="49788C94"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《中华人民共和国土地管理法实施条例》（</w:t>
      </w:r>
      <w:r>
        <w:rPr>
          <w:rFonts w:ascii="Arial" w:eastAsia="仿宋" w:hAnsi="Arial" w:cs="Arial"/>
          <w:sz w:val="28"/>
          <w:szCs w:val="28"/>
        </w:rPr>
        <w:t>1998</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24</w:t>
      </w:r>
      <w:r>
        <w:rPr>
          <w:rFonts w:ascii="Arial" w:eastAsia="仿宋" w:hAnsi="Arial" w:cs="Arial"/>
          <w:sz w:val="28"/>
          <w:szCs w:val="28"/>
        </w:rPr>
        <w:t>日国务院第</w:t>
      </w:r>
      <w:r>
        <w:rPr>
          <w:rFonts w:ascii="Arial" w:eastAsia="仿宋" w:hAnsi="Arial" w:cs="Arial"/>
          <w:sz w:val="28"/>
          <w:szCs w:val="28"/>
        </w:rPr>
        <w:t>12</w:t>
      </w:r>
      <w:r>
        <w:rPr>
          <w:rFonts w:ascii="Arial" w:eastAsia="仿宋" w:hAnsi="Arial" w:cs="Arial"/>
          <w:sz w:val="28"/>
          <w:szCs w:val="28"/>
        </w:rPr>
        <w:t>次常务会议通过</w:t>
      </w:r>
      <w:r>
        <w:rPr>
          <w:rFonts w:ascii="Arial" w:eastAsia="仿宋" w:hAnsi="Arial" w:cs="Arial"/>
          <w:sz w:val="28"/>
          <w:szCs w:val="28"/>
        </w:rPr>
        <w:t xml:space="preserve"> </w:t>
      </w:r>
      <w:r>
        <w:rPr>
          <w:rFonts w:ascii="Arial" w:eastAsia="仿宋" w:hAnsi="Arial" w:cs="Arial"/>
          <w:sz w:val="28"/>
          <w:szCs w:val="28"/>
        </w:rPr>
        <w:t>，</w:t>
      </w:r>
      <w:r>
        <w:rPr>
          <w:rFonts w:ascii="Arial" w:eastAsia="仿宋" w:hAnsi="Arial" w:cs="Arial"/>
          <w:sz w:val="28"/>
          <w:szCs w:val="28"/>
        </w:rPr>
        <w:t>1998</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27</w:t>
      </w:r>
      <w:r>
        <w:rPr>
          <w:rFonts w:ascii="Arial" w:eastAsia="仿宋" w:hAnsi="Arial" w:cs="Arial"/>
          <w:sz w:val="28"/>
          <w:szCs w:val="28"/>
        </w:rPr>
        <w:t>日中华人民共和国国务院令第</w:t>
      </w:r>
      <w:r>
        <w:rPr>
          <w:rFonts w:ascii="Arial" w:eastAsia="仿宋" w:hAnsi="Arial" w:cs="Arial"/>
          <w:sz w:val="28"/>
          <w:szCs w:val="28"/>
        </w:rPr>
        <w:t>256</w:t>
      </w:r>
      <w:r>
        <w:rPr>
          <w:rFonts w:ascii="Arial" w:eastAsia="仿宋" w:hAnsi="Arial" w:cs="Arial"/>
          <w:sz w:val="28"/>
          <w:szCs w:val="28"/>
        </w:rPr>
        <w:t>号发布，自</w:t>
      </w:r>
      <w:r>
        <w:rPr>
          <w:rFonts w:ascii="Arial" w:eastAsia="仿宋" w:hAnsi="Arial" w:cs="Arial"/>
          <w:sz w:val="28"/>
          <w:szCs w:val="28"/>
        </w:rPr>
        <w:t>1999</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r>
        <w:rPr>
          <w:rFonts w:ascii="Arial" w:eastAsia="仿宋" w:hAnsi="Arial" w:cs="Arial"/>
          <w:sz w:val="28"/>
          <w:szCs w:val="28"/>
        </w:rPr>
        <w:t>2010</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日国务院第</w:t>
      </w:r>
      <w:r>
        <w:rPr>
          <w:rFonts w:ascii="Arial" w:eastAsia="仿宋" w:hAnsi="Arial" w:cs="Arial"/>
          <w:sz w:val="28"/>
          <w:szCs w:val="28"/>
        </w:rPr>
        <w:t>138</w:t>
      </w:r>
      <w:r>
        <w:rPr>
          <w:rFonts w:ascii="Arial" w:eastAsia="仿宋" w:hAnsi="Arial" w:cs="Arial"/>
          <w:sz w:val="28"/>
          <w:szCs w:val="28"/>
        </w:rPr>
        <w:t>次常务会议第一次修正通过，</w:t>
      </w:r>
      <w:r>
        <w:rPr>
          <w:rFonts w:ascii="Arial" w:eastAsia="仿宋" w:hAnsi="Arial" w:cs="Arial"/>
          <w:sz w:val="28"/>
          <w:szCs w:val="28"/>
        </w:rPr>
        <w:t>2011</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8</w:t>
      </w:r>
      <w:r>
        <w:rPr>
          <w:rFonts w:ascii="Arial" w:eastAsia="仿宋" w:hAnsi="Arial" w:cs="Arial"/>
          <w:sz w:val="28"/>
          <w:szCs w:val="28"/>
        </w:rPr>
        <w:t>日中华人民共和国国务院令第</w:t>
      </w:r>
      <w:r>
        <w:rPr>
          <w:rFonts w:ascii="Arial" w:eastAsia="仿宋" w:hAnsi="Arial" w:cs="Arial"/>
          <w:sz w:val="28"/>
          <w:szCs w:val="28"/>
        </w:rPr>
        <w:t>588</w:t>
      </w:r>
      <w:r>
        <w:rPr>
          <w:rFonts w:ascii="Arial" w:eastAsia="仿宋" w:hAnsi="Arial" w:cs="Arial"/>
          <w:sz w:val="28"/>
          <w:szCs w:val="28"/>
        </w:rPr>
        <w:t>号发布，自发布之日起施行；</w:t>
      </w:r>
      <w:r>
        <w:rPr>
          <w:rFonts w:ascii="Arial" w:eastAsia="仿宋" w:hAnsi="Arial" w:cs="Arial"/>
          <w:sz w:val="28"/>
          <w:szCs w:val="28"/>
        </w:rPr>
        <w:t>2014</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9</w:t>
      </w:r>
      <w:r>
        <w:rPr>
          <w:rFonts w:ascii="Arial" w:eastAsia="仿宋" w:hAnsi="Arial" w:cs="Arial"/>
          <w:sz w:val="28"/>
          <w:szCs w:val="28"/>
        </w:rPr>
        <w:t>日国务院第</w:t>
      </w:r>
      <w:r>
        <w:rPr>
          <w:rFonts w:ascii="Arial" w:eastAsia="仿宋" w:hAnsi="Arial" w:cs="Arial"/>
          <w:sz w:val="28"/>
          <w:szCs w:val="28"/>
        </w:rPr>
        <w:t>54</w:t>
      </w:r>
      <w:r>
        <w:rPr>
          <w:rFonts w:ascii="Arial" w:eastAsia="仿宋" w:hAnsi="Arial" w:cs="Arial"/>
          <w:sz w:val="28"/>
          <w:szCs w:val="28"/>
        </w:rPr>
        <w:t>次常务会议第二次修正通过，</w:t>
      </w:r>
      <w:r>
        <w:rPr>
          <w:rFonts w:ascii="Arial" w:eastAsia="仿宋" w:hAnsi="Arial" w:cs="Arial"/>
          <w:sz w:val="28"/>
          <w:szCs w:val="28"/>
        </w:rPr>
        <w:t>2014</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日中华人民共和国国务院令第</w:t>
      </w:r>
      <w:r>
        <w:rPr>
          <w:rFonts w:ascii="Arial" w:eastAsia="仿宋" w:hAnsi="Arial" w:cs="Arial"/>
          <w:sz w:val="28"/>
          <w:szCs w:val="28"/>
        </w:rPr>
        <w:t>653</w:t>
      </w:r>
      <w:r>
        <w:rPr>
          <w:rFonts w:ascii="Arial" w:eastAsia="仿宋" w:hAnsi="Arial" w:cs="Arial"/>
          <w:sz w:val="28"/>
          <w:szCs w:val="28"/>
        </w:rPr>
        <w:t>号公布，自公布之日起施行；</w:t>
      </w:r>
      <w:r>
        <w:rPr>
          <w:rFonts w:ascii="Arial" w:eastAsia="仿宋" w:hAnsi="Arial" w:cs="Arial"/>
          <w:sz w:val="28"/>
          <w:szCs w:val="28"/>
        </w:rPr>
        <w:t>2021</w:t>
      </w:r>
      <w:r>
        <w:rPr>
          <w:rFonts w:ascii="Arial" w:eastAsia="仿宋" w:hAnsi="Arial" w:cs="Arial"/>
          <w:sz w:val="28"/>
          <w:szCs w:val="28"/>
        </w:rPr>
        <w:t>年</w:t>
      </w:r>
      <w:r>
        <w:rPr>
          <w:rFonts w:ascii="Arial" w:eastAsia="仿宋" w:hAnsi="Arial" w:cs="Arial"/>
          <w:sz w:val="28"/>
          <w:szCs w:val="28"/>
        </w:rPr>
        <w:t>4</w:t>
      </w:r>
      <w:r>
        <w:rPr>
          <w:rFonts w:ascii="Arial" w:eastAsia="仿宋" w:hAnsi="Arial" w:cs="Arial"/>
          <w:sz w:val="28"/>
          <w:szCs w:val="28"/>
        </w:rPr>
        <w:t>月</w:t>
      </w:r>
      <w:r>
        <w:rPr>
          <w:rFonts w:ascii="Arial" w:eastAsia="仿宋" w:hAnsi="Arial" w:cs="Arial"/>
          <w:sz w:val="28"/>
          <w:szCs w:val="28"/>
        </w:rPr>
        <w:t>21</w:t>
      </w:r>
      <w:r>
        <w:rPr>
          <w:rFonts w:ascii="Arial" w:eastAsia="仿宋" w:hAnsi="Arial" w:cs="Arial"/>
          <w:sz w:val="28"/>
          <w:szCs w:val="28"/>
        </w:rPr>
        <w:t>日国务院第</w:t>
      </w:r>
      <w:r>
        <w:rPr>
          <w:rFonts w:ascii="Arial" w:eastAsia="仿宋" w:hAnsi="Arial" w:cs="Arial"/>
          <w:sz w:val="28"/>
          <w:szCs w:val="28"/>
        </w:rPr>
        <w:t>132</w:t>
      </w:r>
      <w:r>
        <w:rPr>
          <w:rFonts w:ascii="Arial" w:eastAsia="仿宋" w:hAnsi="Arial" w:cs="Arial"/>
          <w:sz w:val="28"/>
          <w:szCs w:val="28"/>
        </w:rPr>
        <w:t>次会议第三次修订通过，</w:t>
      </w:r>
      <w:r>
        <w:rPr>
          <w:rFonts w:ascii="Arial" w:eastAsia="仿宋" w:hAnsi="Arial" w:cs="Arial"/>
          <w:sz w:val="28"/>
          <w:szCs w:val="28"/>
        </w:rPr>
        <w:t>2021</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2</w:t>
      </w:r>
      <w:r>
        <w:rPr>
          <w:rFonts w:ascii="Arial" w:eastAsia="仿宋" w:hAnsi="Arial" w:cs="Arial"/>
          <w:sz w:val="28"/>
          <w:szCs w:val="28"/>
        </w:rPr>
        <w:t>日中华人民共和国国务院令第</w:t>
      </w:r>
      <w:r>
        <w:rPr>
          <w:rFonts w:ascii="Arial" w:eastAsia="仿宋" w:hAnsi="Arial" w:cs="Arial"/>
          <w:sz w:val="28"/>
          <w:szCs w:val="28"/>
        </w:rPr>
        <w:t>743</w:t>
      </w:r>
      <w:r>
        <w:rPr>
          <w:rFonts w:ascii="Arial" w:eastAsia="仿宋" w:hAnsi="Arial" w:cs="Arial"/>
          <w:sz w:val="28"/>
          <w:szCs w:val="28"/>
        </w:rPr>
        <w:t>号公布，自</w:t>
      </w:r>
      <w:r>
        <w:rPr>
          <w:rFonts w:ascii="Arial" w:eastAsia="仿宋" w:hAnsi="Arial" w:cs="Arial"/>
          <w:sz w:val="28"/>
          <w:szCs w:val="28"/>
        </w:rPr>
        <w:t>2021</w:t>
      </w:r>
      <w:r>
        <w:rPr>
          <w:rFonts w:ascii="Arial" w:eastAsia="仿宋" w:hAnsi="Arial" w:cs="Arial"/>
          <w:sz w:val="28"/>
          <w:szCs w:val="28"/>
        </w:rPr>
        <w:t>年</w:t>
      </w:r>
      <w:r>
        <w:rPr>
          <w:rFonts w:ascii="Arial" w:eastAsia="仿宋" w:hAnsi="Arial" w:cs="Arial"/>
          <w:sz w:val="28"/>
          <w:szCs w:val="28"/>
        </w:rPr>
        <w:t>9</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p>
    <w:p w14:paraId="30B5F4B1"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《不动产登记暂行条例》〔</w:t>
      </w:r>
      <w:r>
        <w:rPr>
          <w:rFonts w:ascii="Arial" w:eastAsia="仿宋" w:hAnsi="Arial" w:cs="Arial"/>
          <w:sz w:val="28"/>
          <w:szCs w:val="28"/>
        </w:rPr>
        <w:t>2014</w:t>
      </w:r>
      <w:r>
        <w:rPr>
          <w:rFonts w:ascii="Arial" w:eastAsia="仿宋" w:hAnsi="Arial" w:cs="Arial"/>
          <w:sz w:val="28"/>
          <w:szCs w:val="28"/>
        </w:rPr>
        <w:t>年</w:t>
      </w:r>
      <w:r>
        <w:rPr>
          <w:rFonts w:ascii="Arial" w:eastAsia="仿宋" w:hAnsi="Arial" w:cs="Arial"/>
          <w:sz w:val="28"/>
          <w:szCs w:val="28"/>
        </w:rPr>
        <w:t>11</w:t>
      </w:r>
      <w:r>
        <w:rPr>
          <w:rFonts w:ascii="Arial" w:eastAsia="仿宋" w:hAnsi="Arial" w:cs="Arial"/>
          <w:sz w:val="28"/>
          <w:szCs w:val="28"/>
        </w:rPr>
        <w:t>月</w:t>
      </w:r>
      <w:r>
        <w:rPr>
          <w:rFonts w:ascii="Arial" w:eastAsia="仿宋" w:hAnsi="Arial" w:cs="Arial"/>
          <w:sz w:val="28"/>
          <w:szCs w:val="28"/>
        </w:rPr>
        <w:t>24</w:t>
      </w:r>
      <w:r>
        <w:rPr>
          <w:rFonts w:ascii="Arial" w:eastAsia="仿宋" w:hAnsi="Arial" w:cs="Arial"/>
          <w:sz w:val="28"/>
          <w:szCs w:val="28"/>
        </w:rPr>
        <w:t>日中华人民共和国国</w:t>
      </w:r>
      <w:r>
        <w:rPr>
          <w:rFonts w:ascii="Arial" w:eastAsia="仿宋" w:hAnsi="Arial" w:cs="Arial"/>
          <w:sz w:val="28"/>
          <w:szCs w:val="28"/>
        </w:rPr>
        <w:lastRenderedPageBreak/>
        <w:t>务院令第</w:t>
      </w:r>
      <w:r>
        <w:rPr>
          <w:rFonts w:ascii="Arial" w:eastAsia="仿宋" w:hAnsi="Arial" w:cs="Arial"/>
          <w:sz w:val="28"/>
          <w:szCs w:val="28"/>
        </w:rPr>
        <w:t>656</w:t>
      </w:r>
      <w:r>
        <w:rPr>
          <w:rFonts w:ascii="Arial" w:eastAsia="仿宋" w:hAnsi="Arial" w:cs="Arial"/>
          <w:sz w:val="28"/>
          <w:szCs w:val="28"/>
        </w:rPr>
        <w:t>号公布，自</w:t>
      </w:r>
      <w:r>
        <w:rPr>
          <w:rFonts w:ascii="Arial" w:eastAsia="仿宋" w:hAnsi="Arial" w:cs="Arial"/>
          <w:sz w:val="28"/>
          <w:szCs w:val="28"/>
        </w:rPr>
        <w:t>2015</w:t>
      </w:r>
      <w:r>
        <w:rPr>
          <w:rFonts w:ascii="Arial" w:eastAsia="仿宋" w:hAnsi="Arial" w:cs="Arial"/>
          <w:sz w:val="28"/>
          <w:szCs w:val="28"/>
        </w:rPr>
        <w:t>年</w:t>
      </w:r>
      <w:r>
        <w:rPr>
          <w:rFonts w:ascii="Arial" w:eastAsia="仿宋" w:hAnsi="Arial" w:cs="Arial"/>
          <w:sz w:val="28"/>
          <w:szCs w:val="28"/>
        </w:rPr>
        <w:t>3</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日起施行；根据</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3</w:t>
      </w:r>
      <w:r>
        <w:rPr>
          <w:rFonts w:ascii="Arial" w:eastAsia="仿宋" w:hAnsi="Arial" w:cs="Arial"/>
          <w:sz w:val="28"/>
          <w:szCs w:val="28"/>
        </w:rPr>
        <w:t>月</w:t>
      </w:r>
      <w:r>
        <w:rPr>
          <w:rFonts w:ascii="Arial" w:eastAsia="仿宋" w:hAnsi="Arial" w:cs="Arial"/>
          <w:sz w:val="28"/>
          <w:szCs w:val="28"/>
        </w:rPr>
        <w:t>24</w:t>
      </w:r>
      <w:r>
        <w:rPr>
          <w:rFonts w:ascii="Arial" w:eastAsia="仿宋" w:hAnsi="Arial" w:cs="Arial"/>
          <w:sz w:val="28"/>
          <w:szCs w:val="28"/>
        </w:rPr>
        <w:t>日中华人民共和国国务院令第</w:t>
      </w:r>
      <w:r>
        <w:rPr>
          <w:rFonts w:ascii="Arial" w:eastAsia="仿宋" w:hAnsi="Arial" w:cs="Arial"/>
          <w:sz w:val="28"/>
          <w:szCs w:val="28"/>
        </w:rPr>
        <w:t>710</w:t>
      </w:r>
      <w:r>
        <w:rPr>
          <w:rFonts w:ascii="Arial" w:eastAsia="仿宋" w:hAnsi="Arial" w:cs="Arial"/>
          <w:sz w:val="28"/>
          <w:szCs w:val="28"/>
        </w:rPr>
        <w:t>号公布的《国务院关于修改部分行政法规的决定》修订，自公布之日起施行〕；</w:t>
      </w:r>
    </w:p>
    <w:p w14:paraId="4F78E57E"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《不动产登记暂行条例实施细则》（</w:t>
      </w:r>
      <w:r>
        <w:rPr>
          <w:rFonts w:ascii="Arial" w:eastAsia="仿宋" w:hAnsi="Arial" w:cs="Arial"/>
          <w:sz w:val="28"/>
          <w:szCs w:val="28"/>
        </w:rPr>
        <w:t>2015</w:t>
      </w:r>
      <w:r>
        <w:rPr>
          <w:rFonts w:ascii="Arial" w:eastAsia="仿宋" w:hAnsi="Arial" w:cs="Arial"/>
          <w:sz w:val="28"/>
          <w:szCs w:val="28"/>
        </w:rPr>
        <w:t>年</w:t>
      </w:r>
      <w:r>
        <w:rPr>
          <w:rFonts w:ascii="Arial" w:eastAsia="仿宋" w:hAnsi="Arial" w:cs="Arial"/>
          <w:sz w:val="28"/>
          <w:szCs w:val="28"/>
        </w:rPr>
        <w:t>6</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日国土资源部第</w:t>
      </w:r>
      <w:r>
        <w:rPr>
          <w:rFonts w:ascii="Arial" w:eastAsia="仿宋" w:hAnsi="Arial" w:cs="Arial"/>
          <w:sz w:val="28"/>
          <w:szCs w:val="28"/>
        </w:rPr>
        <w:t>3</w:t>
      </w:r>
      <w:r>
        <w:rPr>
          <w:rFonts w:ascii="Arial" w:eastAsia="仿宋" w:hAnsi="Arial" w:cs="Arial"/>
          <w:sz w:val="28"/>
          <w:szCs w:val="28"/>
        </w:rPr>
        <w:t>次部务会议通过，自</w:t>
      </w:r>
      <w:r>
        <w:rPr>
          <w:rFonts w:ascii="Arial" w:eastAsia="仿宋" w:hAnsi="Arial" w:cs="Arial"/>
          <w:sz w:val="28"/>
          <w:szCs w:val="28"/>
        </w:rPr>
        <w:t>2016</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日起施行；根据</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16</w:t>
      </w:r>
      <w:r>
        <w:rPr>
          <w:rFonts w:ascii="Arial" w:eastAsia="仿宋" w:hAnsi="Arial" w:cs="Arial"/>
          <w:sz w:val="28"/>
          <w:szCs w:val="28"/>
        </w:rPr>
        <w:t>日自然资源部第</w:t>
      </w:r>
      <w:r>
        <w:rPr>
          <w:rFonts w:ascii="Arial" w:eastAsia="仿宋" w:hAnsi="Arial" w:cs="Arial"/>
          <w:sz w:val="28"/>
          <w:szCs w:val="28"/>
        </w:rPr>
        <w:t>2</w:t>
      </w:r>
      <w:r>
        <w:rPr>
          <w:rFonts w:ascii="Arial" w:eastAsia="仿宋" w:hAnsi="Arial" w:cs="Arial"/>
          <w:sz w:val="28"/>
          <w:szCs w:val="28"/>
        </w:rPr>
        <w:t>次部务会议审议通过《自然资源部关于第一批废止和修改的部门规章的决定》（中华人民共和国自然资源部令第</w:t>
      </w:r>
      <w:r>
        <w:rPr>
          <w:rFonts w:ascii="Arial" w:eastAsia="仿宋" w:hAnsi="Arial" w:cs="Arial"/>
          <w:sz w:val="28"/>
          <w:szCs w:val="28"/>
        </w:rPr>
        <w:t>5</w:t>
      </w:r>
      <w:r>
        <w:rPr>
          <w:rFonts w:ascii="Arial" w:eastAsia="仿宋" w:hAnsi="Arial" w:cs="Arial"/>
          <w:sz w:val="28"/>
          <w:szCs w:val="28"/>
        </w:rPr>
        <w:t>号）修订，自公布之日起施行）</w:t>
      </w:r>
    </w:p>
    <w:p w14:paraId="6C08FFA4"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《不动产登记资料查询暂行办法》（</w:t>
      </w:r>
      <w:r>
        <w:rPr>
          <w:rFonts w:ascii="Arial" w:eastAsia="仿宋" w:hAnsi="Arial" w:cs="Arial"/>
          <w:sz w:val="28"/>
          <w:szCs w:val="28"/>
        </w:rPr>
        <w:t>2018</w:t>
      </w:r>
      <w:r>
        <w:rPr>
          <w:rFonts w:ascii="Arial" w:eastAsia="仿宋" w:hAnsi="Arial" w:cs="Arial"/>
          <w:sz w:val="28"/>
          <w:szCs w:val="28"/>
        </w:rPr>
        <w:t>年</w:t>
      </w:r>
      <w:r>
        <w:rPr>
          <w:rFonts w:ascii="Arial" w:eastAsia="仿宋" w:hAnsi="Arial" w:cs="Arial"/>
          <w:sz w:val="28"/>
          <w:szCs w:val="28"/>
        </w:rPr>
        <w:t>3</w:t>
      </w:r>
      <w:r>
        <w:rPr>
          <w:rFonts w:ascii="Arial" w:eastAsia="仿宋" w:hAnsi="Arial" w:cs="Arial"/>
          <w:sz w:val="28"/>
          <w:szCs w:val="28"/>
        </w:rPr>
        <w:t>月</w:t>
      </w:r>
      <w:r>
        <w:rPr>
          <w:rFonts w:ascii="Arial" w:eastAsia="仿宋" w:hAnsi="Arial" w:cs="Arial"/>
          <w:sz w:val="28"/>
          <w:szCs w:val="28"/>
        </w:rPr>
        <w:t>2</w:t>
      </w:r>
      <w:r>
        <w:rPr>
          <w:rFonts w:ascii="Arial" w:eastAsia="仿宋" w:hAnsi="Arial" w:cs="Arial"/>
          <w:sz w:val="28"/>
          <w:szCs w:val="28"/>
        </w:rPr>
        <w:t>日国土资源部令第</w:t>
      </w:r>
      <w:r>
        <w:rPr>
          <w:rFonts w:ascii="Arial" w:eastAsia="仿宋" w:hAnsi="Arial" w:cs="Arial"/>
          <w:sz w:val="28"/>
          <w:szCs w:val="28"/>
        </w:rPr>
        <w:t>80</w:t>
      </w:r>
      <w:r>
        <w:rPr>
          <w:rFonts w:ascii="Arial" w:eastAsia="仿宋" w:hAnsi="Arial" w:cs="Arial"/>
          <w:sz w:val="28"/>
          <w:szCs w:val="28"/>
        </w:rPr>
        <w:t>号公布；根据</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16</w:t>
      </w:r>
      <w:r>
        <w:rPr>
          <w:rFonts w:ascii="Arial" w:eastAsia="仿宋" w:hAnsi="Arial" w:cs="Arial"/>
          <w:sz w:val="28"/>
          <w:szCs w:val="28"/>
        </w:rPr>
        <w:t>日自然资源部第</w:t>
      </w:r>
      <w:r>
        <w:rPr>
          <w:rFonts w:ascii="Arial" w:eastAsia="仿宋" w:hAnsi="Arial" w:cs="Arial"/>
          <w:sz w:val="28"/>
          <w:szCs w:val="28"/>
        </w:rPr>
        <w:t>2</w:t>
      </w:r>
      <w:r>
        <w:rPr>
          <w:rFonts w:ascii="Arial" w:eastAsia="仿宋" w:hAnsi="Arial" w:cs="Arial"/>
          <w:sz w:val="28"/>
          <w:szCs w:val="28"/>
        </w:rPr>
        <w:t>次部务会《自然资源部关于废止和修改的第一批部门规章的决定》（中华人民共和国自然资源部令第</w:t>
      </w:r>
      <w:r>
        <w:rPr>
          <w:rFonts w:ascii="Arial" w:eastAsia="仿宋" w:hAnsi="Arial" w:cs="Arial"/>
          <w:sz w:val="28"/>
          <w:szCs w:val="28"/>
        </w:rPr>
        <w:t>5</w:t>
      </w:r>
      <w:r>
        <w:rPr>
          <w:rFonts w:ascii="Arial" w:eastAsia="仿宋" w:hAnsi="Arial" w:cs="Arial"/>
          <w:sz w:val="28"/>
          <w:szCs w:val="28"/>
        </w:rPr>
        <w:t>号）修订，自公布之日起施行）</w:t>
      </w:r>
    </w:p>
    <w:p w14:paraId="304433DC"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《国务院关于加强国有土地资产管理的通知》</w:t>
      </w:r>
      <w:proofErr w:type="gramStart"/>
      <w:r>
        <w:rPr>
          <w:rFonts w:ascii="Arial" w:eastAsia="仿宋" w:hAnsi="Arial" w:cs="Arial"/>
          <w:sz w:val="28"/>
          <w:szCs w:val="28"/>
        </w:rPr>
        <w:t>〔</w:t>
      </w:r>
      <w:proofErr w:type="gramEnd"/>
      <w:r>
        <w:rPr>
          <w:rFonts w:ascii="Arial" w:eastAsia="仿宋" w:hAnsi="Arial" w:cs="Arial"/>
          <w:sz w:val="28"/>
          <w:szCs w:val="28"/>
        </w:rPr>
        <w:t>国发</w:t>
      </w:r>
      <w:proofErr w:type="gramStart"/>
      <w:r>
        <w:rPr>
          <w:rFonts w:ascii="Arial" w:eastAsia="仿宋" w:hAnsi="Arial" w:cs="Arial"/>
          <w:sz w:val="28"/>
          <w:szCs w:val="28"/>
        </w:rPr>
        <w:t>〔</w:t>
      </w:r>
      <w:proofErr w:type="gramEnd"/>
      <w:r>
        <w:rPr>
          <w:rFonts w:ascii="Arial" w:eastAsia="仿宋" w:hAnsi="Arial" w:cs="Arial"/>
          <w:sz w:val="28"/>
          <w:szCs w:val="28"/>
        </w:rPr>
        <w:t>2001</w:t>
      </w:r>
      <w:proofErr w:type="gramStart"/>
      <w:r>
        <w:rPr>
          <w:rFonts w:ascii="Arial" w:eastAsia="仿宋" w:hAnsi="Arial" w:cs="Arial"/>
          <w:sz w:val="28"/>
          <w:szCs w:val="28"/>
        </w:rPr>
        <w:t>〕</w:t>
      </w:r>
      <w:proofErr w:type="gramEnd"/>
      <w:r>
        <w:rPr>
          <w:rFonts w:ascii="Arial" w:eastAsia="仿宋" w:hAnsi="Arial" w:cs="Arial"/>
          <w:sz w:val="28"/>
          <w:szCs w:val="28"/>
        </w:rPr>
        <w:t>15</w:t>
      </w:r>
      <w:r>
        <w:rPr>
          <w:rFonts w:ascii="Arial" w:eastAsia="仿宋" w:hAnsi="Arial" w:cs="Arial"/>
          <w:sz w:val="28"/>
          <w:szCs w:val="28"/>
        </w:rPr>
        <w:t>号，</w:t>
      </w:r>
      <w:r>
        <w:rPr>
          <w:rFonts w:ascii="Arial" w:eastAsia="仿宋" w:hAnsi="Arial" w:cs="Arial"/>
          <w:sz w:val="28"/>
          <w:szCs w:val="28"/>
        </w:rPr>
        <w:t>2001</w:t>
      </w:r>
      <w:r>
        <w:rPr>
          <w:rFonts w:ascii="Arial" w:eastAsia="仿宋" w:hAnsi="Arial" w:cs="Arial"/>
          <w:sz w:val="28"/>
          <w:szCs w:val="28"/>
        </w:rPr>
        <w:t>年</w:t>
      </w:r>
      <w:r>
        <w:rPr>
          <w:rFonts w:ascii="Arial" w:eastAsia="仿宋" w:hAnsi="Arial" w:cs="Arial"/>
          <w:sz w:val="28"/>
          <w:szCs w:val="28"/>
        </w:rPr>
        <w:t>4</w:t>
      </w:r>
      <w:r>
        <w:rPr>
          <w:rFonts w:ascii="Arial" w:eastAsia="仿宋" w:hAnsi="Arial" w:cs="Arial"/>
          <w:sz w:val="28"/>
          <w:szCs w:val="28"/>
        </w:rPr>
        <w:t>月</w:t>
      </w:r>
      <w:r>
        <w:rPr>
          <w:rFonts w:ascii="Arial" w:eastAsia="仿宋" w:hAnsi="Arial" w:cs="Arial"/>
          <w:sz w:val="28"/>
          <w:szCs w:val="28"/>
        </w:rPr>
        <w:t>30</w:t>
      </w:r>
      <w:r>
        <w:rPr>
          <w:rFonts w:ascii="Arial" w:eastAsia="仿宋" w:hAnsi="Arial" w:cs="Arial"/>
          <w:sz w:val="28"/>
          <w:szCs w:val="28"/>
        </w:rPr>
        <w:t>日</w:t>
      </w:r>
      <w:proofErr w:type="gramStart"/>
      <w:r>
        <w:rPr>
          <w:rFonts w:ascii="Arial" w:eastAsia="仿宋" w:hAnsi="Arial" w:cs="Arial"/>
          <w:sz w:val="28"/>
          <w:szCs w:val="28"/>
        </w:rPr>
        <w:t>〕</w:t>
      </w:r>
      <w:proofErr w:type="gramEnd"/>
      <w:r>
        <w:rPr>
          <w:rFonts w:ascii="Arial" w:eastAsia="仿宋" w:hAnsi="Arial" w:cs="Arial"/>
          <w:sz w:val="28"/>
          <w:szCs w:val="28"/>
        </w:rPr>
        <w:t>；</w:t>
      </w:r>
    </w:p>
    <w:p w14:paraId="43864D5F"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《国务院关于深化改革严格土地管理的决定》</w:t>
      </w:r>
      <w:proofErr w:type="gramStart"/>
      <w:r>
        <w:rPr>
          <w:rFonts w:ascii="Arial" w:eastAsia="仿宋" w:hAnsi="Arial" w:cs="Arial"/>
          <w:sz w:val="28"/>
          <w:szCs w:val="28"/>
        </w:rPr>
        <w:t>〔</w:t>
      </w:r>
      <w:proofErr w:type="gramEnd"/>
      <w:r>
        <w:rPr>
          <w:rFonts w:ascii="Arial" w:eastAsia="仿宋" w:hAnsi="Arial" w:cs="Arial"/>
          <w:sz w:val="28"/>
          <w:szCs w:val="28"/>
        </w:rPr>
        <w:t>国发</w:t>
      </w:r>
      <w:proofErr w:type="gramStart"/>
      <w:r>
        <w:rPr>
          <w:rFonts w:ascii="Arial" w:eastAsia="仿宋" w:hAnsi="Arial" w:cs="Arial"/>
          <w:sz w:val="28"/>
          <w:szCs w:val="28"/>
        </w:rPr>
        <w:t>〔</w:t>
      </w:r>
      <w:proofErr w:type="gramEnd"/>
      <w:r>
        <w:rPr>
          <w:rFonts w:ascii="Arial" w:eastAsia="仿宋" w:hAnsi="Arial" w:cs="Arial"/>
          <w:sz w:val="28"/>
          <w:szCs w:val="28"/>
        </w:rPr>
        <w:t>2004</w:t>
      </w:r>
      <w:proofErr w:type="gramStart"/>
      <w:r>
        <w:rPr>
          <w:rFonts w:ascii="Arial" w:eastAsia="仿宋" w:hAnsi="Arial" w:cs="Arial"/>
          <w:sz w:val="28"/>
          <w:szCs w:val="28"/>
        </w:rPr>
        <w:t>〕</w:t>
      </w:r>
      <w:proofErr w:type="gramEnd"/>
      <w:r>
        <w:rPr>
          <w:rFonts w:ascii="Arial" w:eastAsia="仿宋" w:hAnsi="Arial" w:cs="Arial"/>
          <w:sz w:val="28"/>
          <w:szCs w:val="28"/>
        </w:rPr>
        <w:t>28</w:t>
      </w:r>
      <w:r>
        <w:rPr>
          <w:rFonts w:ascii="Arial" w:eastAsia="仿宋" w:hAnsi="Arial" w:cs="Arial"/>
          <w:sz w:val="28"/>
          <w:szCs w:val="28"/>
        </w:rPr>
        <w:t>号，</w:t>
      </w:r>
      <w:r>
        <w:rPr>
          <w:rFonts w:ascii="Arial" w:eastAsia="仿宋" w:hAnsi="Arial" w:cs="Arial"/>
          <w:sz w:val="28"/>
          <w:szCs w:val="28"/>
        </w:rPr>
        <w:t>2004</w:t>
      </w:r>
      <w:r>
        <w:rPr>
          <w:rFonts w:ascii="Arial" w:eastAsia="仿宋" w:hAnsi="Arial" w:cs="Arial"/>
          <w:sz w:val="28"/>
          <w:szCs w:val="28"/>
        </w:rPr>
        <w:t>年</w:t>
      </w:r>
      <w:r>
        <w:rPr>
          <w:rFonts w:ascii="Arial" w:eastAsia="仿宋" w:hAnsi="Arial" w:cs="Arial"/>
          <w:sz w:val="28"/>
          <w:szCs w:val="28"/>
        </w:rPr>
        <w:t>10</w:t>
      </w:r>
      <w:r>
        <w:rPr>
          <w:rFonts w:ascii="Arial" w:eastAsia="仿宋" w:hAnsi="Arial" w:cs="Arial"/>
          <w:sz w:val="28"/>
          <w:szCs w:val="28"/>
        </w:rPr>
        <w:t>月</w:t>
      </w:r>
      <w:r>
        <w:rPr>
          <w:rFonts w:ascii="Arial" w:eastAsia="仿宋" w:hAnsi="Arial" w:cs="Arial"/>
          <w:sz w:val="28"/>
          <w:szCs w:val="28"/>
        </w:rPr>
        <w:t>21</w:t>
      </w:r>
      <w:r>
        <w:rPr>
          <w:rFonts w:ascii="Arial" w:eastAsia="仿宋" w:hAnsi="Arial" w:cs="Arial"/>
          <w:sz w:val="28"/>
          <w:szCs w:val="28"/>
        </w:rPr>
        <w:t>日</w:t>
      </w:r>
      <w:proofErr w:type="gramStart"/>
      <w:r>
        <w:rPr>
          <w:rFonts w:ascii="Arial" w:eastAsia="仿宋" w:hAnsi="Arial" w:cs="Arial"/>
          <w:sz w:val="28"/>
          <w:szCs w:val="28"/>
        </w:rPr>
        <w:t>〕</w:t>
      </w:r>
      <w:proofErr w:type="gramEnd"/>
      <w:r>
        <w:rPr>
          <w:rFonts w:ascii="Arial" w:eastAsia="仿宋" w:hAnsi="Arial" w:cs="Arial"/>
          <w:sz w:val="28"/>
          <w:szCs w:val="28"/>
        </w:rPr>
        <w:t>；</w:t>
      </w:r>
    </w:p>
    <w:p w14:paraId="1253162C"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《国务院关于加强土地调控有关问题的通知》〔国发</w:t>
      </w:r>
      <w:r>
        <w:rPr>
          <w:rFonts w:ascii="Arial" w:eastAsia="仿宋" w:hAnsi="Arial" w:cs="Arial"/>
          <w:sz w:val="28"/>
          <w:szCs w:val="28"/>
        </w:rPr>
        <w:t xml:space="preserve"> </w:t>
      </w:r>
      <w:r>
        <w:rPr>
          <w:rFonts w:ascii="Arial" w:eastAsia="仿宋" w:hAnsi="Arial" w:cs="Arial"/>
          <w:sz w:val="28"/>
          <w:szCs w:val="28"/>
        </w:rPr>
        <w:t>（</w:t>
      </w:r>
      <w:r>
        <w:rPr>
          <w:rFonts w:ascii="Arial" w:eastAsia="仿宋" w:hAnsi="Arial" w:cs="Arial"/>
          <w:sz w:val="28"/>
          <w:szCs w:val="28"/>
        </w:rPr>
        <w:t>2006</w:t>
      </w:r>
      <w:r>
        <w:rPr>
          <w:rFonts w:ascii="Arial" w:eastAsia="仿宋" w:hAnsi="Arial" w:cs="Arial"/>
          <w:sz w:val="28"/>
          <w:szCs w:val="28"/>
        </w:rPr>
        <w:t>）</w:t>
      </w:r>
      <w:r>
        <w:rPr>
          <w:rFonts w:ascii="Arial" w:eastAsia="仿宋" w:hAnsi="Arial" w:cs="Arial"/>
          <w:sz w:val="28"/>
          <w:szCs w:val="28"/>
        </w:rPr>
        <w:t xml:space="preserve"> 31</w:t>
      </w:r>
      <w:r>
        <w:rPr>
          <w:rFonts w:ascii="Arial" w:eastAsia="仿宋" w:hAnsi="Arial" w:cs="Arial"/>
          <w:sz w:val="28"/>
          <w:szCs w:val="28"/>
        </w:rPr>
        <w:t>号，</w:t>
      </w:r>
      <w:r>
        <w:rPr>
          <w:rFonts w:ascii="Arial" w:eastAsia="仿宋" w:hAnsi="Arial" w:cs="Arial"/>
          <w:sz w:val="28"/>
          <w:szCs w:val="28"/>
        </w:rPr>
        <w:t>2006</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31</w:t>
      </w:r>
      <w:r>
        <w:rPr>
          <w:rFonts w:ascii="Arial" w:eastAsia="仿宋" w:hAnsi="Arial" w:cs="Arial"/>
          <w:sz w:val="28"/>
          <w:szCs w:val="28"/>
        </w:rPr>
        <w:t>日发布〕；</w:t>
      </w:r>
    </w:p>
    <w:p w14:paraId="1886559A"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《国务院关于促进节约集约用地的通知》</w:t>
      </w:r>
      <w:proofErr w:type="gramStart"/>
      <w:r>
        <w:rPr>
          <w:rFonts w:ascii="Arial" w:eastAsia="仿宋" w:hAnsi="Arial" w:cs="Arial"/>
          <w:sz w:val="28"/>
          <w:szCs w:val="28"/>
        </w:rPr>
        <w:t>〔</w:t>
      </w:r>
      <w:proofErr w:type="gramEnd"/>
      <w:r>
        <w:rPr>
          <w:rFonts w:ascii="Arial" w:eastAsia="仿宋" w:hAnsi="Arial" w:cs="Arial"/>
          <w:sz w:val="28"/>
          <w:szCs w:val="28"/>
        </w:rPr>
        <w:t>国发</w:t>
      </w:r>
      <w:proofErr w:type="gramStart"/>
      <w:r>
        <w:rPr>
          <w:rFonts w:ascii="Arial" w:eastAsia="仿宋" w:hAnsi="Arial" w:cs="Arial"/>
          <w:sz w:val="28"/>
          <w:szCs w:val="28"/>
        </w:rPr>
        <w:t>〔</w:t>
      </w:r>
      <w:proofErr w:type="gramEnd"/>
      <w:r>
        <w:rPr>
          <w:rFonts w:ascii="Arial" w:eastAsia="仿宋" w:hAnsi="Arial" w:cs="Arial"/>
          <w:sz w:val="28"/>
          <w:szCs w:val="28"/>
        </w:rPr>
        <w:t>2008</w:t>
      </w:r>
      <w:proofErr w:type="gramStart"/>
      <w:r>
        <w:rPr>
          <w:rFonts w:ascii="Arial" w:eastAsia="仿宋" w:hAnsi="Arial" w:cs="Arial"/>
          <w:sz w:val="28"/>
          <w:szCs w:val="28"/>
        </w:rPr>
        <w:t>〕</w:t>
      </w:r>
      <w:proofErr w:type="gramEnd"/>
      <w:r>
        <w:rPr>
          <w:rFonts w:ascii="Arial" w:eastAsia="仿宋" w:hAnsi="Arial" w:cs="Arial"/>
          <w:sz w:val="28"/>
          <w:szCs w:val="28"/>
        </w:rPr>
        <w:t>3</w:t>
      </w:r>
      <w:r>
        <w:rPr>
          <w:rFonts w:ascii="Arial" w:eastAsia="仿宋" w:hAnsi="Arial" w:cs="Arial"/>
          <w:sz w:val="28"/>
          <w:szCs w:val="28"/>
        </w:rPr>
        <w:t>号，</w:t>
      </w:r>
      <w:r>
        <w:rPr>
          <w:rFonts w:ascii="Arial" w:eastAsia="仿宋" w:hAnsi="Arial" w:cs="Arial"/>
          <w:sz w:val="28"/>
          <w:szCs w:val="28"/>
        </w:rPr>
        <w:t>2008</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3</w:t>
      </w:r>
      <w:r>
        <w:rPr>
          <w:rFonts w:ascii="Arial" w:eastAsia="仿宋" w:hAnsi="Arial" w:cs="Arial"/>
          <w:sz w:val="28"/>
          <w:szCs w:val="28"/>
        </w:rPr>
        <w:t>日发布</w:t>
      </w:r>
      <w:proofErr w:type="gramStart"/>
      <w:r>
        <w:rPr>
          <w:rFonts w:ascii="Arial" w:eastAsia="仿宋" w:hAnsi="Arial" w:cs="Arial"/>
          <w:sz w:val="28"/>
          <w:szCs w:val="28"/>
        </w:rPr>
        <w:t>〕</w:t>
      </w:r>
      <w:proofErr w:type="gramEnd"/>
      <w:r>
        <w:rPr>
          <w:rFonts w:ascii="Arial" w:eastAsia="仿宋" w:hAnsi="Arial" w:cs="Arial"/>
          <w:sz w:val="28"/>
          <w:szCs w:val="28"/>
        </w:rPr>
        <w:t>；</w:t>
      </w:r>
    </w:p>
    <w:p w14:paraId="748EB096"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《协议出让国有土地使用权规定》〔国土资源部令第</w:t>
      </w:r>
      <w:r>
        <w:rPr>
          <w:rFonts w:ascii="Arial" w:eastAsia="仿宋" w:hAnsi="Arial" w:cs="Arial"/>
          <w:sz w:val="28"/>
          <w:szCs w:val="28"/>
        </w:rPr>
        <w:t>21</w:t>
      </w:r>
      <w:r>
        <w:rPr>
          <w:rFonts w:ascii="Arial" w:eastAsia="仿宋" w:hAnsi="Arial" w:cs="Arial"/>
          <w:sz w:val="28"/>
          <w:szCs w:val="28"/>
        </w:rPr>
        <w:t>号，自</w:t>
      </w:r>
      <w:r>
        <w:rPr>
          <w:rFonts w:ascii="Arial" w:eastAsia="仿宋" w:hAnsi="Arial" w:cs="Arial"/>
          <w:sz w:val="28"/>
          <w:szCs w:val="28"/>
        </w:rPr>
        <w:t>2003</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p>
    <w:p w14:paraId="21195AD0"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《招标拍卖挂牌出让国有建设用地使用权规定》〔国土资源部令第</w:t>
      </w:r>
      <w:r>
        <w:rPr>
          <w:rFonts w:ascii="Arial" w:eastAsia="仿宋" w:hAnsi="Arial" w:cs="Arial"/>
          <w:sz w:val="28"/>
          <w:szCs w:val="28"/>
        </w:rPr>
        <w:t>39</w:t>
      </w:r>
      <w:r>
        <w:rPr>
          <w:rFonts w:ascii="Arial" w:eastAsia="仿宋" w:hAnsi="Arial" w:cs="Arial"/>
          <w:sz w:val="28"/>
          <w:szCs w:val="28"/>
        </w:rPr>
        <w:t>号，</w:t>
      </w:r>
      <w:r>
        <w:rPr>
          <w:rFonts w:ascii="Arial" w:eastAsia="仿宋" w:hAnsi="Arial" w:cs="Arial"/>
          <w:sz w:val="28"/>
          <w:szCs w:val="28"/>
        </w:rPr>
        <w:t>2007</w:t>
      </w:r>
      <w:r>
        <w:rPr>
          <w:rFonts w:ascii="Arial" w:eastAsia="仿宋" w:hAnsi="Arial" w:cs="Arial"/>
          <w:sz w:val="28"/>
          <w:szCs w:val="28"/>
        </w:rPr>
        <w:t>年</w:t>
      </w:r>
      <w:r>
        <w:rPr>
          <w:rFonts w:ascii="Arial" w:eastAsia="仿宋" w:hAnsi="Arial" w:cs="Arial"/>
          <w:sz w:val="28"/>
          <w:szCs w:val="28"/>
        </w:rPr>
        <w:t>9</w:t>
      </w:r>
      <w:r>
        <w:rPr>
          <w:rFonts w:ascii="Arial" w:eastAsia="仿宋" w:hAnsi="Arial" w:cs="Arial"/>
          <w:sz w:val="28"/>
          <w:szCs w:val="28"/>
        </w:rPr>
        <w:t>月</w:t>
      </w:r>
      <w:r>
        <w:rPr>
          <w:rFonts w:ascii="Arial" w:eastAsia="仿宋" w:hAnsi="Arial" w:cs="Arial"/>
          <w:sz w:val="28"/>
          <w:szCs w:val="28"/>
        </w:rPr>
        <w:t>21</w:t>
      </w:r>
      <w:r>
        <w:rPr>
          <w:rFonts w:ascii="Arial" w:eastAsia="仿宋" w:hAnsi="Arial" w:cs="Arial"/>
          <w:sz w:val="28"/>
          <w:szCs w:val="28"/>
        </w:rPr>
        <w:t>日原国土资源部第</w:t>
      </w:r>
      <w:r>
        <w:rPr>
          <w:rFonts w:ascii="Arial" w:eastAsia="仿宋" w:hAnsi="Arial" w:cs="Arial"/>
          <w:sz w:val="28"/>
          <w:szCs w:val="28"/>
        </w:rPr>
        <w:t>3</w:t>
      </w:r>
      <w:r>
        <w:rPr>
          <w:rFonts w:ascii="Arial" w:eastAsia="仿宋" w:hAnsi="Arial" w:cs="Arial"/>
          <w:sz w:val="28"/>
          <w:szCs w:val="28"/>
        </w:rPr>
        <w:t>次部务会议审议通过〕；</w:t>
      </w:r>
    </w:p>
    <w:p w14:paraId="64BD9BD3"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《节约集约利用土地规定》〔国土资源部令第</w:t>
      </w:r>
      <w:r>
        <w:rPr>
          <w:rFonts w:ascii="Arial" w:eastAsia="仿宋" w:hAnsi="Arial" w:cs="Arial"/>
          <w:sz w:val="28"/>
          <w:szCs w:val="28"/>
        </w:rPr>
        <w:t>61</w:t>
      </w:r>
      <w:r>
        <w:rPr>
          <w:rFonts w:ascii="Arial" w:eastAsia="仿宋" w:hAnsi="Arial" w:cs="Arial"/>
          <w:sz w:val="28"/>
          <w:szCs w:val="28"/>
        </w:rPr>
        <w:t>号，</w:t>
      </w:r>
      <w:r>
        <w:rPr>
          <w:rFonts w:ascii="Arial" w:eastAsia="仿宋" w:hAnsi="Arial" w:cs="Arial"/>
          <w:sz w:val="28"/>
          <w:szCs w:val="28"/>
        </w:rPr>
        <w:t>2014</w:t>
      </w:r>
      <w:r>
        <w:rPr>
          <w:rFonts w:ascii="Arial" w:eastAsia="仿宋" w:hAnsi="Arial" w:cs="Arial"/>
          <w:sz w:val="28"/>
          <w:szCs w:val="28"/>
        </w:rPr>
        <w:t>年</w:t>
      </w:r>
      <w:r>
        <w:rPr>
          <w:rFonts w:ascii="Arial" w:eastAsia="仿宋" w:hAnsi="Arial" w:cs="Arial"/>
          <w:sz w:val="28"/>
          <w:szCs w:val="28"/>
        </w:rPr>
        <w:t>5</w:t>
      </w:r>
      <w:r>
        <w:rPr>
          <w:rFonts w:ascii="Arial" w:eastAsia="仿宋" w:hAnsi="Arial" w:cs="Arial"/>
          <w:sz w:val="28"/>
          <w:szCs w:val="28"/>
        </w:rPr>
        <w:t>月</w:t>
      </w:r>
      <w:r>
        <w:rPr>
          <w:rFonts w:ascii="Arial" w:eastAsia="仿宋" w:hAnsi="Arial" w:cs="Arial"/>
          <w:sz w:val="28"/>
          <w:szCs w:val="28"/>
        </w:rPr>
        <w:t>22</w:t>
      </w:r>
      <w:r>
        <w:rPr>
          <w:rFonts w:ascii="Arial" w:eastAsia="仿宋" w:hAnsi="Arial" w:cs="Arial"/>
          <w:sz w:val="28"/>
          <w:szCs w:val="28"/>
        </w:rPr>
        <w:t>日公布；根据</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16</w:t>
      </w:r>
      <w:r>
        <w:rPr>
          <w:rFonts w:ascii="Arial" w:eastAsia="仿宋" w:hAnsi="Arial" w:cs="Arial"/>
          <w:sz w:val="28"/>
          <w:szCs w:val="28"/>
        </w:rPr>
        <w:t>日自然资源部第</w:t>
      </w:r>
      <w:r>
        <w:rPr>
          <w:rFonts w:ascii="Arial" w:eastAsia="仿宋" w:hAnsi="Arial" w:cs="Arial"/>
          <w:sz w:val="28"/>
          <w:szCs w:val="28"/>
        </w:rPr>
        <w:t>2</w:t>
      </w:r>
      <w:r>
        <w:rPr>
          <w:rFonts w:ascii="Arial" w:eastAsia="仿宋" w:hAnsi="Arial" w:cs="Arial"/>
          <w:sz w:val="28"/>
          <w:szCs w:val="28"/>
        </w:rPr>
        <w:t>次部务会议《自然资源部关于第一批废止和修改的部门规章的决定》修正</w:t>
      </w:r>
      <w:r>
        <w:rPr>
          <w:rFonts w:ascii="Arial" w:eastAsia="仿宋" w:hAnsi="Arial" w:cs="Arial"/>
          <w:sz w:val="28"/>
          <w:szCs w:val="28"/>
        </w:rPr>
        <w:t xml:space="preserve"> </w:t>
      </w:r>
      <w:r>
        <w:rPr>
          <w:rFonts w:ascii="Arial" w:eastAsia="仿宋" w:hAnsi="Arial" w:cs="Arial"/>
          <w:sz w:val="28"/>
          <w:szCs w:val="28"/>
        </w:rPr>
        <w:t>自</w:t>
      </w:r>
      <w:r>
        <w:rPr>
          <w:rFonts w:ascii="Arial" w:eastAsia="仿宋" w:hAnsi="Arial" w:cs="Arial"/>
          <w:sz w:val="28"/>
          <w:szCs w:val="28"/>
        </w:rPr>
        <w:t>2014</w:t>
      </w:r>
      <w:r>
        <w:rPr>
          <w:rFonts w:ascii="Arial" w:eastAsia="仿宋" w:hAnsi="Arial" w:cs="Arial"/>
          <w:sz w:val="28"/>
          <w:szCs w:val="28"/>
        </w:rPr>
        <w:t>年</w:t>
      </w:r>
      <w:r>
        <w:rPr>
          <w:rFonts w:ascii="Arial" w:eastAsia="仿宋" w:hAnsi="Arial" w:cs="Arial"/>
          <w:sz w:val="28"/>
          <w:szCs w:val="28"/>
        </w:rPr>
        <w:t>9</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日起实施〕；</w:t>
      </w:r>
    </w:p>
    <w:p w14:paraId="590FEBAE"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《国土资源部关于推进土地节约集约利用的指导意见》〔国土资发（</w:t>
      </w:r>
      <w:r>
        <w:rPr>
          <w:rFonts w:ascii="Arial" w:eastAsia="仿宋" w:hAnsi="Arial" w:cs="Arial"/>
          <w:sz w:val="28"/>
          <w:szCs w:val="28"/>
        </w:rPr>
        <w:t>2014</w:t>
      </w:r>
      <w:r>
        <w:rPr>
          <w:rFonts w:ascii="Arial" w:eastAsia="仿宋" w:hAnsi="Arial" w:cs="Arial"/>
          <w:sz w:val="28"/>
          <w:szCs w:val="28"/>
        </w:rPr>
        <w:t>）</w:t>
      </w:r>
      <w:r>
        <w:rPr>
          <w:rFonts w:ascii="Arial" w:eastAsia="仿宋" w:hAnsi="Arial" w:cs="Arial"/>
          <w:sz w:val="28"/>
          <w:szCs w:val="28"/>
        </w:rPr>
        <w:t>119</w:t>
      </w:r>
      <w:r>
        <w:rPr>
          <w:rFonts w:ascii="Arial" w:eastAsia="仿宋" w:hAnsi="Arial" w:cs="Arial"/>
          <w:sz w:val="28"/>
          <w:szCs w:val="28"/>
        </w:rPr>
        <w:t>号，</w:t>
      </w:r>
      <w:r>
        <w:rPr>
          <w:rFonts w:ascii="Arial" w:eastAsia="仿宋" w:hAnsi="Arial" w:cs="Arial"/>
          <w:sz w:val="28"/>
          <w:szCs w:val="28"/>
        </w:rPr>
        <w:t>2014</w:t>
      </w:r>
      <w:r>
        <w:rPr>
          <w:rFonts w:ascii="Arial" w:eastAsia="仿宋" w:hAnsi="Arial" w:cs="Arial"/>
          <w:sz w:val="28"/>
          <w:szCs w:val="28"/>
        </w:rPr>
        <w:t>年</w:t>
      </w:r>
      <w:r>
        <w:rPr>
          <w:rFonts w:ascii="Arial" w:eastAsia="仿宋" w:hAnsi="Arial" w:cs="Arial"/>
          <w:sz w:val="28"/>
          <w:szCs w:val="28"/>
        </w:rPr>
        <w:t>9</w:t>
      </w:r>
      <w:r>
        <w:rPr>
          <w:rFonts w:ascii="Arial" w:eastAsia="仿宋" w:hAnsi="Arial" w:cs="Arial"/>
          <w:sz w:val="28"/>
          <w:szCs w:val="28"/>
        </w:rPr>
        <w:t>月</w:t>
      </w:r>
      <w:r>
        <w:rPr>
          <w:rFonts w:ascii="Arial" w:eastAsia="仿宋" w:hAnsi="Arial" w:cs="Arial"/>
          <w:sz w:val="28"/>
          <w:szCs w:val="28"/>
        </w:rPr>
        <w:t>12</w:t>
      </w:r>
      <w:r>
        <w:rPr>
          <w:rFonts w:ascii="Arial" w:eastAsia="仿宋" w:hAnsi="Arial" w:cs="Arial"/>
          <w:sz w:val="28"/>
          <w:szCs w:val="28"/>
        </w:rPr>
        <w:t>日发布〕；</w:t>
      </w:r>
    </w:p>
    <w:p w14:paraId="52D15FFB"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《国土资源部</w:t>
      </w:r>
      <w:r>
        <w:rPr>
          <w:rFonts w:ascii="Arial" w:eastAsia="仿宋" w:hAnsi="Arial" w:cs="Arial"/>
          <w:sz w:val="28"/>
          <w:szCs w:val="28"/>
        </w:rPr>
        <w:t>&lt;</w:t>
      </w:r>
      <w:r>
        <w:rPr>
          <w:rFonts w:ascii="Arial" w:eastAsia="仿宋" w:hAnsi="Arial" w:cs="Arial"/>
          <w:sz w:val="28"/>
          <w:szCs w:val="28"/>
        </w:rPr>
        <w:t>关于坚持和完善土地招标拍卖挂牌出让制度的意</w:t>
      </w:r>
      <w:r>
        <w:rPr>
          <w:rFonts w:ascii="Arial" w:eastAsia="仿宋" w:hAnsi="Arial" w:cs="Arial"/>
          <w:sz w:val="28"/>
          <w:szCs w:val="28"/>
        </w:rPr>
        <w:lastRenderedPageBreak/>
        <w:t>见</w:t>
      </w:r>
      <w:r>
        <w:rPr>
          <w:rFonts w:ascii="Arial" w:eastAsia="仿宋" w:hAnsi="Arial" w:cs="Arial"/>
          <w:sz w:val="28"/>
          <w:szCs w:val="28"/>
        </w:rPr>
        <w:t>&gt;</w:t>
      </w:r>
      <w:r>
        <w:rPr>
          <w:rFonts w:ascii="Arial" w:eastAsia="仿宋" w:hAnsi="Arial" w:cs="Arial"/>
          <w:sz w:val="28"/>
          <w:szCs w:val="28"/>
        </w:rPr>
        <w:t>》</w:t>
      </w:r>
      <w:proofErr w:type="gramStart"/>
      <w:r>
        <w:rPr>
          <w:rFonts w:ascii="Arial" w:eastAsia="仿宋" w:hAnsi="Arial" w:cs="Arial"/>
          <w:sz w:val="28"/>
          <w:szCs w:val="28"/>
        </w:rPr>
        <w:t>〔</w:t>
      </w:r>
      <w:proofErr w:type="gramEnd"/>
      <w:r>
        <w:rPr>
          <w:rFonts w:ascii="Arial" w:eastAsia="仿宋" w:hAnsi="Arial" w:cs="Arial"/>
          <w:sz w:val="28"/>
          <w:szCs w:val="28"/>
        </w:rPr>
        <w:t>国土资发</w:t>
      </w:r>
      <w:proofErr w:type="gramStart"/>
      <w:r>
        <w:rPr>
          <w:rFonts w:ascii="Arial" w:eastAsia="仿宋" w:hAnsi="Arial" w:cs="Arial"/>
          <w:sz w:val="28"/>
          <w:szCs w:val="28"/>
        </w:rPr>
        <w:t>〔</w:t>
      </w:r>
      <w:proofErr w:type="gramEnd"/>
      <w:r>
        <w:rPr>
          <w:rFonts w:ascii="Arial" w:eastAsia="仿宋" w:hAnsi="Arial" w:cs="Arial"/>
          <w:sz w:val="28"/>
          <w:szCs w:val="28"/>
        </w:rPr>
        <w:t>2011</w:t>
      </w:r>
      <w:proofErr w:type="gramStart"/>
      <w:r>
        <w:rPr>
          <w:rFonts w:ascii="Arial" w:eastAsia="仿宋" w:hAnsi="Arial" w:cs="Arial"/>
          <w:sz w:val="28"/>
          <w:szCs w:val="28"/>
        </w:rPr>
        <w:t>〕</w:t>
      </w:r>
      <w:proofErr w:type="gramEnd"/>
      <w:r>
        <w:rPr>
          <w:rFonts w:ascii="Arial" w:eastAsia="仿宋" w:hAnsi="Arial" w:cs="Arial"/>
          <w:sz w:val="28"/>
          <w:szCs w:val="28"/>
        </w:rPr>
        <w:t>63</w:t>
      </w:r>
      <w:r>
        <w:rPr>
          <w:rFonts w:ascii="Arial" w:eastAsia="仿宋" w:hAnsi="Arial" w:cs="Arial"/>
          <w:sz w:val="28"/>
          <w:szCs w:val="28"/>
        </w:rPr>
        <w:t>号，</w:t>
      </w:r>
      <w:r>
        <w:rPr>
          <w:rFonts w:ascii="Arial" w:eastAsia="仿宋" w:hAnsi="Arial" w:cs="Arial"/>
          <w:sz w:val="28"/>
          <w:szCs w:val="28"/>
        </w:rPr>
        <w:t>2011</w:t>
      </w:r>
      <w:r>
        <w:rPr>
          <w:rFonts w:ascii="Arial" w:eastAsia="仿宋" w:hAnsi="Arial" w:cs="Arial"/>
          <w:sz w:val="28"/>
          <w:szCs w:val="28"/>
        </w:rPr>
        <w:t>年</w:t>
      </w:r>
      <w:r>
        <w:rPr>
          <w:rFonts w:ascii="Arial" w:eastAsia="仿宋" w:hAnsi="Arial" w:cs="Arial"/>
          <w:sz w:val="28"/>
          <w:szCs w:val="28"/>
        </w:rPr>
        <w:t>5</w:t>
      </w:r>
      <w:r>
        <w:rPr>
          <w:rFonts w:ascii="Arial" w:eastAsia="仿宋" w:hAnsi="Arial" w:cs="Arial"/>
          <w:sz w:val="28"/>
          <w:szCs w:val="28"/>
        </w:rPr>
        <w:t>月</w:t>
      </w:r>
      <w:r>
        <w:rPr>
          <w:rFonts w:ascii="Arial" w:eastAsia="仿宋" w:hAnsi="Arial" w:cs="Arial"/>
          <w:sz w:val="28"/>
          <w:szCs w:val="28"/>
        </w:rPr>
        <w:t>13</w:t>
      </w:r>
      <w:r>
        <w:rPr>
          <w:rFonts w:ascii="Arial" w:eastAsia="仿宋" w:hAnsi="Arial" w:cs="Arial"/>
          <w:sz w:val="28"/>
          <w:szCs w:val="28"/>
        </w:rPr>
        <w:t>日</w:t>
      </w:r>
      <w:proofErr w:type="gramStart"/>
      <w:r>
        <w:rPr>
          <w:rFonts w:ascii="Arial" w:eastAsia="仿宋" w:hAnsi="Arial" w:cs="Arial"/>
          <w:sz w:val="28"/>
          <w:szCs w:val="28"/>
        </w:rPr>
        <w:t>〕</w:t>
      </w:r>
      <w:proofErr w:type="gramEnd"/>
      <w:r>
        <w:rPr>
          <w:rFonts w:ascii="Arial" w:eastAsia="仿宋" w:hAnsi="Arial" w:cs="Arial"/>
          <w:sz w:val="28"/>
          <w:szCs w:val="28"/>
        </w:rPr>
        <w:t>；</w:t>
      </w:r>
    </w:p>
    <w:p w14:paraId="455BFDFE"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《国土资源部办公厅</w:t>
      </w:r>
      <w:r>
        <w:rPr>
          <w:rFonts w:ascii="Arial" w:eastAsia="仿宋" w:hAnsi="Arial" w:cs="Arial"/>
          <w:sz w:val="28"/>
          <w:szCs w:val="28"/>
        </w:rPr>
        <w:t>&lt;</w:t>
      </w:r>
      <w:r>
        <w:rPr>
          <w:rFonts w:ascii="Arial" w:eastAsia="仿宋" w:hAnsi="Arial" w:cs="Arial"/>
          <w:sz w:val="28"/>
          <w:szCs w:val="28"/>
        </w:rPr>
        <w:t>关于实行电子化备案完善土地估价报告备案制度的通知</w:t>
      </w:r>
      <w:r>
        <w:rPr>
          <w:rFonts w:ascii="Arial" w:eastAsia="仿宋" w:hAnsi="Arial" w:cs="Arial"/>
          <w:sz w:val="28"/>
          <w:szCs w:val="28"/>
        </w:rPr>
        <w:t>&gt;</w:t>
      </w:r>
      <w:r>
        <w:rPr>
          <w:rFonts w:ascii="Arial" w:eastAsia="仿宋" w:hAnsi="Arial" w:cs="Arial"/>
          <w:sz w:val="28"/>
          <w:szCs w:val="28"/>
        </w:rPr>
        <w:t>》</w:t>
      </w:r>
      <w:proofErr w:type="gramStart"/>
      <w:r>
        <w:rPr>
          <w:rFonts w:ascii="Arial" w:eastAsia="仿宋" w:hAnsi="Arial" w:cs="Arial"/>
          <w:sz w:val="28"/>
          <w:szCs w:val="28"/>
        </w:rPr>
        <w:t>〔</w:t>
      </w:r>
      <w:proofErr w:type="gramEnd"/>
      <w:r>
        <w:rPr>
          <w:rFonts w:ascii="Arial" w:eastAsia="仿宋" w:hAnsi="Arial" w:cs="Arial"/>
          <w:sz w:val="28"/>
          <w:szCs w:val="28"/>
        </w:rPr>
        <w:t>国土资厅发</w:t>
      </w:r>
      <w:proofErr w:type="gramStart"/>
      <w:r>
        <w:rPr>
          <w:rFonts w:ascii="Arial" w:eastAsia="仿宋" w:hAnsi="Arial" w:cs="Arial"/>
          <w:sz w:val="28"/>
          <w:szCs w:val="28"/>
        </w:rPr>
        <w:t>〔</w:t>
      </w:r>
      <w:proofErr w:type="gramEnd"/>
      <w:r>
        <w:rPr>
          <w:rFonts w:ascii="Arial" w:eastAsia="仿宋" w:hAnsi="Arial" w:cs="Arial"/>
          <w:sz w:val="28"/>
          <w:szCs w:val="28"/>
        </w:rPr>
        <w:t>2012</w:t>
      </w:r>
      <w:proofErr w:type="gramStart"/>
      <w:r>
        <w:rPr>
          <w:rFonts w:ascii="Arial" w:eastAsia="仿宋" w:hAnsi="Arial" w:cs="Arial"/>
          <w:sz w:val="28"/>
          <w:szCs w:val="28"/>
        </w:rPr>
        <w:t>〕</w:t>
      </w:r>
      <w:proofErr w:type="gramEnd"/>
      <w:r>
        <w:rPr>
          <w:rFonts w:ascii="Arial" w:eastAsia="仿宋" w:hAnsi="Arial" w:cs="Arial"/>
          <w:sz w:val="28"/>
          <w:szCs w:val="28"/>
        </w:rPr>
        <w:t>35</w:t>
      </w:r>
      <w:r>
        <w:rPr>
          <w:rFonts w:ascii="Arial" w:eastAsia="仿宋" w:hAnsi="Arial" w:cs="Arial"/>
          <w:sz w:val="28"/>
          <w:szCs w:val="28"/>
        </w:rPr>
        <w:t>号，</w:t>
      </w:r>
      <w:r>
        <w:rPr>
          <w:rFonts w:ascii="Arial" w:eastAsia="仿宋" w:hAnsi="Arial" w:cs="Arial"/>
          <w:sz w:val="28"/>
          <w:szCs w:val="28"/>
        </w:rPr>
        <w:t>2012</w:t>
      </w:r>
      <w:r>
        <w:rPr>
          <w:rFonts w:ascii="Arial" w:eastAsia="仿宋" w:hAnsi="Arial" w:cs="Arial"/>
          <w:sz w:val="28"/>
          <w:szCs w:val="28"/>
        </w:rPr>
        <w:t>年</w:t>
      </w:r>
      <w:r>
        <w:rPr>
          <w:rFonts w:ascii="Arial" w:eastAsia="仿宋" w:hAnsi="Arial" w:cs="Arial"/>
          <w:sz w:val="28"/>
          <w:szCs w:val="28"/>
        </w:rPr>
        <w:t>6</w:t>
      </w:r>
      <w:r>
        <w:rPr>
          <w:rFonts w:ascii="Arial" w:eastAsia="仿宋" w:hAnsi="Arial" w:cs="Arial"/>
          <w:sz w:val="28"/>
          <w:szCs w:val="28"/>
        </w:rPr>
        <w:t>月</w:t>
      </w:r>
      <w:r>
        <w:rPr>
          <w:rFonts w:ascii="Arial" w:eastAsia="仿宋" w:hAnsi="Arial" w:cs="Arial"/>
          <w:sz w:val="28"/>
          <w:szCs w:val="28"/>
        </w:rPr>
        <w:t>14</w:t>
      </w:r>
      <w:r>
        <w:rPr>
          <w:rFonts w:ascii="Arial" w:eastAsia="仿宋" w:hAnsi="Arial" w:cs="Arial"/>
          <w:sz w:val="28"/>
          <w:szCs w:val="28"/>
        </w:rPr>
        <w:t>日发布〕</w:t>
      </w:r>
    </w:p>
    <w:p w14:paraId="752BE2FF"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《北京市实施</w:t>
      </w:r>
      <w:r>
        <w:rPr>
          <w:rFonts w:ascii="Arial" w:eastAsia="仿宋" w:hAnsi="Arial" w:cs="Arial"/>
          <w:sz w:val="28"/>
          <w:szCs w:val="28"/>
        </w:rPr>
        <w:t>&lt;</w:t>
      </w:r>
      <w:r>
        <w:rPr>
          <w:rFonts w:ascii="Arial" w:eastAsia="仿宋" w:hAnsi="Arial" w:cs="Arial"/>
          <w:sz w:val="28"/>
          <w:szCs w:val="28"/>
        </w:rPr>
        <w:t>中华人民共和国城镇国有土地使用权出让和转让暂行条例</w:t>
      </w:r>
      <w:r>
        <w:rPr>
          <w:rFonts w:ascii="Arial" w:eastAsia="仿宋" w:hAnsi="Arial" w:cs="Arial"/>
          <w:sz w:val="28"/>
          <w:szCs w:val="28"/>
        </w:rPr>
        <w:t>&gt;</w:t>
      </w:r>
      <w:r>
        <w:rPr>
          <w:rFonts w:ascii="Arial" w:eastAsia="仿宋" w:hAnsi="Arial" w:cs="Arial"/>
          <w:sz w:val="28"/>
          <w:szCs w:val="28"/>
        </w:rPr>
        <w:t>办法》（</w:t>
      </w:r>
      <w:r>
        <w:rPr>
          <w:rFonts w:ascii="Arial" w:eastAsia="仿宋" w:hAnsi="Arial" w:cs="Arial"/>
          <w:sz w:val="28"/>
          <w:szCs w:val="28"/>
        </w:rPr>
        <w:t>1992</w:t>
      </w:r>
      <w:r>
        <w:rPr>
          <w:rFonts w:ascii="Arial" w:eastAsia="仿宋" w:hAnsi="Arial" w:cs="Arial"/>
          <w:sz w:val="28"/>
          <w:szCs w:val="28"/>
        </w:rPr>
        <w:t>年</w:t>
      </w:r>
      <w:r>
        <w:rPr>
          <w:rFonts w:ascii="Arial" w:eastAsia="仿宋" w:hAnsi="Arial" w:cs="Arial"/>
          <w:sz w:val="28"/>
          <w:szCs w:val="28"/>
        </w:rPr>
        <w:t>5</w:t>
      </w:r>
      <w:r>
        <w:rPr>
          <w:rFonts w:ascii="Arial" w:eastAsia="仿宋" w:hAnsi="Arial" w:cs="Arial"/>
          <w:sz w:val="28"/>
          <w:szCs w:val="28"/>
        </w:rPr>
        <w:t>月</w:t>
      </w:r>
      <w:r>
        <w:rPr>
          <w:rFonts w:ascii="Arial" w:eastAsia="仿宋" w:hAnsi="Arial" w:cs="Arial"/>
          <w:sz w:val="28"/>
          <w:szCs w:val="28"/>
        </w:rPr>
        <w:t>27</w:t>
      </w:r>
      <w:r>
        <w:rPr>
          <w:rFonts w:ascii="Arial" w:eastAsia="仿宋" w:hAnsi="Arial" w:cs="Arial"/>
          <w:sz w:val="28"/>
          <w:szCs w:val="28"/>
        </w:rPr>
        <w:t>日北京市人民政府第</w:t>
      </w:r>
      <w:r>
        <w:rPr>
          <w:rFonts w:ascii="Arial" w:eastAsia="仿宋" w:hAnsi="Arial" w:cs="Arial"/>
          <w:sz w:val="28"/>
          <w:szCs w:val="28"/>
        </w:rPr>
        <w:t>11</w:t>
      </w:r>
      <w:r>
        <w:rPr>
          <w:rFonts w:ascii="Arial" w:eastAsia="仿宋" w:hAnsi="Arial" w:cs="Arial"/>
          <w:sz w:val="28"/>
          <w:szCs w:val="28"/>
        </w:rPr>
        <w:t>号令发布；根据</w:t>
      </w:r>
      <w:r>
        <w:rPr>
          <w:rFonts w:ascii="Arial" w:eastAsia="仿宋" w:hAnsi="Arial" w:cs="Arial"/>
          <w:sz w:val="28"/>
          <w:szCs w:val="28"/>
        </w:rPr>
        <w:t>1993</w:t>
      </w:r>
      <w:r>
        <w:rPr>
          <w:rFonts w:ascii="Arial" w:eastAsia="仿宋" w:hAnsi="Arial" w:cs="Arial"/>
          <w:sz w:val="28"/>
          <w:szCs w:val="28"/>
        </w:rPr>
        <w:t>年</w:t>
      </w:r>
      <w:r>
        <w:rPr>
          <w:rFonts w:ascii="Arial" w:eastAsia="仿宋" w:hAnsi="Arial" w:cs="Arial"/>
          <w:sz w:val="28"/>
          <w:szCs w:val="28"/>
        </w:rPr>
        <w:t>5</w:t>
      </w:r>
      <w:r>
        <w:rPr>
          <w:rFonts w:ascii="Arial" w:eastAsia="仿宋" w:hAnsi="Arial" w:cs="Arial"/>
          <w:sz w:val="28"/>
          <w:szCs w:val="28"/>
        </w:rPr>
        <w:t>月</w:t>
      </w:r>
      <w:r>
        <w:rPr>
          <w:rFonts w:ascii="Arial" w:eastAsia="仿宋" w:hAnsi="Arial" w:cs="Arial"/>
          <w:sz w:val="28"/>
          <w:szCs w:val="28"/>
        </w:rPr>
        <w:t>18</w:t>
      </w:r>
      <w:r>
        <w:rPr>
          <w:rFonts w:ascii="Arial" w:eastAsia="仿宋" w:hAnsi="Arial" w:cs="Arial"/>
          <w:sz w:val="28"/>
          <w:szCs w:val="28"/>
        </w:rPr>
        <w:t>日北京市人民政府第</w:t>
      </w:r>
      <w:r>
        <w:rPr>
          <w:rFonts w:ascii="Arial" w:eastAsia="仿宋" w:hAnsi="Arial" w:cs="Arial"/>
          <w:sz w:val="28"/>
          <w:szCs w:val="28"/>
        </w:rPr>
        <w:t>6</w:t>
      </w:r>
      <w:r>
        <w:rPr>
          <w:rFonts w:ascii="Arial" w:eastAsia="仿宋" w:hAnsi="Arial" w:cs="Arial"/>
          <w:sz w:val="28"/>
          <w:szCs w:val="28"/>
        </w:rPr>
        <w:t>号令第一次修改；根据</w:t>
      </w:r>
      <w:r>
        <w:rPr>
          <w:rFonts w:ascii="Arial" w:eastAsia="仿宋" w:hAnsi="Arial" w:cs="Arial"/>
          <w:sz w:val="28"/>
          <w:szCs w:val="28"/>
        </w:rPr>
        <w:t>2002</w:t>
      </w:r>
      <w:r>
        <w:rPr>
          <w:rFonts w:ascii="Arial" w:eastAsia="仿宋" w:hAnsi="Arial" w:cs="Arial"/>
          <w:sz w:val="28"/>
          <w:szCs w:val="28"/>
        </w:rPr>
        <w:t>年</w:t>
      </w:r>
      <w:r>
        <w:rPr>
          <w:rFonts w:ascii="Arial" w:eastAsia="仿宋" w:hAnsi="Arial" w:cs="Arial"/>
          <w:sz w:val="28"/>
          <w:szCs w:val="28"/>
        </w:rPr>
        <w:t>2</w:t>
      </w:r>
      <w:r>
        <w:rPr>
          <w:rFonts w:ascii="Arial" w:eastAsia="仿宋" w:hAnsi="Arial" w:cs="Arial"/>
          <w:sz w:val="28"/>
          <w:szCs w:val="28"/>
        </w:rPr>
        <w:t>月</w:t>
      </w:r>
      <w:r>
        <w:rPr>
          <w:rFonts w:ascii="Arial" w:eastAsia="仿宋" w:hAnsi="Arial" w:cs="Arial"/>
          <w:sz w:val="28"/>
          <w:szCs w:val="28"/>
        </w:rPr>
        <w:t>11</w:t>
      </w:r>
      <w:r>
        <w:rPr>
          <w:rFonts w:ascii="Arial" w:eastAsia="仿宋" w:hAnsi="Arial" w:cs="Arial"/>
          <w:sz w:val="28"/>
          <w:szCs w:val="28"/>
        </w:rPr>
        <w:t>日北京市人民政府第</w:t>
      </w:r>
      <w:r>
        <w:rPr>
          <w:rFonts w:ascii="Arial" w:eastAsia="仿宋" w:hAnsi="Arial" w:cs="Arial"/>
          <w:sz w:val="28"/>
          <w:szCs w:val="28"/>
        </w:rPr>
        <w:t>92</w:t>
      </w:r>
      <w:r>
        <w:rPr>
          <w:rFonts w:ascii="Arial" w:eastAsia="仿宋" w:hAnsi="Arial" w:cs="Arial"/>
          <w:sz w:val="28"/>
          <w:szCs w:val="28"/>
        </w:rPr>
        <w:t>号令第二次修改；根据</w:t>
      </w:r>
      <w:r>
        <w:rPr>
          <w:rFonts w:ascii="Arial" w:eastAsia="仿宋" w:hAnsi="Arial" w:cs="Arial"/>
          <w:sz w:val="28"/>
          <w:szCs w:val="28"/>
        </w:rPr>
        <w:t>2007</w:t>
      </w:r>
      <w:r>
        <w:rPr>
          <w:rFonts w:ascii="Arial" w:eastAsia="仿宋" w:hAnsi="Arial" w:cs="Arial"/>
          <w:sz w:val="28"/>
          <w:szCs w:val="28"/>
        </w:rPr>
        <w:t>年</w:t>
      </w:r>
      <w:r>
        <w:rPr>
          <w:rFonts w:ascii="Arial" w:eastAsia="仿宋" w:hAnsi="Arial" w:cs="Arial"/>
          <w:sz w:val="28"/>
          <w:szCs w:val="28"/>
        </w:rPr>
        <w:t>11</w:t>
      </w:r>
      <w:r>
        <w:rPr>
          <w:rFonts w:ascii="Arial" w:eastAsia="仿宋" w:hAnsi="Arial" w:cs="Arial"/>
          <w:sz w:val="28"/>
          <w:szCs w:val="28"/>
        </w:rPr>
        <w:t>月</w:t>
      </w:r>
      <w:r>
        <w:rPr>
          <w:rFonts w:ascii="Arial" w:eastAsia="仿宋" w:hAnsi="Arial" w:cs="Arial"/>
          <w:sz w:val="28"/>
          <w:szCs w:val="28"/>
        </w:rPr>
        <w:t>23</w:t>
      </w:r>
      <w:r>
        <w:rPr>
          <w:rFonts w:ascii="Arial" w:eastAsia="仿宋" w:hAnsi="Arial" w:cs="Arial"/>
          <w:sz w:val="28"/>
          <w:szCs w:val="28"/>
        </w:rPr>
        <w:t>日北京市人民政府第</w:t>
      </w:r>
      <w:r>
        <w:rPr>
          <w:rFonts w:ascii="Arial" w:eastAsia="仿宋" w:hAnsi="Arial" w:cs="Arial"/>
          <w:sz w:val="28"/>
          <w:szCs w:val="28"/>
        </w:rPr>
        <w:t>200</w:t>
      </w:r>
      <w:r>
        <w:rPr>
          <w:rFonts w:ascii="Arial" w:eastAsia="仿宋" w:hAnsi="Arial" w:cs="Arial"/>
          <w:sz w:val="28"/>
          <w:szCs w:val="28"/>
        </w:rPr>
        <w:t>号令第三次修改）</w:t>
      </w:r>
    </w:p>
    <w:p w14:paraId="2FB035CB"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《北京市城市房地产转让管理办法》（北京市人民政府令第</w:t>
      </w:r>
      <w:r>
        <w:rPr>
          <w:rFonts w:ascii="Arial" w:eastAsia="仿宋" w:hAnsi="Arial" w:cs="Arial"/>
          <w:sz w:val="28"/>
          <w:szCs w:val="28"/>
        </w:rPr>
        <w:t>135</w:t>
      </w:r>
      <w:r>
        <w:rPr>
          <w:rFonts w:ascii="Arial" w:eastAsia="仿宋" w:hAnsi="Arial" w:cs="Arial"/>
          <w:sz w:val="28"/>
          <w:szCs w:val="28"/>
        </w:rPr>
        <w:t>号，经</w:t>
      </w:r>
      <w:r>
        <w:rPr>
          <w:rFonts w:ascii="Arial" w:eastAsia="仿宋" w:hAnsi="Arial" w:cs="Arial"/>
          <w:sz w:val="28"/>
          <w:szCs w:val="28"/>
        </w:rPr>
        <w:t>2003</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26</w:t>
      </w:r>
      <w:r>
        <w:rPr>
          <w:rFonts w:ascii="Arial" w:eastAsia="仿宋" w:hAnsi="Arial" w:cs="Arial"/>
          <w:sz w:val="28"/>
          <w:szCs w:val="28"/>
        </w:rPr>
        <w:t>日市人民政府第</w:t>
      </w:r>
      <w:r>
        <w:rPr>
          <w:rFonts w:ascii="Arial" w:eastAsia="仿宋" w:hAnsi="Arial" w:cs="Arial"/>
          <w:sz w:val="28"/>
          <w:szCs w:val="28"/>
        </w:rPr>
        <w:t>13</w:t>
      </w:r>
      <w:r>
        <w:rPr>
          <w:rFonts w:ascii="Arial" w:eastAsia="仿宋" w:hAnsi="Arial" w:cs="Arial"/>
          <w:sz w:val="28"/>
          <w:szCs w:val="28"/>
        </w:rPr>
        <w:t>次常务会议通过，自</w:t>
      </w:r>
      <w:r>
        <w:rPr>
          <w:rFonts w:ascii="Arial" w:eastAsia="仿宋" w:hAnsi="Arial" w:cs="Arial"/>
          <w:sz w:val="28"/>
          <w:szCs w:val="28"/>
        </w:rPr>
        <w:t>2003</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r>
        <w:rPr>
          <w:rFonts w:ascii="Arial" w:eastAsia="仿宋" w:hAnsi="Arial" w:cs="Arial"/>
          <w:sz w:val="28"/>
          <w:szCs w:val="28"/>
        </w:rPr>
        <w:t>2008</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6</w:t>
      </w:r>
      <w:r>
        <w:rPr>
          <w:rFonts w:ascii="Arial" w:eastAsia="仿宋" w:hAnsi="Arial" w:cs="Arial"/>
          <w:sz w:val="28"/>
          <w:szCs w:val="28"/>
        </w:rPr>
        <w:t>日北京市人民政府令第</w:t>
      </w:r>
      <w:r>
        <w:rPr>
          <w:rFonts w:ascii="Arial" w:eastAsia="仿宋" w:hAnsi="Arial" w:cs="Arial"/>
          <w:sz w:val="28"/>
          <w:szCs w:val="28"/>
        </w:rPr>
        <w:t>209</w:t>
      </w:r>
      <w:r>
        <w:rPr>
          <w:rFonts w:ascii="Arial" w:eastAsia="仿宋" w:hAnsi="Arial" w:cs="Arial"/>
          <w:sz w:val="28"/>
          <w:szCs w:val="28"/>
        </w:rPr>
        <w:t>号修正）</w:t>
      </w:r>
    </w:p>
    <w:p w14:paraId="160C689E"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《北京市城乡规划条例》（</w:t>
      </w:r>
      <w:r>
        <w:rPr>
          <w:rFonts w:ascii="Arial" w:eastAsia="仿宋" w:hAnsi="Arial" w:cs="Arial"/>
          <w:sz w:val="28"/>
          <w:szCs w:val="28"/>
        </w:rPr>
        <w:t>2009</w:t>
      </w:r>
      <w:r>
        <w:rPr>
          <w:rFonts w:ascii="Arial" w:eastAsia="仿宋" w:hAnsi="Arial" w:cs="Arial"/>
          <w:sz w:val="28"/>
          <w:szCs w:val="28"/>
        </w:rPr>
        <w:t>年</w:t>
      </w:r>
      <w:r>
        <w:rPr>
          <w:rFonts w:ascii="Arial" w:eastAsia="仿宋" w:hAnsi="Arial" w:cs="Arial"/>
          <w:sz w:val="28"/>
          <w:szCs w:val="28"/>
        </w:rPr>
        <w:t>5</w:t>
      </w:r>
      <w:r>
        <w:rPr>
          <w:rFonts w:ascii="Arial" w:eastAsia="仿宋" w:hAnsi="Arial" w:cs="Arial"/>
          <w:sz w:val="28"/>
          <w:szCs w:val="28"/>
        </w:rPr>
        <w:t>月</w:t>
      </w:r>
      <w:r>
        <w:rPr>
          <w:rFonts w:ascii="Arial" w:eastAsia="仿宋" w:hAnsi="Arial" w:cs="Arial"/>
          <w:sz w:val="28"/>
          <w:szCs w:val="28"/>
        </w:rPr>
        <w:t>22</w:t>
      </w:r>
      <w:r>
        <w:rPr>
          <w:rFonts w:ascii="Arial" w:eastAsia="仿宋" w:hAnsi="Arial" w:cs="Arial"/>
          <w:sz w:val="28"/>
          <w:szCs w:val="28"/>
        </w:rPr>
        <w:t>日北京市第十三届人民代表大会常务委员会第十一次会议通过；</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3</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日北京市第十五届人民代表大会常务委员会第十二次会议修订，自</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4</w:t>
      </w:r>
      <w:r>
        <w:rPr>
          <w:rFonts w:ascii="Arial" w:eastAsia="仿宋" w:hAnsi="Arial" w:cs="Arial"/>
          <w:sz w:val="28"/>
          <w:szCs w:val="28"/>
        </w:rPr>
        <w:t>月</w:t>
      </w:r>
      <w:r>
        <w:rPr>
          <w:rFonts w:ascii="Arial" w:eastAsia="仿宋" w:hAnsi="Arial" w:cs="Arial"/>
          <w:sz w:val="28"/>
          <w:szCs w:val="28"/>
        </w:rPr>
        <w:t>28</w:t>
      </w:r>
      <w:r>
        <w:rPr>
          <w:rFonts w:ascii="Arial" w:eastAsia="仿宋" w:hAnsi="Arial" w:cs="Arial"/>
          <w:sz w:val="28"/>
          <w:szCs w:val="28"/>
        </w:rPr>
        <w:t>日起施行）</w:t>
      </w:r>
    </w:p>
    <w:p w14:paraId="75162DE4"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bCs/>
          <w:sz w:val="28"/>
          <w:szCs w:val="28"/>
        </w:rPr>
        <w:t>《北京市实施</w:t>
      </w:r>
      <w:r>
        <w:rPr>
          <w:rFonts w:ascii="Arial" w:eastAsia="仿宋" w:hAnsi="Arial" w:cs="Arial"/>
          <w:sz w:val="28"/>
          <w:szCs w:val="28"/>
        </w:rPr>
        <w:t>&lt;</w:t>
      </w:r>
      <w:r>
        <w:rPr>
          <w:rFonts w:ascii="Arial" w:eastAsia="仿宋" w:hAnsi="Arial" w:cs="Arial"/>
          <w:bCs/>
          <w:sz w:val="28"/>
          <w:szCs w:val="28"/>
        </w:rPr>
        <w:t>中华人民共和国城镇土地使用税暂行条例</w:t>
      </w:r>
      <w:r>
        <w:rPr>
          <w:rFonts w:ascii="Arial" w:eastAsia="仿宋" w:hAnsi="Arial" w:cs="Arial"/>
          <w:sz w:val="28"/>
          <w:szCs w:val="28"/>
        </w:rPr>
        <w:t>&gt;</w:t>
      </w:r>
      <w:r>
        <w:rPr>
          <w:rFonts w:ascii="Arial" w:eastAsia="仿宋" w:hAnsi="Arial" w:cs="Arial"/>
          <w:bCs/>
          <w:sz w:val="28"/>
          <w:szCs w:val="28"/>
        </w:rPr>
        <w:t>办法》（</w:t>
      </w:r>
      <w:r>
        <w:rPr>
          <w:rFonts w:ascii="Arial" w:eastAsia="仿宋" w:hAnsi="Arial" w:cs="Arial"/>
          <w:sz w:val="28"/>
          <w:szCs w:val="28"/>
        </w:rPr>
        <w:t>1988</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30</w:t>
      </w:r>
      <w:r>
        <w:rPr>
          <w:rFonts w:ascii="Arial" w:eastAsia="仿宋" w:hAnsi="Arial" w:cs="Arial"/>
          <w:sz w:val="28"/>
          <w:szCs w:val="28"/>
        </w:rPr>
        <w:t>日北京市人民政府京政发〔</w:t>
      </w:r>
      <w:r>
        <w:rPr>
          <w:rFonts w:ascii="Arial" w:eastAsia="仿宋" w:hAnsi="Arial" w:cs="Arial"/>
          <w:sz w:val="28"/>
          <w:szCs w:val="28"/>
        </w:rPr>
        <w:t>1988</w:t>
      </w:r>
      <w:r>
        <w:rPr>
          <w:rFonts w:ascii="Arial" w:eastAsia="仿宋" w:hAnsi="Arial" w:cs="Arial"/>
          <w:sz w:val="28"/>
          <w:szCs w:val="28"/>
        </w:rPr>
        <w:t>〕</w:t>
      </w:r>
      <w:r>
        <w:rPr>
          <w:rFonts w:ascii="Arial" w:eastAsia="仿宋" w:hAnsi="Arial" w:cs="Arial"/>
          <w:sz w:val="28"/>
          <w:szCs w:val="28"/>
        </w:rPr>
        <w:t>115</w:t>
      </w:r>
      <w:r>
        <w:rPr>
          <w:rFonts w:ascii="Arial" w:eastAsia="仿宋" w:hAnsi="Arial" w:cs="Arial"/>
          <w:sz w:val="28"/>
          <w:szCs w:val="28"/>
        </w:rPr>
        <w:t>号文件发布；根据</w:t>
      </w:r>
      <w:r>
        <w:rPr>
          <w:rFonts w:ascii="Arial" w:eastAsia="仿宋" w:hAnsi="Arial" w:cs="Arial"/>
          <w:sz w:val="28"/>
          <w:szCs w:val="28"/>
        </w:rPr>
        <w:t>1998</w:t>
      </w:r>
      <w:r>
        <w:rPr>
          <w:rFonts w:ascii="Arial" w:eastAsia="仿宋" w:hAnsi="Arial" w:cs="Arial"/>
          <w:sz w:val="28"/>
          <w:szCs w:val="28"/>
        </w:rPr>
        <w:t>年</w:t>
      </w:r>
      <w:r>
        <w:rPr>
          <w:rFonts w:ascii="Arial" w:eastAsia="仿宋" w:hAnsi="Arial" w:cs="Arial"/>
          <w:sz w:val="28"/>
          <w:szCs w:val="28"/>
        </w:rPr>
        <w:t>6</w:t>
      </w:r>
      <w:r>
        <w:rPr>
          <w:rFonts w:ascii="Arial" w:eastAsia="仿宋" w:hAnsi="Arial" w:cs="Arial"/>
          <w:sz w:val="28"/>
          <w:szCs w:val="28"/>
        </w:rPr>
        <w:t>月</w:t>
      </w:r>
      <w:r>
        <w:rPr>
          <w:rFonts w:ascii="Arial" w:eastAsia="仿宋" w:hAnsi="Arial" w:cs="Arial"/>
          <w:sz w:val="28"/>
          <w:szCs w:val="28"/>
        </w:rPr>
        <w:t>12</w:t>
      </w:r>
      <w:r>
        <w:rPr>
          <w:rFonts w:ascii="Arial" w:eastAsia="仿宋" w:hAnsi="Arial" w:cs="Arial"/>
          <w:sz w:val="28"/>
          <w:szCs w:val="28"/>
        </w:rPr>
        <w:t>日北京市人民政府第</w:t>
      </w:r>
      <w:r>
        <w:rPr>
          <w:rFonts w:ascii="Arial" w:eastAsia="仿宋" w:hAnsi="Arial" w:cs="Arial"/>
          <w:sz w:val="28"/>
          <w:szCs w:val="28"/>
        </w:rPr>
        <w:t>6</w:t>
      </w:r>
      <w:r>
        <w:rPr>
          <w:rFonts w:ascii="Arial" w:eastAsia="仿宋" w:hAnsi="Arial" w:cs="Arial"/>
          <w:sz w:val="28"/>
          <w:szCs w:val="28"/>
        </w:rPr>
        <w:t>号令第一次修改；根据</w:t>
      </w:r>
      <w:r>
        <w:rPr>
          <w:rFonts w:ascii="Arial" w:eastAsia="仿宋" w:hAnsi="Arial" w:cs="Arial"/>
          <w:sz w:val="28"/>
          <w:szCs w:val="28"/>
        </w:rPr>
        <w:t>2007</w:t>
      </w:r>
      <w:r>
        <w:rPr>
          <w:rFonts w:ascii="Arial" w:eastAsia="仿宋" w:hAnsi="Arial" w:cs="Arial"/>
          <w:sz w:val="28"/>
          <w:szCs w:val="28"/>
        </w:rPr>
        <w:t>年</w:t>
      </w:r>
      <w:r>
        <w:rPr>
          <w:rFonts w:ascii="Arial" w:eastAsia="仿宋" w:hAnsi="Arial" w:cs="Arial"/>
          <w:sz w:val="28"/>
          <w:szCs w:val="28"/>
        </w:rPr>
        <w:t>4</w:t>
      </w:r>
      <w:r>
        <w:rPr>
          <w:rFonts w:ascii="Arial" w:eastAsia="仿宋" w:hAnsi="Arial" w:cs="Arial"/>
          <w:sz w:val="28"/>
          <w:szCs w:val="28"/>
        </w:rPr>
        <w:t>月</w:t>
      </w:r>
      <w:r>
        <w:rPr>
          <w:rFonts w:ascii="Arial" w:eastAsia="仿宋" w:hAnsi="Arial" w:cs="Arial"/>
          <w:sz w:val="28"/>
          <w:szCs w:val="28"/>
        </w:rPr>
        <w:t>27</w:t>
      </w:r>
      <w:r>
        <w:rPr>
          <w:rFonts w:ascii="Arial" w:eastAsia="仿宋" w:hAnsi="Arial" w:cs="Arial"/>
          <w:sz w:val="28"/>
          <w:szCs w:val="28"/>
        </w:rPr>
        <w:t>日北京市人民政府第</w:t>
      </w:r>
      <w:r>
        <w:rPr>
          <w:rFonts w:ascii="Arial" w:eastAsia="仿宋" w:hAnsi="Arial" w:cs="Arial"/>
          <w:sz w:val="28"/>
          <w:szCs w:val="28"/>
        </w:rPr>
        <w:t>188</w:t>
      </w:r>
      <w:r>
        <w:rPr>
          <w:rFonts w:ascii="Arial" w:eastAsia="仿宋" w:hAnsi="Arial" w:cs="Arial"/>
          <w:sz w:val="28"/>
          <w:szCs w:val="28"/>
        </w:rPr>
        <w:t>号令第二次修改</w:t>
      </w:r>
      <w:r>
        <w:rPr>
          <w:rFonts w:ascii="Arial" w:eastAsia="仿宋" w:hAnsi="Arial" w:cs="Arial"/>
          <w:bCs/>
          <w:sz w:val="28"/>
          <w:szCs w:val="28"/>
        </w:rPr>
        <w:t>）</w:t>
      </w:r>
    </w:p>
    <w:p w14:paraId="6EEB8261"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《北京市人民政府关于印发北京市国有建设用地供应办法（试行）的通知》（京政发（</w:t>
      </w:r>
      <w:r>
        <w:rPr>
          <w:rFonts w:ascii="Arial" w:eastAsia="仿宋" w:hAnsi="Arial" w:cs="Arial"/>
          <w:sz w:val="28"/>
          <w:szCs w:val="28"/>
        </w:rPr>
        <w:t>2005</w:t>
      </w:r>
      <w:r>
        <w:rPr>
          <w:rFonts w:ascii="Arial" w:eastAsia="仿宋" w:hAnsi="Arial" w:cs="Arial"/>
          <w:sz w:val="28"/>
          <w:szCs w:val="28"/>
        </w:rPr>
        <w:t>）</w:t>
      </w:r>
      <w:r>
        <w:rPr>
          <w:rFonts w:ascii="Arial" w:eastAsia="仿宋" w:hAnsi="Arial" w:cs="Arial"/>
          <w:sz w:val="28"/>
          <w:szCs w:val="28"/>
        </w:rPr>
        <w:t>6</w:t>
      </w:r>
      <w:r>
        <w:rPr>
          <w:rFonts w:ascii="Arial" w:eastAsia="仿宋" w:hAnsi="Arial" w:cs="Arial"/>
          <w:sz w:val="28"/>
          <w:szCs w:val="28"/>
        </w:rPr>
        <w:t>号）</w:t>
      </w:r>
    </w:p>
    <w:p w14:paraId="5BF5BB7F"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《北京市人民政府关于修订〈北京市国有建设用地供应办法（试行）〉的决定》（京政发〔</w:t>
      </w:r>
      <w:r>
        <w:rPr>
          <w:rFonts w:ascii="Arial" w:eastAsia="仿宋" w:hAnsi="Arial" w:cs="Arial"/>
          <w:sz w:val="28"/>
          <w:szCs w:val="28"/>
        </w:rPr>
        <w:t>2021</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w:t>
      </w:r>
    </w:p>
    <w:p w14:paraId="7D26E581"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《关于印发北京市出让国有土地使用权招标拍卖挂牌办法的通知》（京国土市（</w:t>
      </w:r>
      <w:r>
        <w:rPr>
          <w:rFonts w:ascii="Arial" w:eastAsia="仿宋" w:hAnsi="Arial" w:cs="Arial"/>
          <w:sz w:val="28"/>
          <w:szCs w:val="28"/>
        </w:rPr>
        <w:t>2005</w:t>
      </w:r>
      <w:r>
        <w:rPr>
          <w:rFonts w:ascii="Arial" w:eastAsia="仿宋" w:hAnsi="Arial" w:cs="Arial"/>
          <w:sz w:val="28"/>
          <w:szCs w:val="28"/>
        </w:rPr>
        <w:t>）</w:t>
      </w:r>
      <w:r>
        <w:rPr>
          <w:rFonts w:ascii="Arial" w:eastAsia="仿宋" w:hAnsi="Arial" w:cs="Arial"/>
          <w:sz w:val="28"/>
          <w:szCs w:val="28"/>
        </w:rPr>
        <w:t>302</w:t>
      </w:r>
      <w:r>
        <w:rPr>
          <w:rFonts w:ascii="Arial" w:eastAsia="仿宋" w:hAnsi="Arial" w:cs="Arial"/>
          <w:sz w:val="28"/>
          <w:szCs w:val="28"/>
        </w:rPr>
        <w:t>号）</w:t>
      </w:r>
    </w:p>
    <w:p w14:paraId="583F750E"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《北京市国土资源局、北京市发展和改革委员会、北京市财政局、北京市规划委、北京市住房和城乡建设委员会关于印发北京市国有建设用地使用权出让地价评审暂行规定的通知》（京国土用（</w:t>
      </w:r>
      <w:r>
        <w:rPr>
          <w:rFonts w:ascii="Arial" w:eastAsia="仿宋" w:hAnsi="Arial" w:cs="Arial"/>
          <w:sz w:val="28"/>
          <w:szCs w:val="28"/>
        </w:rPr>
        <w:t>2015</w:t>
      </w:r>
      <w:r>
        <w:rPr>
          <w:rFonts w:ascii="Arial" w:eastAsia="仿宋" w:hAnsi="Arial" w:cs="Arial"/>
          <w:sz w:val="28"/>
          <w:szCs w:val="28"/>
        </w:rPr>
        <w:t>）</w:t>
      </w:r>
      <w:r>
        <w:rPr>
          <w:rFonts w:ascii="Arial" w:eastAsia="仿宋" w:hAnsi="Arial" w:cs="Arial"/>
          <w:sz w:val="28"/>
          <w:szCs w:val="28"/>
        </w:rPr>
        <w:t>87</w:t>
      </w:r>
      <w:r>
        <w:rPr>
          <w:rFonts w:ascii="Arial" w:eastAsia="仿宋" w:hAnsi="Arial" w:cs="Arial"/>
          <w:sz w:val="28"/>
          <w:szCs w:val="28"/>
        </w:rPr>
        <w:t>号）</w:t>
      </w:r>
    </w:p>
    <w:p w14:paraId="157A8935"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《北京市国土资源局、北京市发展和改革委员会关于印发北京市国有土地使用权招标拍卖挂牌出让底价确定办法（试行）的通知》（</w:t>
      </w:r>
      <w:r>
        <w:rPr>
          <w:rFonts w:ascii="Arial" w:eastAsia="仿宋" w:hAnsi="Arial" w:cs="Arial"/>
          <w:sz w:val="28"/>
          <w:szCs w:val="28"/>
        </w:rPr>
        <w:t> </w:t>
      </w:r>
      <w:r>
        <w:rPr>
          <w:rFonts w:ascii="Arial" w:eastAsia="仿宋" w:hAnsi="Arial" w:cs="Arial"/>
          <w:sz w:val="28"/>
          <w:szCs w:val="28"/>
        </w:rPr>
        <w:t>京</w:t>
      </w:r>
      <w:r>
        <w:rPr>
          <w:rFonts w:ascii="Arial" w:eastAsia="仿宋" w:hAnsi="Arial" w:cs="Arial"/>
          <w:sz w:val="28"/>
          <w:szCs w:val="28"/>
        </w:rPr>
        <w:lastRenderedPageBreak/>
        <w:t>国土用〔</w:t>
      </w:r>
      <w:r>
        <w:rPr>
          <w:rFonts w:ascii="Arial" w:eastAsia="仿宋" w:hAnsi="Arial" w:cs="Arial"/>
          <w:sz w:val="28"/>
          <w:szCs w:val="28"/>
        </w:rPr>
        <w:t>2005</w:t>
      </w:r>
      <w:r>
        <w:rPr>
          <w:rFonts w:ascii="Arial" w:eastAsia="仿宋" w:hAnsi="Arial" w:cs="Arial"/>
          <w:sz w:val="28"/>
          <w:szCs w:val="28"/>
        </w:rPr>
        <w:t>〕</w:t>
      </w:r>
      <w:r>
        <w:rPr>
          <w:rFonts w:ascii="Arial" w:eastAsia="仿宋" w:hAnsi="Arial" w:cs="Arial"/>
          <w:sz w:val="28"/>
          <w:szCs w:val="28"/>
        </w:rPr>
        <w:t>533</w:t>
      </w:r>
      <w:r>
        <w:rPr>
          <w:rFonts w:ascii="Arial" w:eastAsia="仿宋" w:hAnsi="Arial" w:cs="Arial"/>
          <w:sz w:val="28"/>
          <w:szCs w:val="28"/>
        </w:rPr>
        <w:t>号）</w:t>
      </w:r>
    </w:p>
    <w:p w14:paraId="18EE780B"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《北京市顺义区人民政府关于印发</w:t>
      </w:r>
      <w:r>
        <w:rPr>
          <w:rFonts w:ascii="Arial" w:eastAsia="仿宋" w:hAnsi="Arial" w:cs="Arial"/>
          <w:sz w:val="28"/>
          <w:szCs w:val="28"/>
        </w:rPr>
        <w:t>&lt;</w:t>
      </w:r>
      <w:r>
        <w:rPr>
          <w:rFonts w:ascii="Arial" w:eastAsia="仿宋" w:hAnsi="Arial" w:cs="Arial"/>
          <w:sz w:val="28"/>
          <w:szCs w:val="28"/>
        </w:rPr>
        <w:t>顺义区征收城市基础设施建设费暂行办法</w:t>
      </w:r>
      <w:r>
        <w:rPr>
          <w:rFonts w:ascii="Arial" w:eastAsia="仿宋" w:hAnsi="Arial" w:cs="Arial"/>
          <w:sz w:val="28"/>
          <w:szCs w:val="28"/>
        </w:rPr>
        <w:t>&gt;</w:t>
      </w:r>
      <w:r>
        <w:rPr>
          <w:rFonts w:ascii="Arial" w:eastAsia="仿宋" w:hAnsi="Arial" w:cs="Arial"/>
          <w:sz w:val="28"/>
          <w:szCs w:val="28"/>
        </w:rPr>
        <w:t>的通知》</w:t>
      </w:r>
      <w:r>
        <w:rPr>
          <w:rFonts w:ascii="Arial" w:eastAsia="仿宋" w:hAnsi="Arial" w:cs="Arial"/>
          <w:sz w:val="28"/>
          <w:szCs w:val="28"/>
        </w:rPr>
        <w:t>[</w:t>
      </w:r>
      <w:r>
        <w:rPr>
          <w:rFonts w:ascii="Arial" w:eastAsia="仿宋" w:hAnsi="Arial" w:cs="Arial"/>
          <w:sz w:val="28"/>
          <w:szCs w:val="28"/>
        </w:rPr>
        <w:t>自</w:t>
      </w:r>
      <w:r>
        <w:rPr>
          <w:rFonts w:ascii="Arial" w:eastAsia="仿宋" w:hAnsi="Arial" w:cs="Arial"/>
          <w:sz w:val="28"/>
          <w:szCs w:val="28"/>
        </w:rPr>
        <w:t>2022</w:t>
      </w:r>
      <w:r>
        <w:rPr>
          <w:rFonts w:ascii="Arial" w:eastAsia="仿宋" w:hAnsi="Arial" w:cs="Arial"/>
          <w:sz w:val="28"/>
          <w:szCs w:val="28"/>
        </w:rPr>
        <w:t>年</w:t>
      </w:r>
      <w:r>
        <w:rPr>
          <w:rFonts w:ascii="Arial" w:eastAsia="仿宋" w:hAnsi="Arial" w:cs="Arial"/>
          <w:sz w:val="28"/>
          <w:szCs w:val="28"/>
        </w:rPr>
        <w:t>6</w:t>
      </w:r>
      <w:r>
        <w:rPr>
          <w:rFonts w:ascii="Arial" w:eastAsia="仿宋" w:hAnsi="Arial" w:cs="Arial"/>
          <w:sz w:val="28"/>
          <w:szCs w:val="28"/>
        </w:rPr>
        <w:t>月</w:t>
      </w:r>
      <w:r>
        <w:rPr>
          <w:rFonts w:ascii="Arial" w:eastAsia="仿宋" w:hAnsi="Arial" w:cs="Arial"/>
          <w:sz w:val="28"/>
          <w:szCs w:val="28"/>
        </w:rPr>
        <w:t>6</w:t>
      </w:r>
      <w:r>
        <w:rPr>
          <w:rFonts w:ascii="Arial" w:eastAsia="仿宋" w:hAnsi="Arial" w:cs="Arial"/>
          <w:sz w:val="28"/>
          <w:szCs w:val="28"/>
        </w:rPr>
        <w:t>日起实施</w:t>
      </w:r>
      <w:r>
        <w:rPr>
          <w:rFonts w:ascii="Arial" w:eastAsia="仿宋" w:hAnsi="Arial" w:cs="Arial"/>
          <w:sz w:val="28"/>
          <w:szCs w:val="28"/>
        </w:rPr>
        <w:t>]</w:t>
      </w:r>
    </w:p>
    <w:p w14:paraId="0F8003E8"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（二）采用的技术标准</w:t>
      </w:r>
    </w:p>
    <w:p w14:paraId="3D22A0D1" w14:textId="77777777" w:rsidR="0062768B" w:rsidRDefault="00136729" w:rsidP="00791FE1">
      <w:pPr>
        <w:numPr>
          <w:ilvl w:val="0"/>
          <w:numId w:val="14"/>
        </w:numPr>
        <w:adjustRightInd/>
        <w:spacing w:line="300" w:lineRule="auto"/>
        <w:jc w:val="both"/>
        <w:rPr>
          <w:rFonts w:ascii="Arial" w:eastAsia="仿宋" w:hAnsi="Arial" w:cs="Arial"/>
          <w:sz w:val="28"/>
          <w:szCs w:val="28"/>
        </w:rPr>
      </w:pPr>
      <w:r>
        <w:rPr>
          <w:rFonts w:ascii="Arial" w:eastAsia="仿宋" w:hAnsi="Arial" w:cs="Arial"/>
          <w:sz w:val="28"/>
          <w:szCs w:val="28"/>
        </w:rPr>
        <w:t>《城镇土地估价规程》（</w:t>
      </w:r>
      <w:r>
        <w:rPr>
          <w:rFonts w:ascii="Arial" w:eastAsia="仿宋" w:hAnsi="Arial" w:cs="Arial"/>
          <w:sz w:val="28"/>
          <w:szCs w:val="28"/>
        </w:rPr>
        <w:t>GB/T 18508-2014</w:t>
      </w:r>
      <w:r>
        <w:rPr>
          <w:rFonts w:ascii="Arial" w:eastAsia="仿宋" w:hAnsi="Arial" w:cs="Arial"/>
          <w:sz w:val="28"/>
          <w:szCs w:val="28"/>
        </w:rPr>
        <w:t>）</w:t>
      </w:r>
    </w:p>
    <w:p w14:paraId="74803AFA"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《城镇土地分等定级规程》</w:t>
      </w:r>
      <w:r>
        <w:rPr>
          <w:rFonts w:ascii="Arial" w:eastAsia="仿宋" w:hAnsi="Arial" w:cs="Arial"/>
          <w:sz w:val="28"/>
          <w:szCs w:val="28"/>
        </w:rPr>
        <w:fldChar w:fldCharType="begin"/>
      </w:r>
      <w:r>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Pr>
          <w:rFonts w:ascii="Arial" w:eastAsia="仿宋" w:hAnsi="Arial" w:cs="Arial"/>
          <w:sz w:val="28"/>
          <w:szCs w:val="28"/>
        </w:rPr>
        <w:fldChar w:fldCharType="separate"/>
      </w:r>
      <w:r>
        <w:rPr>
          <w:rFonts w:ascii="Arial" w:eastAsia="仿宋" w:hAnsi="Arial" w:cs="Arial"/>
          <w:sz w:val="28"/>
          <w:szCs w:val="28"/>
        </w:rPr>
        <w:t>（</w:t>
      </w:r>
      <w:r>
        <w:rPr>
          <w:rFonts w:ascii="Arial" w:eastAsia="仿宋" w:hAnsi="Arial" w:cs="Arial"/>
          <w:sz w:val="28"/>
          <w:szCs w:val="28"/>
        </w:rPr>
        <w:t>GB/T 18507-2014</w:t>
      </w:r>
      <w:r>
        <w:rPr>
          <w:rFonts w:ascii="Arial" w:eastAsia="仿宋" w:hAnsi="Arial" w:cs="Arial"/>
          <w:sz w:val="28"/>
          <w:szCs w:val="28"/>
        </w:rPr>
        <w:t>）</w:t>
      </w:r>
      <w:r>
        <w:rPr>
          <w:rFonts w:ascii="Arial" w:eastAsia="仿宋" w:hAnsi="Arial" w:cs="Arial"/>
          <w:sz w:val="28"/>
          <w:szCs w:val="28"/>
        </w:rPr>
        <w:fldChar w:fldCharType="end"/>
      </w:r>
    </w:p>
    <w:p w14:paraId="76638CD7"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《土地利用现状分类》（</w:t>
      </w:r>
      <w:r>
        <w:rPr>
          <w:rFonts w:ascii="Arial" w:eastAsia="仿宋" w:hAnsi="Arial" w:cs="Arial"/>
          <w:sz w:val="28"/>
          <w:szCs w:val="28"/>
        </w:rPr>
        <w:t xml:space="preserve"> GB/T 21010-2017</w:t>
      </w:r>
      <w:r>
        <w:rPr>
          <w:rFonts w:ascii="Arial" w:eastAsia="仿宋" w:hAnsi="Arial" w:cs="Arial"/>
          <w:sz w:val="28"/>
          <w:szCs w:val="28"/>
        </w:rPr>
        <w:t>）</w:t>
      </w:r>
    </w:p>
    <w:p w14:paraId="641F1667"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《城市用地分类与规划建设用地标准》（</w:t>
      </w:r>
      <w:r>
        <w:rPr>
          <w:rFonts w:ascii="Arial" w:eastAsia="仿宋" w:hAnsi="Arial" w:cs="Arial"/>
          <w:sz w:val="28"/>
          <w:szCs w:val="28"/>
        </w:rPr>
        <w:t>GB50137-2011</w:t>
      </w:r>
      <w:r>
        <w:rPr>
          <w:rFonts w:ascii="Arial" w:eastAsia="仿宋" w:hAnsi="Arial" w:cs="Arial"/>
          <w:sz w:val="28"/>
          <w:szCs w:val="28"/>
        </w:rPr>
        <w:t>）</w:t>
      </w:r>
    </w:p>
    <w:p w14:paraId="17AB68D4"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《自然资源分等定级通则》（</w:t>
      </w:r>
      <w:r>
        <w:rPr>
          <w:rFonts w:ascii="Arial" w:eastAsia="仿宋" w:hAnsi="Arial" w:cs="Arial"/>
          <w:sz w:val="28"/>
          <w:szCs w:val="28"/>
        </w:rPr>
        <w:t>TD/T 1060-2021</w:t>
      </w:r>
      <w:r>
        <w:rPr>
          <w:rFonts w:ascii="Arial" w:eastAsia="仿宋" w:hAnsi="Arial" w:cs="Arial"/>
          <w:sz w:val="28"/>
          <w:szCs w:val="28"/>
        </w:rPr>
        <w:t>）</w:t>
      </w:r>
    </w:p>
    <w:p w14:paraId="25E146B6"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《自然资源价格评估通则》（</w:t>
      </w:r>
      <w:r>
        <w:rPr>
          <w:rFonts w:ascii="Arial" w:eastAsia="仿宋" w:hAnsi="Arial" w:cs="Arial"/>
          <w:sz w:val="28"/>
          <w:szCs w:val="28"/>
        </w:rPr>
        <w:t>TD/T 1061-2021</w:t>
      </w:r>
      <w:r>
        <w:rPr>
          <w:rFonts w:ascii="Arial" w:eastAsia="仿宋" w:hAnsi="Arial" w:cs="Arial"/>
          <w:sz w:val="28"/>
          <w:szCs w:val="28"/>
        </w:rPr>
        <w:t>）</w:t>
      </w:r>
    </w:p>
    <w:p w14:paraId="4E6288B6"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《城市地价动态监测技术规范》（</w:t>
      </w:r>
      <w:r>
        <w:rPr>
          <w:rFonts w:ascii="Arial" w:eastAsia="仿宋" w:hAnsi="Arial" w:cs="Arial"/>
          <w:sz w:val="28"/>
          <w:szCs w:val="28"/>
        </w:rPr>
        <w:t>TD/T1009-2007</w:t>
      </w:r>
      <w:r>
        <w:rPr>
          <w:rFonts w:ascii="Arial" w:eastAsia="仿宋" w:hAnsi="Arial" w:cs="Arial"/>
          <w:sz w:val="28"/>
          <w:szCs w:val="28"/>
        </w:rPr>
        <w:t>）</w:t>
      </w:r>
    </w:p>
    <w:p w14:paraId="35238ABB"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proofErr w:type="gramStart"/>
      <w:r>
        <w:rPr>
          <w:rFonts w:ascii="Arial" w:eastAsia="仿宋" w:hAnsi="Arial" w:cs="Arial"/>
          <w:sz w:val="28"/>
          <w:szCs w:val="28"/>
        </w:rPr>
        <w:t>《</w:t>
      </w:r>
      <w:proofErr w:type="gramEnd"/>
      <w:r>
        <w:rPr>
          <w:rFonts w:ascii="Arial" w:eastAsia="仿宋" w:hAnsi="Arial" w:cs="Arial"/>
          <w:sz w:val="28"/>
          <w:szCs w:val="28"/>
        </w:rPr>
        <w:t>自然资源部办公厅关于印发</w:t>
      </w:r>
      <w:proofErr w:type="gramStart"/>
      <w:r>
        <w:rPr>
          <w:rFonts w:ascii="Arial" w:eastAsia="仿宋" w:hAnsi="Arial" w:cs="Arial"/>
          <w:sz w:val="28"/>
          <w:szCs w:val="28"/>
        </w:rPr>
        <w:t>《</w:t>
      </w:r>
      <w:proofErr w:type="gramEnd"/>
      <w:r>
        <w:rPr>
          <w:rFonts w:ascii="Arial" w:eastAsia="仿宋" w:hAnsi="Arial" w:cs="Arial"/>
          <w:sz w:val="28"/>
          <w:szCs w:val="28"/>
        </w:rPr>
        <w:t>国土空间调查、规划、用途管制用地用海分类指南（试行）</w:t>
      </w:r>
      <w:proofErr w:type="gramStart"/>
      <w:r>
        <w:rPr>
          <w:rFonts w:ascii="Arial" w:eastAsia="仿宋" w:hAnsi="Arial" w:cs="Arial"/>
          <w:sz w:val="28"/>
          <w:szCs w:val="28"/>
        </w:rPr>
        <w:t>》</w:t>
      </w:r>
      <w:proofErr w:type="gramEnd"/>
      <w:r>
        <w:rPr>
          <w:rFonts w:ascii="Arial" w:eastAsia="仿宋" w:hAnsi="Arial" w:cs="Arial"/>
          <w:sz w:val="28"/>
          <w:szCs w:val="28"/>
        </w:rPr>
        <w:t>的通知</w:t>
      </w:r>
      <w:proofErr w:type="gramStart"/>
      <w:r>
        <w:rPr>
          <w:rFonts w:ascii="Arial" w:eastAsia="仿宋" w:hAnsi="Arial" w:cs="Arial"/>
          <w:sz w:val="28"/>
          <w:szCs w:val="28"/>
        </w:rPr>
        <w:t>》</w:t>
      </w:r>
      <w:proofErr w:type="gramEnd"/>
      <w:r>
        <w:rPr>
          <w:rFonts w:ascii="Arial" w:eastAsia="仿宋" w:hAnsi="Arial" w:cs="Arial"/>
          <w:sz w:val="28"/>
          <w:szCs w:val="28"/>
        </w:rPr>
        <w:t>（自然资办发〔</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w:t>
      </w:r>
    </w:p>
    <w:p w14:paraId="2F8DEEE4"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《国土资源部办公厅关于发布</w:t>
      </w:r>
      <w:r>
        <w:rPr>
          <w:rFonts w:ascii="Arial" w:eastAsia="仿宋" w:hAnsi="Arial" w:cs="Arial"/>
          <w:sz w:val="28"/>
          <w:szCs w:val="28"/>
        </w:rPr>
        <w:t>&lt;</w:t>
      </w:r>
      <w:r>
        <w:rPr>
          <w:rFonts w:ascii="Arial" w:eastAsia="仿宋" w:hAnsi="Arial" w:cs="Arial"/>
          <w:sz w:val="28"/>
          <w:szCs w:val="28"/>
        </w:rPr>
        <w:t>国有建设用地使用权出让地价评估技术规范</w:t>
      </w:r>
      <w:r>
        <w:rPr>
          <w:rFonts w:ascii="Arial" w:eastAsia="仿宋" w:hAnsi="Arial" w:cs="Arial"/>
          <w:sz w:val="28"/>
          <w:szCs w:val="28"/>
        </w:rPr>
        <w:t>&gt;</w:t>
      </w:r>
      <w:r>
        <w:rPr>
          <w:rFonts w:ascii="Arial" w:eastAsia="仿宋" w:hAnsi="Arial" w:cs="Arial"/>
          <w:sz w:val="28"/>
          <w:szCs w:val="28"/>
        </w:rPr>
        <w:t>的通知》（</w:t>
      </w:r>
      <w:proofErr w:type="gramStart"/>
      <w:r>
        <w:rPr>
          <w:rFonts w:ascii="Arial" w:eastAsia="仿宋" w:hAnsi="Arial" w:cs="Arial"/>
          <w:sz w:val="28"/>
          <w:szCs w:val="28"/>
        </w:rPr>
        <w:t>国土资厅发</w:t>
      </w:r>
      <w:proofErr w:type="gramEnd"/>
      <w:r>
        <w:rPr>
          <w:rFonts w:ascii="Arial" w:eastAsia="仿宋" w:hAnsi="Arial" w:cs="Arial"/>
          <w:sz w:val="28"/>
          <w:szCs w:val="28"/>
        </w:rPr>
        <w:t>（</w:t>
      </w:r>
      <w:r>
        <w:rPr>
          <w:rFonts w:ascii="Arial" w:eastAsia="仿宋" w:hAnsi="Arial" w:cs="Arial"/>
          <w:sz w:val="28"/>
          <w:szCs w:val="28"/>
        </w:rPr>
        <w:t>2018</w:t>
      </w:r>
      <w:r>
        <w:rPr>
          <w:rFonts w:ascii="Arial" w:eastAsia="仿宋" w:hAnsi="Arial" w:cs="Arial"/>
          <w:sz w:val="28"/>
          <w:szCs w:val="28"/>
        </w:rPr>
        <w:t>）</w:t>
      </w:r>
      <w:r>
        <w:rPr>
          <w:rFonts w:ascii="Arial" w:eastAsia="仿宋" w:hAnsi="Arial" w:cs="Arial"/>
          <w:sz w:val="28"/>
          <w:szCs w:val="28"/>
        </w:rPr>
        <w:t>4</w:t>
      </w:r>
      <w:r>
        <w:rPr>
          <w:rFonts w:ascii="Arial" w:eastAsia="仿宋" w:hAnsi="Arial" w:cs="Arial"/>
          <w:sz w:val="28"/>
          <w:szCs w:val="28"/>
        </w:rPr>
        <w:t>号）</w:t>
      </w:r>
    </w:p>
    <w:p w14:paraId="73127B30"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《自然资源部公共服务厅关于做好</w:t>
      </w:r>
      <w:r>
        <w:rPr>
          <w:rFonts w:ascii="Arial" w:eastAsia="仿宋" w:hAnsi="Arial" w:cs="Arial"/>
          <w:sz w:val="28"/>
          <w:szCs w:val="28"/>
        </w:rPr>
        <w:t>2021</w:t>
      </w:r>
      <w:r>
        <w:rPr>
          <w:rFonts w:ascii="Arial" w:eastAsia="仿宋" w:hAnsi="Arial" w:cs="Arial"/>
          <w:sz w:val="28"/>
          <w:szCs w:val="28"/>
        </w:rPr>
        <w:t>年度自然资源评价评估有关工作的通知》（自然资办发（</w:t>
      </w:r>
      <w:r>
        <w:rPr>
          <w:rFonts w:ascii="Arial" w:eastAsia="仿宋" w:hAnsi="Arial" w:cs="Arial"/>
          <w:sz w:val="28"/>
          <w:szCs w:val="28"/>
        </w:rPr>
        <w:t>2021</w:t>
      </w:r>
      <w:r>
        <w:rPr>
          <w:rFonts w:ascii="Arial" w:eastAsia="仿宋" w:hAnsi="Arial" w:cs="Arial"/>
          <w:sz w:val="28"/>
          <w:szCs w:val="28"/>
        </w:rPr>
        <w:t>）</w:t>
      </w:r>
      <w:r>
        <w:rPr>
          <w:rFonts w:ascii="Arial" w:eastAsia="仿宋" w:hAnsi="Arial" w:cs="Arial"/>
          <w:sz w:val="28"/>
          <w:szCs w:val="28"/>
        </w:rPr>
        <w:t>39</w:t>
      </w:r>
      <w:r>
        <w:rPr>
          <w:rFonts w:ascii="Arial" w:eastAsia="仿宋" w:hAnsi="Arial" w:cs="Arial"/>
          <w:sz w:val="28"/>
          <w:szCs w:val="28"/>
        </w:rPr>
        <w:t>号）</w:t>
      </w:r>
    </w:p>
    <w:p w14:paraId="270CE2E4"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《财政部</w:t>
      </w:r>
      <w:r>
        <w:rPr>
          <w:rFonts w:ascii="Arial" w:eastAsia="仿宋" w:hAnsi="Arial" w:cs="Arial"/>
          <w:sz w:val="28"/>
          <w:szCs w:val="28"/>
        </w:rPr>
        <w:t xml:space="preserve"> </w:t>
      </w:r>
      <w:r>
        <w:rPr>
          <w:rFonts w:ascii="Arial" w:eastAsia="仿宋" w:hAnsi="Arial" w:cs="Arial"/>
          <w:sz w:val="28"/>
          <w:szCs w:val="28"/>
        </w:rPr>
        <w:t>国家税务总局</w:t>
      </w:r>
      <w:r>
        <w:rPr>
          <w:rFonts w:ascii="Arial" w:eastAsia="仿宋" w:hAnsi="Arial" w:cs="Arial"/>
          <w:sz w:val="28"/>
          <w:szCs w:val="28"/>
        </w:rPr>
        <w:t>&lt;</w:t>
      </w:r>
      <w:r>
        <w:rPr>
          <w:rFonts w:ascii="Arial" w:eastAsia="仿宋" w:hAnsi="Arial" w:cs="Arial"/>
          <w:sz w:val="28"/>
          <w:szCs w:val="28"/>
        </w:rPr>
        <w:t>关于全面推开营业税改正增值税试点的通知</w:t>
      </w:r>
      <w:r>
        <w:rPr>
          <w:rFonts w:ascii="Arial" w:eastAsia="仿宋" w:hAnsi="Arial" w:cs="Arial"/>
          <w:sz w:val="28"/>
          <w:szCs w:val="28"/>
        </w:rPr>
        <w:t>&gt;</w:t>
      </w:r>
      <w:r>
        <w:rPr>
          <w:rFonts w:ascii="Arial" w:eastAsia="仿宋" w:hAnsi="Arial" w:cs="Arial"/>
          <w:sz w:val="28"/>
          <w:szCs w:val="28"/>
        </w:rPr>
        <w:t>》（财税（</w:t>
      </w:r>
      <w:r>
        <w:rPr>
          <w:rFonts w:ascii="Arial" w:eastAsia="仿宋" w:hAnsi="Arial" w:cs="Arial"/>
          <w:sz w:val="28"/>
          <w:szCs w:val="28"/>
        </w:rPr>
        <w:t>2016</w:t>
      </w:r>
      <w:r>
        <w:rPr>
          <w:rFonts w:ascii="Arial" w:eastAsia="仿宋" w:hAnsi="Arial" w:cs="Arial"/>
          <w:sz w:val="28"/>
          <w:szCs w:val="28"/>
        </w:rPr>
        <w:t>）</w:t>
      </w:r>
      <w:r>
        <w:rPr>
          <w:rFonts w:ascii="Arial" w:eastAsia="仿宋" w:hAnsi="Arial" w:cs="Arial"/>
          <w:sz w:val="28"/>
          <w:szCs w:val="28"/>
        </w:rPr>
        <w:t>36</w:t>
      </w:r>
      <w:r>
        <w:rPr>
          <w:rFonts w:ascii="Arial" w:eastAsia="仿宋" w:hAnsi="Arial" w:cs="Arial"/>
          <w:sz w:val="28"/>
          <w:szCs w:val="28"/>
        </w:rPr>
        <w:t>号）</w:t>
      </w:r>
    </w:p>
    <w:p w14:paraId="34690172"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《北京市人民政府关于更新出让国有建设用地使用权基准地价的通知》（京政发（</w:t>
      </w:r>
      <w:r>
        <w:rPr>
          <w:rFonts w:ascii="Arial" w:eastAsia="仿宋" w:hAnsi="Arial" w:cs="Arial"/>
          <w:sz w:val="28"/>
          <w:szCs w:val="28"/>
        </w:rPr>
        <w:t>2022</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w:t>
      </w:r>
    </w:p>
    <w:p w14:paraId="3B694A3B"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《北京市国土空间调查、规划、用途管制用地分类指南（试行）》</w:t>
      </w:r>
    </w:p>
    <w:p w14:paraId="51518EC7"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《北京市城乡规划与土地利用用地分类对应指南（试行）》（市规划国土发（</w:t>
      </w:r>
      <w:r>
        <w:rPr>
          <w:rFonts w:ascii="Arial" w:eastAsia="仿宋" w:hAnsi="Arial" w:cs="Arial"/>
          <w:sz w:val="28"/>
          <w:szCs w:val="28"/>
        </w:rPr>
        <w:t>2017</w:t>
      </w:r>
      <w:r>
        <w:rPr>
          <w:rFonts w:ascii="Arial" w:eastAsia="仿宋" w:hAnsi="Arial" w:cs="Arial"/>
          <w:sz w:val="28"/>
          <w:szCs w:val="28"/>
        </w:rPr>
        <w:t>）</w:t>
      </w:r>
      <w:r>
        <w:rPr>
          <w:rFonts w:ascii="Arial" w:eastAsia="仿宋" w:hAnsi="Arial" w:cs="Arial"/>
          <w:sz w:val="28"/>
          <w:szCs w:val="28"/>
        </w:rPr>
        <w:t>316</w:t>
      </w:r>
      <w:r>
        <w:rPr>
          <w:rFonts w:ascii="Arial" w:eastAsia="仿宋" w:hAnsi="Arial" w:cs="Arial"/>
          <w:sz w:val="28"/>
          <w:szCs w:val="28"/>
        </w:rPr>
        <w:t>号）</w:t>
      </w:r>
    </w:p>
    <w:p w14:paraId="40DF3DDD"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《北京市地方税务局关于调整北京市城镇土地纳税等级分级范围的公告》（</w:t>
      </w:r>
      <w:r>
        <w:rPr>
          <w:rFonts w:ascii="Arial" w:eastAsia="仿宋" w:hAnsi="Arial" w:cs="Arial"/>
          <w:sz w:val="28"/>
          <w:szCs w:val="28"/>
        </w:rPr>
        <w:t>2015</w:t>
      </w:r>
      <w:r>
        <w:rPr>
          <w:rFonts w:ascii="Arial" w:eastAsia="仿宋" w:hAnsi="Arial" w:cs="Arial"/>
          <w:sz w:val="28"/>
          <w:szCs w:val="28"/>
        </w:rPr>
        <w:t>年第</w:t>
      </w:r>
      <w:r>
        <w:rPr>
          <w:rFonts w:ascii="Arial" w:eastAsia="仿宋" w:hAnsi="Arial" w:cs="Arial"/>
          <w:sz w:val="28"/>
          <w:szCs w:val="28"/>
        </w:rPr>
        <w:t>10</w:t>
      </w:r>
      <w:r>
        <w:rPr>
          <w:rFonts w:ascii="Arial" w:eastAsia="仿宋" w:hAnsi="Arial" w:cs="Arial"/>
          <w:sz w:val="28"/>
          <w:szCs w:val="28"/>
        </w:rPr>
        <w:t>号）</w:t>
      </w:r>
    </w:p>
    <w:p w14:paraId="4F550B65"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《北京市国有建设用地使用权出让地价评估技术导则（试行）》（</w:t>
      </w:r>
      <w:proofErr w:type="gramStart"/>
      <w:r>
        <w:rPr>
          <w:rFonts w:ascii="Arial" w:eastAsia="仿宋" w:hAnsi="Arial" w:cs="Arial"/>
          <w:sz w:val="28"/>
          <w:szCs w:val="28"/>
        </w:rPr>
        <w:t>北估秘</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001</w:t>
      </w:r>
      <w:r>
        <w:rPr>
          <w:rFonts w:ascii="Arial" w:eastAsia="仿宋" w:hAnsi="Arial" w:cs="Arial"/>
          <w:sz w:val="28"/>
          <w:szCs w:val="28"/>
        </w:rPr>
        <w:t>）</w:t>
      </w:r>
    </w:p>
    <w:p w14:paraId="0CA2FFCE"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《北京市建设工程计价依据</w:t>
      </w:r>
      <w:r>
        <w:rPr>
          <w:rFonts w:ascii="Arial" w:eastAsia="仿宋" w:hAnsi="Arial" w:cs="Arial"/>
          <w:sz w:val="28"/>
          <w:szCs w:val="28"/>
        </w:rPr>
        <w:t>-</w:t>
      </w:r>
      <w:r>
        <w:rPr>
          <w:rFonts w:ascii="Arial" w:eastAsia="仿宋" w:hAnsi="Arial" w:cs="Arial"/>
          <w:sz w:val="28"/>
          <w:szCs w:val="28"/>
        </w:rPr>
        <w:t>预算定额》（</w:t>
      </w:r>
      <w:r>
        <w:rPr>
          <w:rFonts w:ascii="Arial" w:eastAsia="仿宋" w:hAnsi="Arial" w:cs="Arial"/>
          <w:sz w:val="28"/>
          <w:szCs w:val="28"/>
        </w:rPr>
        <w:t>2012</w:t>
      </w:r>
      <w:r>
        <w:rPr>
          <w:rFonts w:ascii="Arial" w:eastAsia="仿宋" w:hAnsi="Arial" w:cs="Arial"/>
          <w:sz w:val="28"/>
          <w:szCs w:val="28"/>
        </w:rPr>
        <w:t>）及动态调整</w:t>
      </w:r>
    </w:p>
    <w:p w14:paraId="643C3AB4"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《北京工程造价信息》〔北京市建设工程造价管理处定期发布〕</w:t>
      </w:r>
    </w:p>
    <w:p w14:paraId="75A5066C"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lastRenderedPageBreak/>
        <w:t>《北京市统计年鉴》</w:t>
      </w:r>
    </w:p>
    <w:p w14:paraId="56F440D0"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（三）</w:t>
      </w:r>
      <w:r>
        <w:rPr>
          <w:rFonts w:ascii="Arial" w:eastAsia="仿宋" w:hAnsi="Arial" w:cs="Arial"/>
          <w:sz w:val="28"/>
          <w:szCs w:val="28"/>
        </w:rPr>
        <w:t xml:space="preserve"> </w:t>
      </w:r>
      <w:r>
        <w:rPr>
          <w:rFonts w:ascii="Arial" w:eastAsia="仿宋" w:hAnsi="Arial" w:cs="Arial"/>
          <w:sz w:val="28"/>
          <w:szCs w:val="28"/>
        </w:rPr>
        <w:t>委托估价方提供的资料</w:t>
      </w:r>
    </w:p>
    <w:p w14:paraId="736754D5" w14:textId="77777777" w:rsidR="0062768B" w:rsidRDefault="00136729" w:rsidP="00791FE1">
      <w:pPr>
        <w:numPr>
          <w:ilvl w:val="1"/>
          <w:numId w:val="15"/>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《国有建设用地使用权出让地价评估委托书》</w:t>
      </w:r>
    </w:p>
    <w:p w14:paraId="5E2E7772" w14:textId="77777777" w:rsidR="0062768B" w:rsidRDefault="00136729" w:rsidP="00791FE1">
      <w:pPr>
        <w:numPr>
          <w:ilvl w:val="1"/>
          <w:numId w:val="15"/>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《北京市规划和国土资源管理委员会建设项目规划条件（土地储备前期整理）》（</w:t>
      </w:r>
      <w:r>
        <w:rPr>
          <w:rFonts w:ascii="Arial" w:eastAsia="仿宋" w:hAnsi="Arial" w:cs="Arial"/>
          <w:sz w:val="28"/>
          <w:szCs w:val="28"/>
        </w:rPr>
        <w:t>2017</w:t>
      </w:r>
      <w:proofErr w:type="gramStart"/>
      <w:r>
        <w:rPr>
          <w:rFonts w:ascii="Arial" w:eastAsia="仿宋" w:hAnsi="Arial" w:cs="Arial"/>
          <w:sz w:val="28"/>
          <w:szCs w:val="28"/>
        </w:rPr>
        <w:t>规</w:t>
      </w:r>
      <w:proofErr w:type="gramEnd"/>
      <w:r>
        <w:rPr>
          <w:rFonts w:ascii="Arial" w:eastAsia="仿宋" w:hAnsi="Arial" w:cs="Arial"/>
          <w:sz w:val="28"/>
          <w:szCs w:val="28"/>
        </w:rPr>
        <w:t>（顺）条整字</w:t>
      </w:r>
      <w:r>
        <w:rPr>
          <w:rFonts w:ascii="Arial" w:eastAsia="仿宋" w:hAnsi="Arial" w:cs="Arial"/>
          <w:sz w:val="28"/>
          <w:szCs w:val="28"/>
        </w:rPr>
        <w:t>0006</w:t>
      </w:r>
      <w:r>
        <w:rPr>
          <w:rFonts w:ascii="Arial" w:eastAsia="仿宋" w:hAnsi="Arial" w:cs="Arial"/>
          <w:sz w:val="28"/>
          <w:szCs w:val="28"/>
        </w:rPr>
        <w:t>号）复印件</w:t>
      </w:r>
    </w:p>
    <w:p w14:paraId="37A94B39" w14:textId="77777777" w:rsidR="0062768B" w:rsidRDefault="00136729" w:rsidP="00791FE1">
      <w:pPr>
        <w:numPr>
          <w:ilvl w:val="1"/>
          <w:numId w:val="15"/>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《北京市规划和自然资源会员会顺义分局关于顺义区高丽营镇夏县营村棚户区改造土地开发项目调整建设项目规划条件的复函》（京</w:t>
      </w:r>
      <w:proofErr w:type="gramStart"/>
      <w:r>
        <w:rPr>
          <w:rFonts w:ascii="Arial" w:eastAsia="仿宋" w:hAnsi="Arial" w:cs="Arial"/>
          <w:sz w:val="28"/>
          <w:szCs w:val="28"/>
        </w:rPr>
        <w:t>规自顺函【</w:t>
      </w:r>
      <w:r>
        <w:rPr>
          <w:rFonts w:ascii="Arial" w:eastAsia="仿宋" w:hAnsi="Arial" w:cs="Arial"/>
          <w:sz w:val="28"/>
          <w:szCs w:val="28"/>
        </w:rPr>
        <w:t>2019</w:t>
      </w:r>
      <w:r>
        <w:rPr>
          <w:rFonts w:ascii="Arial" w:eastAsia="仿宋" w:hAnsi="Arial" w:cs="Arial"/>
          <w:sz w:val="28"/>
          <w:szCs w:val="28"/>
        </w:rPr>
        <w:t>】</w:t>
      </w:r>
      <w:proofErr w:type="gramEnd"/>
      <w:r>
        <w:rPr>
          <w:rFonts w:ascii="Arial" w:eastAsia="仿宋" w:hAnsi="Arial" w:cs="Arial"/>
          <w:sz w:val="28"/>
          <w:szCs w:val="28"/>
        </w:rPr>
        <w:t>153</w:t>
      </w:r>
      <w:r>
        <w:rPr>
          <w:rFonts w:ascii="Arial" w:eastAsia="仿宋" w:hAnsi="Arial" w:cs="Arial"/>
          <w:sz w:val="28"/>
          <w:szCs w:val="28"/>
        </w:rPr>
        <w:t>号）复印件</w:t>
      </w:r>
    </w:p>
    <w:p w14:paraId="74B79861" w14:textId="77777777" w:rsidR="0062768B" w:rsidRDefault="00136729" w:rsidP="00791FE1">
      <w:pPr>
        <w:numPr>
          <w:ilvl w:val="1"/>
          <w:numId w:val="15"/>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《北京市人民政府关于顺义区二〇二〇年度批次建设用地的批复》</w:t>
      </w:r>
      <w:r>
        <w:rPr>
          <w:rFonts w:ascii="Arial" w:eastAsia="仿宋" w:hAnsi="Arial" w:cs="Arial"/>
          <w:spacing w:val="-6"/>
          <w:sz w:val="28"/>
          <w:szCs w:val="28"/>
        </w:rPr>
        <w:t>（</w:t>
      </w:r>
      <w:proofErr w:type="gramStart"/>
      <w:r>
        <w:rPr>
          <w:rFonts w:ascii="Arial" w:eastAsia="仿宋" w:hAnsi="Arial" w:cs="Arial"/>
          <w:spacing w:val="-6"/>
          <w:sz w:val="28"/>
          <w:szCs w:val="28"/>
        </w:rPr>
        <w:t>京政地字</w:t>
      </w:r>
      <w:proofErr w:type="gramEnd"/>
      <w:r>
        <w:rPr>
          <w:rFonts w:ascii="Arial" w:eastAsia="仿宋" w:hAnsi="Arial" w:cs="Arial"/>
          <w:spacing w:val="-6"/>
          <w:sz w:val="28"/>
          <w:szCs w:val="28"/>
        </w:rPr>
        <w:t>【</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121</w:t>
      </w:r>
      <w:r>
        <w:rPr>
          <w:rFonts w:ascii="Arial" w:eastAsia="仿宋" w:hAnsi="Arial" w:cs="Arial"/>
          <w:spacing w:val="-6"/>
          <w:sz w:val="28"/>
          <w:szCs w:val="28"/>
        </w:rPr>
        <w:t>号）复印件</w:t>
      </w:r>
    </w:p>
    <w:p w14:paraId="425DB6CD" w14:textId="702EBB08" w:rsidR="0062768B" w:rsidRDefault="00791FE1" w:rsidP="00791FE1">
      <w:pPr>
        <w:numPr>
          <w:ilvl w:val="1"/>
          <w:numId w:val="15"/>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《北京市顺义区人民政府关于顺义区高丽营镇夏县营村棚户区改造土地开发项目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地块提请地价审核有关事宜的函》（</w:t>
      </w:r>
      <w:proofErr w:type="gramStart"/>
      <w:r>
        <w:rPr>
          <w:rFonts w:ascii="Arial" w:eastAsia="仿宋" w:hAnsi="Arial" w:cs="Arial"/>
          <w:sz w:val="28"/>
          <w:szCs w:val="28"/>
        </w:rPr>
        <w:t>顺政函</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151</w:t>
      </w:r>
      <w:r>
        <w:rPr>
          <w:rFonts w:ascii="Arial" w:eastAsia="仿宋" w:hAnsi="Arial" w:cs="Arial"/>
          <w:sz w:val="28"/>
          <w:szCs w:val="28"/>
        </w:rPr>
        <w:t>号）</w:t>
      </w:r>
      <w:r w:rsidR="00136729">
        <w:rPr>
          <w:rFonts w:ascii="Arial" w:eastAsia="仿宋" w:hAnsi="Arial" w:cs="Arial"/>
          <w:sz w:val="28"/>
          <w:szCs w:val="28"/>
        </w:rPr>
        <w:t>复印件</w:t>
      </w:r>
    </w:p>
    <w:p w14:paraId="203AB02A" w14:textId="77777777" w:rsidR="0062768B" w:rsidRDefault="00136729" w:rsidP="00791FE1">
      <w:pPr>
        <w:numPr>
          <w:ilvl w:val="1"/>
          <w:numId w:val="15"/>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《北京市规划和自然资源委员会顺义分局关于顺义区高丽营镇夏县营村棚户区改造土地开发项目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01-015-1</w:t>
      </w:r>
      <w:r>
        <w:rPr>
          <w:rFonts w:ascii="Arial" w:eastAsia="仿宋" w:hAnsi="Arial" w:cs="Arial"/>
          <w:sz w:val="28"/>
          <w:szCs w:val="28"/>
        </w:rPr>
        <w:t>、</w:t>
      </w:r>
      <w:r>
        <w:rPr>
          <w:rFonts w:ascii="Arial" w:eastAsia="仿宋" w:hAnsi="Arial" w:cs="Arial"/>
          <w:sz w:val="28"/>
          <w:szCs w:val="28"/>
        </w:rPr>
        <w:t>01-015-2</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w:t>
      </w:r>
      <w:r>
        <w:rPr>
          <w:rFonts w:ascii="Arial" w:eastAsia="仿宋" w:hAnsi="Arial" w:cs="Arial"/>
          <w:sz w:val="28"/>
          <w:szCs w:val="28"/>
        </w:rPr>
        <w:t>01-025</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等二类居住用地、托幼用地、商业用地地块</w:t>
      </w:r>
      <w:r>
        <w:rPr>
          <w:rFonts w:ascii="Arial" w:eastAsia="仿宋" w:hAnsi="Arial" w:cs="Arial"/>
          <w:sz w:val="28"/>
          <w:szCs w:val="28"/>
        </w:rPr>
        <w:t>“</w:t>
      </w:r>
      <w:r>
        <w:rPr>
          <w:rFonts w:ascii="Arial" w:eastAsia="仿宋" w:hAnsi="Arial" w:cs="Arial"/>
          <w:sz w:val="28"/>
          <w:szCs w:val="28"/>
        </w:rPr>
        <w:t>多规合一</w:t>
      </w:r>
      <w:r>
        <w:rPr>
          <w:rFonts w:ascii="Arial" w:eastAsia="仿宋" w:hAnsi="Arial" w:cs="Arial"/>
          <w:sz w:val="28"/>
          <w:szCs w:val="28"/>
        </w:rPr>
        <w:t>”</w:t>
      </w:r>
      <w:r>
        <w:rPr>
          <w:rFonts w:ascii="Arial" w:eastAsia="仿宋" w:hAnsi="Arial" w:cs="Arial"/>
          <w:sz w:val="28"/>
          <w:szCs w:val="28"/>
        </w:rPr>
        <w:t>协同平台供地审核意见的函》（京</w:t>
      </w:r>
      <w:proofErr w:type="gramStart"/>
      <w:r>
        <w:rPr>
          <w:rFonts w:ascii="Arial" w:eastAsia="仿宋" w:hAnsi="Arial" w:cs="Arial"/>
          <w:sz w:val="28"/>
          <w:szCs w:val="28"/>
        </w:rPr>
        <w:t>规</w:t>
      </w:r>
      <w:proofErr w:type="gramEnd"/>
      <w:r>
        <w:rPr>
          <w:rFonts w:ascii="Arial" w:eastAsia="仿宋" w:hAnsi="Arial" w:cs="Arial"/>
          <w:sz w:val="28"/>
          <w:szCs w:val="28"/>
        </w:rPr>
        <w:t>自（顺）</w:t>
      </w:r>
      <w:proofErr w:type="gramStart"/>
      <w:r>
        <w:rPr>
          <w:rFonts w:ascii="Arial" w:eastAsia="仿宋" w:hAnsi="Arial" w:cs="Arial"/>
          <w:sz w:val="28"/>
          <w:szCs w:val="28"/>
        </w:rPr>
        <w:t>供审函</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0004</w:t>
      </w:r>
      <w:r>
        <w:rPr>
          <w:rFonts w:ascii="Arial" w:eastAsia="仿宋" w:hAnsi="Arial" w:cs="Arial"/>
          <w:sz w:val="28"/>
          <w:szCs w:val="28"/>
        </w:rPr>
        <w:t>号）及规划意见附图复印件</w:t>
      </w:r>
    </w:p>
    <w:p w14:paraId="0684FEFF" w14:textId="77777777" w:rsidR="0062768B" w:rsidRDefault="00136729" w:rsidP="00791FE1">
      <w:pPr>
        <w:numPr>
          <w:ilvl w:val="1"/>
          <w:numId w:val="15"/>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《建设工程规划用地测量成果报告书》（</w:t>
      </w:r>
      <w:r>
        <w:rPr>
          <w:rFonts w:ascii="Arial" w:eastAsia="仿宋" w:hAnsi="Arial" w:cs="Arial"/>
          <w:sz w:val="28"/>
          <w:szCs w:val="28"/>
        </w:rPr>
        <w:t>2021</w:t>
      </w:r>
      <w:proofErr w:type="gramStart"/>
      <w:r>
        <w:rPr>
          <w:rFonts w:ascii="Arial" w:eastAsia="仿宋" w:hAnsi="Arial" w:cs="Arial"/>
          <w:sz w:val="28"/>
          <w:szCs w:val="28"/>
        </w:rPr>
        <w:t>规</w:t>
      </w:r>
      <w:proofErr w:type="gramEnd"/>
      <w:r>
        <w:rPr>
          <w:rFonts w:ascii="Arial" w:eastAsia="仿宋" w:hAnsi="Arial" w:cs="Arial"/>
          <w:sz w:val="28"/>
          <w:szCs w:val="28"/>
        </w:rPr>
        <w:t>自（顺）测字</w:t>
      </w:r>
      <w:r>
        <w:rPr>
          <w:rFonts w:ascii="Arial" w:eastAsia="仿宋" w:hAnsi="Arial" w:cs="Arial"/>
          <w:sz w:val="28"/>
          <w:szCs w:val="28"/>
        </w:rPr>
        <w:t>0008</w:t>
      </w:r>
      <w:r>
        <w:rPr>
          <w:rFonts w:ascii="Arial" w:eastAsia="仿宋" w:hAnsi="Arial" w:cs="Arial"/>
          <w:sz w:val="28"/>
          <w:szCs w:val="28"/>
        </w:rPr>
        <w:t>号）复印件</w:t>
      </w:r>
    </w:p>
    <w:p w14:paraId="373737E8" w14:textId="77777777" w:rsidR="0062768B" w:rsidRDefault="00136729" w:rsidP="00791FE1">
      <w:pPr>
        <w:numPr>
          <w:ilvl w:val="1"/>
          <w:numId w:val="15"/>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地块实物补偿内容的说明》复印件</w:t>
      </w:r>
    </w:p>
    <w:p w14:paraId="5C688CC1" w14:textId="77777777" w:rsidR="0062768B" w:rsidRDefault="00136729" w:rsidP="00791FE1">
      <w:pPr>
        <w:numPr>
          <w:ilvl w:val="1"/>
          <w:numId w:val="15"/>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地块市政条件的说明》复印件</w:t>
      </w:r>
    </w:p>
    <w:p w14:paraId="31ECC146"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（四）受托估价方掌握的有关资料和土地估价专业评估师实地勘察、调查所获取的资料</w:t>
      </w:r>
    </w:p>
    <w:p w14:paraId="62BF6941"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估价对象所在位置示意图</w:t>
      </w:r>
    </w:p>
    <w:p w14:paraId="6435BFBF"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估价对象实地勘察相关照片</w:t>
      </w:r>
    </w:p>
    <w:p w14:paraId="7D09FA1E"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区域因素及个别因素状况等资料</w:t>
      </w:r>
    </w:p>
    <w:p w14:paraId="02CD5B25" w14:textId="77777777" w:rsidR="0062768B" w:rsidRDefault="00136729">
      <w:pPr>
        <w:spacing w:line="300" w:lineRule="auto"/>
        <w:ind w:firstLineChars="202" w:firstLine="566"/>
        <w:jc w:val="both"/>
        <w:rPr>
          <w:rFonts w:ascii="Arial" w:eastAsia="仿宋_GB2312" w:hAnsi="Arial" w:cs="Arial"/>
          <w:sz w:val="28"/>
        </w:rPr>
      </w:pPr>
      <w:r>
        <w:rPr>
          <w:rFonts w:ascii="Arial" w:eastAsia="仿宋" w:hAnsi="Arial" w:cs="Arial"/>
          <w:sz w:val="28"/>
          <w:szCs w:val="28"/>
        </w:rPr>
        <w:t>4.</w:t>
      </w:r>
      <w:r>
        <w:rPr>
          <w:rFonts w:ascii="Arial" w:eastAsia="仿宋" w:hAnsi="Arial" w:cs="Arial"/>
          <w:sz w:val="28"/>
          <w:szCs w:val="28"/>
        </w:rPr>
        <w:t>土地估价专业评估师现场调查收集的其他相关资</w:t>
      </w:r>
      <w:r>
        <w:rPr>
          <w:rFonts w:ascii="Arial" w:eastAsia="仿宋_GB2312" w:hAnsi="Arial" w:cs="Arial"/>
          <w:sz w:val="28"/>
        </w:rPr>
        <w:t>料</w:t>
      </w:r>
    </w:p>
    <w:p w14:paraId="1B2E52DD" w14:textId="77777777" w:rsidR="0062768B" w:rsidRDefault="0062768B">
      <w:pPr>
        <w:spacing w:line="300" w:lineRule="auto"/>
        <w:ind w:firstLineChars="200" w:firstLine="562"/>
        <w:jc w:val="both"/>
        <w:rPr>
          <w:rFonts w:ascii="Arial" w:eastAsia="仿宋_GB2312" w:hAnsi="Arial" w:cs="Arial"/>
          <w:b/>
          <w:sz w:val="28"/>
        </w:rPr>
      </w:pPr>
    </w:p>
    <w:p w14:paraId="5B2DB982" w14:textId="77777777" w:rsidR="0062768B" w:rsidRDefault="00136729">
      <w:pPr>
        <w:spacing w:line="300" w:lineRule="auto"/>
        <w:outlineLvl w:val="1"/>
        <w:rPr>
          <w:rFonts w:ascii="Arial" w:eastAsia="仿宋_GB2312" w:hAnsi="Arial" w:cs="Arial"/>
          <w:b/>
          <w:sz w:val="28"/>
        </w:rPr>
      </w:pPr>
      <w:bookmarkStart w:id="261" w:name="_Toc138063016"/>
      <w:bookmarkStart w:id="262" w:name="_Toc132016628"/>
      <w:bookmarkStart w:id="263" w:name="_Toc132016745"/>
      <w:r>
        <w:rPr>
          <w:rFonts w:ascii="Arial" w:eastAsia="仿宋_GB2312" w:hAnsi="Arial" w:cs="Arial"/>
          <w:b/>
          <w:sz w:val="28"/>
        </w:rPr>
        <w:lastRenderedPageBreak/>
        <w:t>六、估价期日</w:t>
      </w:r>
      <w:bookmarkEnd w:id="256"/>
      <w:bookmarkEnd w:id="257"/>
      <w:bookmarkEnd w:id="258"/>
      <w:bookmarkEnd w:id="261"/>
      <w:bookmarkEnd w:id="262"/>
      <w:bookmarkEnd w:id="263"/>
    </w:p>
    <w:bookmarkEnd w:id="259"/>
    <w:bookmarkEnd w:id="260"/>
    <w:p w14:paraId="04329D2D" w14:textId="77777777" w:rsidR="0062768B" w:rsidRDefault="00550FB0">
      <w:pPr>
        <w:spacing w:line="30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6</w:t>
      </w:r>
      <w:r>
        <w:rPr>
          <w:rFonts w:ascii="Arial" w:eastAsia="仿宋_GB2312" w:hAnsi="Arial" w:cs="Arial"/>
          <w:sz w:val="28"/>
        </w:rPr>
        <w:t>月</w:t>
      </w:r>
      <w:r>
        <w:rPr>
          <w:rFonts w:ascii="Arial" w:eastAsia="仿宋_GB2312" w:hAnsi="Arial" w:cs="Arial"/>
          <w:sz w:val="28"/>
        </w:rPr>
        <w:t>20</w:t>
      </w:r>
      <w:r>
        <w:rPr>
          <w:rFonts w:ascii="Arial" w:eastAsia="仿宋_GB2312" w:hAnsi="Arial" w:cs="Arial"/>
          <w:sz w:val="28"/>
        </w:rPr>
        <w:t>日</w:t>
      </w:r>
      <w:r w:rsidR="00136729">
        <w:rPr>
          <w:rFonts w:ascii="Arial" w:eastAsia="仿宋_GB2312" w:hAnsi="Arial" w:cs="Arial"/>
          <w:sz w:val="28"/>
        </w:rPr>
        <w:t>（</w:t>
      </w:r>
      <w:r w:rsidR="00136729">
        <w:rPr>
          <w:rFonts w:ascii="Arial" w:eastAsia="仿宋_GB2312" w:hAnsi="Arial" w:cs="Arial"/>
          <w:sz w:val="28"/>
          <w:szCs w:val="28"/>
        </w:rPr>
        <w:t>根据《国有建设用地使用权出让地价评估委托书》确定</w:t>
      </w:r>
      <w:r w:rsidR="00136729">
        <w:rPr>
          <w:rFonts w:ascii="Arial" w:eastAsia="仿宋_GB2312" w:hAnsi="Arial" w:cs="Arial"/>
          <w:sz w:val="28"/>
        </w:rPr>
        <w:t>）</w:t>
      </w:r>
    </w:p>
    <w:p w14:paraId="24C47EDF" w14:textId="77777777" w:rsidR="0062768B" w:rsidRDefault="0062768B">
      <w:pPr>
        <w:spacing w:line="300" w:lineRule="auto"/>
        <w:ind w:firstLineChars="200" w:firstLine="560"/>
        <w:jc w:val="both"/>
        <w:rPr>
          <w:rFonts w:ascii="Arial" w:eastAsia="仿宋_GB2312" w:hAnsi="Arial" w:cs="Arial"/>
          <w:sz w:val="28"/>
        </w:rPr>
      </w:pPr>
    </w:p>
    <w:p w14:paraId="2143FB58" w14:textId="77777777" w:rsidR="0062768B" w:rsidRDefault="00136729">
      <w:pPr>
        <w:spacing w:line="300" w:lineRule="auto"/>
        <w:outlineLvl w:val="1"/>
        <w:rPr>
          <w:rFonts w:ascii="Arial" w:eastAsia="仿宋_GB2312" w:hAnsi="Arial" w:cs="Arial"/>
          <w:b/>
          <w:bCs/>
          <w:sz w:val="28"/>
        </w:rPr>
      </w:pPr>
      <w:bookmarkStart w:id="264" w:name="_Toc132016746"/>
      <w:bookmarkStart w:id="265" w:name="_Toc138063017"/>
      <w:bookmarkStart w:id="266" w:name="_Toc516488186"/>
      <w:bookmarkStart w:id="267" w:name="_Toc132016629"/>
      <w:bookmarkStart w:id="268" w:name="_Toc469066156"/>
      <w:bookmarkStart w:id="269" w:name="_Toc515457808"/>
      <w:bookmarkStart w:id="270" w:name="_Toc416783575"/>
      <w:bookmarkStart w:id="271" w:name="_Toc416783671"/>
      <w:r>
        <w:rPr>
          <w:rFonts w:ascii="Arial" w:eastAsia="仿宋_GB2312" w:hAnsi="Arial" w:cs="Arial"/>
          <w:b/>
          <w:bCs/>
          <w:sz w:val="28"/>
        </w:rPr>
        <w:t>七、估价日期</w:t>
      </w:r>
      <w:bookmarkEnd w:id="264"/>
      <w:bookmarkEnd w:id="265"/>
      <w:bookmarkEnd w:id="266"/>
      <w:bookmarkEnd w:id="267"/>
      <w:bookmarkEnd w:id="268"/>
      <w:bookmarkEnd w:id="269"/>
    </w:p>
    <w:bookmarkEnd w:id="270"/>
    <w:bookmarkEnd w:id="271"/>
    <w:p w14:paraId="480E19A3" w14:textId="2B922226" w:rsidR="0062768B" w:rsidRDefault="00136729">
      <w:pPr>
        <w:spacing w:line="300" w:lineRule="auto"/>
        <w:ind w:firstLineChars="200" w:firstLine="560"/>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6</w:t>
      </w:r>
      <w:r>
        <w:rPr>
          <w:rFonts w:ascii="Arial" w:eastAsia="仿宋_GB2312" w:hAnsi="Arial" w:cs="Arial"/>
          <w:sz w:val="28"/>
        </w:rPr>
        <w:t>日至</w:t>
      </w:r>
      <w:r w:rsidR="00036F92">
        <w:rPr>
          <w:rFonts w:ascii="Arial" w:eastAsia="仿宋_GB2312" w:hAnsi="Arial" w:cs="Arial"/>
          <w:sz w:val="28"/>
        </w:rPr>
        <w:t>2023</w:t>
      </w:r>
      <w:r w:rsidR="00036F92">
        <w:rPr>
          <w:rFonts w:ascii="Arial" w:eastAsia="仿宋_GB2312" w:hAnsi="Arial" w:cs="Arial"/>
          <w:sz w:val="28"/>
        </w:rPr>
        <w:t>年</w:t>
      </w:r>
      <w:r w:rsidR="00036F92">
        <w:rPr>
          <w:rFonts w:ascii="Arial" w:eastAsia="仿宋_GB2312" w:hAnsi="Arial" w:cs="Arial"/>
          <w:sz w:val="28"/>
        </w:rPr>
        <w:t>6</w:t>
      </w:r>
      <w:r w:rsidR="00036F92">
        <w:rPr>
          <w:rFonts w:ascii="Arial" w:eastAsia="仿宋_GB2312" w:hAnsi="Arial" w:cs="Arial"/>
          <w:sz w:val="28"/>
        </w:rPr>
        <w:t>月</w:t>
      </w:r>
      <w:r w:rsidR="00036F92">
        <w:rPr>
          <w:rFonts w:ascii="Arial" w:eastAsia="仿宋_GB2312" w:hAnsi="Arial" w:cs="Arial"/>
          <w:sz w:val="28"/>
        </w:rPr>
        <w:t>27</w:t>
      </w:r>
      <w:r w:rsidR="00036F92">
        <w:rPr>
          <w:rFonts w:ascii="Arial" w:eastAsia="仿宋_GB2312" w:hAnsi="Arial" w:cs="Arial"/>
          <w:sz w:val="28"/>
        </w:rPr>
        <w:t>日</w:t>
      </w:r>
    </w:p>
    <w:p w14:paraId="5FFA64AB" w14:textId="77777777" w:rsidR="0062768B" w:rsidRDefault="0062768B">
      <w:pPr>
        <w:spacing w:line="300" w:lineRule="auto"/>
        <w:ind w:firstLineChars="200" w:firstLine="560"/>
        <w:rPr>
          <w:rFonts w:ascii="Arial" w:eastAsia="仿宋_GB2312" w:hAnsi="Arial" w:cs="Arial"/>
          <w:sz w:val="28"/>
        </w:rPr>
      </w:pPr>
    </w:p>
    <w:p w14:paraId="23F4E7E3" w14:textId="77777777" w:rsidR="0062768B" w:rsidRDefault="00136729">
      <w:pPr>
        <w:pStyle w:val="30"/>
        <w:spacing w:line="300" w:lineRule="auto"/>
        <w:ind w:left="1405" w:hangingChars="500" w:hanging="1405"/>
        <w:jc w:val="left"/>
        <w:outlineLvl w:val="1"/>
        <w:rPr>
          <w:rFonts w:ascii="Arial" w:eastAsia="仿宋_GB2312" w:cs="Arial"/>
          <w:b/>
          <w:bCs/>
          <w:sz w:val="28"/>
        </w:rPr>
      </w:pPr>
      <w:bookmarkStart w:id="272" w:name="_Toc469066157"/>
      <w:bookmarkStart w:id="273" w:name="_Toc515457809"/>
      <w:bookmarkStart w:id="274" w:name="_Toc516488187"/>
      <w:bookmarkStart w:id="275" w:name="_Toc132016630"/>
      <w:bookmarkStart w:id="276" w:name="_Toc132016747"/>
      <w:bookmarkStart w:id="277" w:name="_Toc138063018"/>
      <w:r>
        <w:rPr>
          <w:rFonts w:ascii="Arial" w:eastAsia="仿宋_GB2312" w:cs="Arial"/>
          <w:b/>
          <w:bCs/>
          <w:sz w:val="28"/>
        </w:rPr>
        <w:t>八、地价定义</w:t>
      </w:r>
      <w:bookmarkEnd w:id="272"/>
      <w:bookmarkEnd w:id="273"/>
      <w:bookmarkEnd w:id="274"/>
      <w:bookmarkEnd w:id="275"/>
      <w:bookmarkEnd w:id="276"/>
      <w:bookmarkEnd w:id="277"/>
    </w:p>
    <w:p w14:paraId="0570BB4C" w14:textId="77777777" w:rsidR="0062768B" w:rsidRDefault="00136729">
      <w:pPr>
        <w:adjustRightInd/>
        <w:spacing w:line="300" w:lineRule="auto"/>
        <w:ind w:firstLineChars="200" w:firstLine="560"/>
        <w:rPr>
          <w:rFonts w:ascii="Arial" w:eastAsia="仿宋" w:hAnsi="Arial" w:cs="Arial"/>
          <w:sz w:val="28"/>
        </w:rPr>
      </w:pPr>
      <w:r>
        <w:rPr>
          <w:rFonts w:ascii="Arial" w:eastAsia="仿宋" w:hAnsi="Arial" w:cs="Arial"/>
          <w:sz w:val="28"/>
        </w:rPr>
        <w:t>土地估价专业评估师根据地价评估的技术规程、方法和项目的具体要求，参照正常市场价格水平，评估拟出让宗地国有建设用地使用权价格。</w:t>
      </w:r>
    </w:p>
    <w:p w14:paraId="50CDFF31" w14:textId="77777777" w:rsidR="0062768B" w:rsidRDefault="00136729">
      <w:pPr>
        <w:adjustRightInd/>
        <w:spacing w:line="300" w:lineRule="auto"/>
        <w:ind w:firstLineChars="200" w:firstLine="560"/>
        <w:rPr>
          <w:rFonts w:ascii="Arial" w:eastAsia="仿宋" w:hAnsi="Arial" w:cs="Arial"/>
          <w:sz w:val="28"/>
        </w:rPr>
      </w:pPr>
      <w:r>
        <w:rPr>
          <w:rFonts w:ascii="Arial" w:eastAsia="仿宋" w:hAnsi="Arial" w:cs="Arial"/>
          <w:sz w:val="28"/>
        </w:rPr>
        <w:t>此次评估的价格包括熟地价、政府土地出让收益、土地开发成本。</w:t>
      </w:r>
    </w:p>
    <w:p w14:paraId="09C3D791"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熟地价是在公开市场条件下形成的客观合理价格，即估价对象在设定土地用途、土地使用权性质、开发程度、使用年期及规划利用条件下，于估价期日的出让国有建设用地使用权价格。</w:t>
      </w:r>
    </w:p>
    <w:p w14:paraId="39318435"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政府土地出让收益是指以规划用途办理国有建设用地使用权出让手续时应向政府缴纳的地价款。</w:t>
      </w:r>
    </w:p>
    <w:p w14:paraId="3BA9B760"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根据《城镇土地估价规程》（</w:t>
      </w:r>
      <w:r>
        <w:rPr>
          <w:rFonts w:ascii="Arial" w:eastAsia="仿宋" w:hAnsi="Arial" w:cs="Arial"/>
          <w:sz w:val="28"/>
        </w:rPr>
        <w:t>GB/T 18508-2014</w:t>
      </w:r>
      <w:r>
        <w:rPr>
          <w:rFonts w:ascii="Arial" w:eastAsia="仿宋" w:hAnsi="Arial" w:cs="Arial"/>
          <w:sz w:val="28"/>
        </w:rPr>
        <w:t>），对有关事项做出以下设定：</w:t>
      </w:r>
    </w:p>
    <w:p w14:paraId="78ECBAB5" w14:textId="77777777" w:rsidR="0062768B" w:rsidRDefault="00136729" w:rsidP="00791FE1">
      <w:pPr>
        <w:pStyle w:val="-320"/>
        <w:numPr>
          <w:ilvl w:val="0"/>
          <w:numId w:val="16"/>
        </w:numPr>
        <w:adjustRightInd/>
        <w:spacing w:line="300" w:lineRule="auto"/>
        <w:ind w:firstLineChars="0"/>
        <w:jc w:val="both"/>
        <w:textAlignment w:val="auto"/>
        <w:rPr>
          <w:rFonts w:ascii="Arial" w:eastAsia="仿宋" w:hAnsi="Arial" w:cs="Arial"/>
          <w:sz w:val="28"/>
        </w:rPr>
      </w:pPr>
      <w:r>
        <w:rPr>
          <w:rFonts w:ascii="Arial" w:eastAsia="仿宋" w:hAnsi="Arial" w:cs="Arial"/>
          <w:sz w:val="28"/>
        </w:rPr>
        <w:t>土地用途设定：</w:t>
      </w:r>
    </w:p>
    <w:p w14:paraId="2CC3B3FB"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szCs w:val="28"/>
        </w:rPr>
        <w:t>根据《北京市规划和自然资源委员会顺义分局关于顺义区高丽营镇夏县营村棚户区改造土地开发项目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01-015-1</w:t>
      </w:r>
      <w:r>
        <w:rPr>
          <w:rFonts w:ascii="Arial" w:eastAsia="仿宋" w:hAnsi="Arial" w:cs="Arial"/>
          <w:sz w:val="28"/>
          <w:szCs w:val="28"/>
        </w:rPr>
        <w:t>、</w:t>
      </w:r>
      <w:r>
        <w:rPr>
          <w:rFonts w:ascii="Arial" w:eastAsia="仿宋" w:hAnsi="Arial" w:cs="Arial"/>
          <w:sz w:val="28"/>
          <w:szCs w:val="28"/>
        </w:rPr>
        <w:t>01-015-2</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w:t>
      </w:r>
      <w:r>
        <w:rPr>
          <w:rFonts w:ascii="Arial" w:eastAsia="仿宋" w:hAnsi="Arial" w:cs="Arial"/>
          <w:sz w:val="28"/>
          <w:szCs w:val="28"/>
        </w:rPr>
        <w:t>01-025</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等二类居住用地、托幼用地、商业用地地块</w:t>
      </w:r>
      <w:r>
        <w:rPr>
          <w:rFonts w:ascii="Arial" w:eastAsia="仿宋" w:hAnsi="Arial" w:cs="Arial"/>
          <w:sz w:val="28"/>
          <w:szCs w:val="28"/>
        </w:rPr>
        <w:t>“</w:t>
      </w:r>
      <w:r>
        <w:rPr>
          <w:rFonts w:ascii="Arial" w:eastAsia="仿宋" w:hAnsi="Arial" w:cs="Arial"/>
          <w:sz w:val="28"/>
          <w:szCs w:val="28"/>
        </w:rPr>
        <w:t>多规合一</w:t>
      </w:r>
      <w:r>
        <w:rPr>
          <w:rFonts w:ascii="Arial" w:eastAsia="仿宋" w:hAnsi="Arial" w:cs="Arial"/>
          <w:sz w:val="28"/>
          <w:szCs w:val="28"/>
        </w:rPr>
        <w:t>”</w:t>
      </w:r>
      <w:r>
        <w:rPr>
          <w:rFonts w:ascii="Arial" w:eastAsia="仿宋" w:hAnsi="Arial" w:cs="Arial"/>
          <w:sz w:val="28"/>
          <w:szCs w:val="28"/>
        </w:rPr>
        <w:t>协同平台供地审核意见的函》（京</w:t>
      </w:r>
      <w:proofErr w:type="gramStart"/>
      <w:r>
        <w:rPr>
          <w:rFonts w:ascii="Arial" w:eastAsia="仿宋" w:hAnsi="Arial" w:cs="Arial"/>
          <w:sz w:val="28"/>
          <w:szCs w:val="28"/>
        </w:rPr>
        <w:t>规</w:t>
      </w:r>
      <w:proofErr w:type="gramEnd"/>
      <w:r>
        <w:rPr>
          <w:rFonts w:ascii="Arial" w:eastAsia="仿宋" w:hAnsi="Arial" w:cs="Arial"/>
          <w:sz w:val="28"/>
          <w:szCs w:val="28"/>
        </w:rPr>
        <w:t>自（顺）</w:t>
      </w:r>
      <w:proofErr w:type="gramStart"/>
      <w:r>
        <w:rPr>
          <w:rFonts w:ascii="Arial" w:eastAsia="仿宋" w:hAnsi="Arial" w:cs="Arial"/>
          <w:sz w:val="28"/>
          <w:szCs w:val="28"/>
        </w:rPr>
        <w:t>供审函</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0004</w:t>
      </w:r>
      <w:r>
        <w:rPr>
          <w:rFonts w:ascii="Arial" w:eastAsia="仿宋" w:hAnsi="Arial" w:cs="Arial"/>
          <w:sz w:val="28"/>
          <w:szCs w:val="28"/>
        </w:rPr>
        <w:t>号）</w:t>
      </w:r>
      <w:r>
        <w:rPr>
          <w:rFonts w:ascii="Arial" w:eastAsia="仿宋" w:hAnsi="Arial" w:cs="Arial"/>
          <w:sz w:val="28"/>
          <w:szCs w:val="28"/>
        </w:rPr>
        <w:t>,</w:t>
      </w:r>
      <w:r>
        <w:rPr>
          <w:rFonts w:ascii="Arial" w:eastAsia="仿宋" w:hAnsi="Arial" w:cs="Arial"/>
          <w:sz w:val="28"/>
        </w:rPr>
        <w:t>估价对象规划用途为</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类居住用地及</w:t>
      </w:r>
      <w:r>
        <w:rPr>
          <w:rFonts w:ascii="Arial" w:eastAsia="仿宋" w:hAnsi="Arial" w:cs="Arial"/>
          <w:sz w:val="28"/>
        </w:rPr>
        <w:t>A334</w:t>
      </w:r>
      <w:r>
        <w:rPr>
          <w:rFonts w:ascii="Arial" w:eastAsia="仿宋" w:hAnsi="Arial" w:cs="Arial"/>
          <w:sz w:val="28"/>
        </w:rPr>
        <w:t>托幼用地，其中</w:t>
      </w:r>
      <w:r>
        <w:rPr>
          <w:rFonts w:ascii="Arial" w:eastAsia="仿宋" w:hAnsi="Arial" w:cs="Arial"/>
          <w:sz w:val="28"/>
        </w:rPr>
        <w:t>A334</w:t>
      </w:r>
      <w:r>
        <w:rPr>
          <w:rFonts w:ascii="Arial" w:eastAsia="仿宋" w:hAnsi="Arial" w:cs="Arial"/>
          <w:sz w:val="28"/>
        </w:rPr>
        <w:t>托幼用地不出让。</w:t>
      </w:r>
      <w:r>
        <w:rPr>
          <w:rFonts w:ascii="Arial" w:eastAsia="仿宋" w:hAnsi="Arial" w:cs="Arial"/>
          <w:sz w:val="28"/>
          <w:szCs w:val="28"/>
        </w:rPr>
        <w:t>根据《北京市城乡规划与土地利用用地分类对应指南（试行）》（市规划国土发（</w:t>
      </w:r>
      <w:r>
        <w:rPr>
          <w:rFonts w:ascii="Arial" w:eastAsia="仿宋" w:hAnsi="Arial" w:cs="Arial"/>
          <w:sz w:val="28"/>
          <w:szCs w:val="28"/>
        </w:rPr>
        <w:t>2017</w:t>
      </w:r>
      <w:r>
        <w:rPr>
          <w:rFonts w:ascii="Arial" w:eastAsia="仿宋" w:hAnsi="Arial" w:cs="Arial"/>
          <w:sz w:val="28"/>
          <w:szCs w:val="28"/>
        </w:rPr>
        <w:t>）</w:t>
      </w:r>
      <w:r>
        <w:rPr>
          <w:rFonts w:ascii="Arial" w:eastAsia="仿宋" w:hAnsi="Arial" w:cs="Arial"/>
          <w:sz w:val="28"/>
          <w:szCs w:val="28"/>
        </w:rPr>
        <w:t>316</w:t>
      </w:r>
      <w:r>
        <w:rPr>
          <w:rFonts w:ascii="Arial" w:eastAsia="仿宋" w:hAnsi="Arial" w:cs="Arial"/>
          <w:sz w:val="28"/>
          <w:szCs w:val="28"/>
        </w:rPr>
        <w:t>号），</w:t>
      </w:r>
      <w:r>
        <w:rPr>
          <w:rFonts w:ascii="Arial" w:eastAsia="仿宋" w:hAnsi="Arial" w:cs="Arial"/>
          <w:sz w:val="28"/>
          <w:szCs w:val="28"/>
        </w:rPr>
        <w:t>R2</w:t>
      </w:r>
      <w:proofErr w:type="gramStart"/>
      <w:r>
        <w:rPr>
          <w:rFonts w:ascii="Arial" w:eastAsia="仿宋" w:hAnsi="Arial" w:cs="Arial"/>
          <w:sz w:val="28"/>
          <w:szCs w:val="28"/>
        </w:rPr>
        <w:t>二</w:t>
      </w:r>
      <w:proofErr w:type="gramEnd"/>
      <w:r>
        <w:rPr>
          <w:rFonts w:ascii="Arial" w:eastAsia="仿宋" w:hAnsi="Arial" w:cs="Arial"/>
          <w:sz w:val="28"/>
          <w:szCs w:val="28"/>
        </w:rPr>
        <w:t>类居住用地是设施较齐全、环境良好、以多中高层住宅为主用地，可对应土地利用现状分类城镇住宅用地（指城镇用于生活居住的各类房屋用地及附属设施用地）。结合《自然资源部办公厅关于印发〈国土空间调查、规划、用途管制用地用海分类指南（试行）〉的办通知》（自然资办（</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号）、《土地利用现状分类》（</w:t>
      </w:r>
      <w:r>
        <w:rPr>
          <w:rFonts w:ascii="Arial" w:eastAsia="仿宋" w:hAnsi="Arial" w:cs="Arial"/>
          <w:sz w:val="28"/>
          <w:szCs w:val="28"/>
        </w:rPr>
        <w:t>GB/T21010-2017</w:t>
      </w:r>
      <w:r>
        <w:rPr>
          <w:rFonts w:ascii="Arial" w:eastAsia="仿宋" w:hAnsi="Arial" w:cs="Arial"/>
          <w:sz w:val="28"/>
          <w:szCs w:val="28"/>
        </w:rPr>
        <w:t>）、《北京市人民政府关于更</w:t>
      </w:r>
      <w:r>
        <w:rPr>
          <w:rFonts w:ascii="Arial" w:eastAsia="仿宋" w:hAnsi="Arial" w:cs="Arial"/>
          <w:sz w:val="28"/>
          <w:szCs w:val="28"/>
        </w:rPr>
        <w:lastRenderedPageBreak/>
        <w:t>新出让国有建设用地使用权基准地价的通知》（京政发（</w:t>
      </w:r>
      <w:r>
        <w:rPr>
          <w:rFonts w:ascii="Arial" w:eastAsia="仿宋" w:hAnsi="Arial" w:cs="Arial"/>
          <w:sz w:val="28"/>
          <w:szCs w:val="28"/>
        </w:rPr>
        <w:t>2022</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号），按照《北京市国有建设用地使用权出让地价评估技术导则（试行）》（</w:t>
      </w:r>
      <w:proofErr w:type="gramStart"/>
      <w:r>
        <w:rPr>
          <w:rFonts w:ascii="Arial" w:eastAsia="仿宋" w:hAnsi="Arial" w:cs="Arial"/>
          <w:sz w:val="28"/>
          <w:szCs w:val="28"/>
        </w:rPr>
        <w:t>北估秘</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001</w:t>
      </w:r>
      <w:r>
        <w:rPr>
          <w:rFonts w:ascii="Arial" w:eastAsia="仿宋" w:hAnsi="Arial" w:cs="Arial"/>
          <w:sz w:val="28"/>
          <w:szCs w:val="28"/>
        </w:rPr>
        <w:t>）规定</w:t>
      </w:r>
      <w:r>
        <w:rPr>
          <w:rFonts w:ascii="Arial" w:eastAsia="仿宋" w:hAnsi="Arial" w:cs="Arial"/>
          <w:sz w:val="28"/>
        </w:rPr>
        <w:t>，为满足</w:t>
      </w:r>
      <w:proofErr w:type="gramStart"/>
      <w:r>
        <w:rPr>
          <w:rFonts w:ascii="Arial" w:eastAsia="仿宋" w:hAnsi="Arial" w:cs="Arial"/>
          <w:sz w:val="28"/>
        </w:rPr>
        <w:t>招拍挂</w:t>
      </w:r>
      <w:proofErr w:type="gramEnd"/>
      <w:r>
        <w:rPr>
          <w:rFonts w:ascii="Arial" w:eastAsia="仿宋" w:hAnsi="Arial" w:cs="Arial"/>
          <w:sz w:val="28"/>
        </w:rPr>
        <w:t>出让地价管理的需要，需评估住宅、商业（其他商服）及公共服务</w:t>
      </w:r>
      <w:r>
        <w:rPr>
          <w:rFonts w:ascii="Arial" w:eastAsia="仿宋" w:hAnsi="Arial" w:cs="Arial"/>
          <w:sz w:val="28"/>
        </w:rPr>
        <w:t>3</w:t>
      </w:r>
      <w:r>
        <w:rPr>
          <w:rFonts w:ascii="Arial" w:eastAsia="仿宋" w:hAnsi="Arial" w:cs="Arial"/>
          <w:sz w:val="28"/>
        </w:rPr>
        <w:t>个用途的熟地价楼面单价、政府土地出让收益楼面单价。故评估设定用途为住宅、商业（其他商服）及公共服务。</w:t>
      </w:r>
    </w:p>
    <w:p w14:paraId="6ADC7255" w14:textId="77777777" w:rsidR="0062768B" w:rsidRDefault="00136729" w:rsidP="00791FE1">
      <w:pPr>
        <w:pStyle w:val="-320"/>
        <w:numPr>
          <w:ilvl w:val="0"/>
          <w:numId w:val="16"/>
        </w:numPr>
        <w:adjustRightInd/>
        <w:spacing w:line="300" w:lineRule="auto"/>
        <w:ind w:left="0" w:firstLine="560"/>
        <w:jc w:val="both"/>
        <w:textAlignment w:val="auto"/>
        <w:rPr>
          <w:rFonts w:ascii="Arial" w:eastAsia="仿宋" w:hAnsi="Arial" w:cs="Arial"/>
          <w:sz w:val="28"/>
        </w:rPr>
      </w:pPr>
      <w:r>
        <w:rPr>
          <w:rFonts w:ascii="Arial" w:eastAsia="仿宋" w:hAnsi="Arial" w:cs="Arial"/>
          <w:sz w:val="28"/>
        </w:rPr>
        <w:t>土地使用权性质：</w:t>
      </w:r>
    </w:p>
    <w:p w14:paraId="261B1207"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根据《北京市人民政府关于顺义区二〇二〇年度批次建设用地的批复》（</w:t>
      </w:r>
      <w:proofErr w:type="gramStart"/>
      <w:r>
        <w:rPr>
          <w:rFonts w:ascii="Arial" w:eastAsia="仿宋" w:hAnsi="Arial" w:cs="Arial"/>
          <w:sz w:val="28"/>
        </w:rPr>
        <w:t>京政地字</w:t>
      </w:r>
      <w:proofErr w:type="gramEnd"/>
      <w:r>
        <w:rPr>
          <w:rFonts w:ascii="Arial" w:eastAsia="仿宋" w:hAnsi="Arial" w:cs="Arial"/>
          <w:sz w:val="28"/>
        </w:rPr>
        <w:t>【</w:t>
      </w:r>
      <w:r>
        <w:rPr>
          <w:rFonts w:ascii="Arial" w:eastAsia="仿宋" w:hAnsi="Arial" w:cs="Arial"/>
          <w:sz w:val="28"/>
        </w:rPr>
        <w:t>2020</w:t>
      </w:r>
      <w:r>
        <w:rPr>
          <w:rFonts w:ascii="Arial" w:eastAsia="仿宋" w:hAnsi="Arial" w:cs="Arial"/>
          <w:sz w:val="28"/>
        </w:rPr>
        <w:t>】</w:t>
      </w:r>
      <w:r>
        <w:rPr>
          <w:rFonts w:ascii="Arial" w:eastAsia="仿宋" w:hAnsi="Arial" w:cs="Arial"/>
          <w:sz w:val="28"/>
        </w:rPr>
        <w:t>121</w:t>
      </w:r>
      <w:r>
        <w:rPr>
          <w:rFonts w:ascii="Arial" w:eastAsia="仿宋" w:hAnsi="Arial" w:cs="Arial"/>
          <w:sz w:val="28"/>
        </w:rPr>
        <w:t>号）、《北京市规划和自然资源委员会顺义分局关于顺义区高丽营镇夏县营村棚户区改造土地开发项目</w:t>
      </w:r>
      <w:r>
        <w:rPr>
          <w:rFonts w:ascii="Arial" w:eastAsia="仿宋" w:hAnsi="Arial" w:cs="Arial"/>
          <w:sz w:val="28"/>
        </w:rPr>
        <w:t>01-008</w:t>
      </w:r>
      <w:r>
        <w:rPr>
          <w:rFonts w:ascii="Arial" w:eastAsia="仿宋" w:hAnsi="Arial" w:cs="Arial"/>
          <w:sz w:val="28"/>
        </w:rPr>
        <w:t>、</w:t>
      </w:r>
      <w:r>
        <w:rPr>
          <w:rFonts w:ascii="Arial" w:eastAsia="仿宋" w:hAnsi="Arial" w:cs="Arial"/>
          <w:sz w:val="28"/>
        </w:rPr>
        <w:t>01-015-1</w:t>
      </w:r>
      <w:r>
        <w:rPr>
          <w:rFonts w:ascii="Arial" w:eastAsia="仿宋" w:hAnsi="Arial" w:cs="Arial"/>
          <w:sz w:val="28"/>
        </w:rPr>
        <w:t>、</w:t>
      </w:r>
      <w:r>
        <w:rPr>
          <w:rFonts w:ascii="Arial" w:eastAsia="仿宋" w:hAnsi="Arial" w:cs="Arial"/>
          <w:sz w:val="28"/>
        </w:rPr>
        <w:t>01-015-2</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01-020</w:t>
      </w:r>
      <w:r>
        <w:rPr>
          <w:rFonts w:ascii="Arial" w:eastAsia="仿宋" w:hAnsi="Arial" w:cs="Arial"/>
          <w:sz w:val="28"/>
        </w:rPr>
        <w:t>、</w:t>
      </w:r>
      <w:r>
        <w:rPr>
          <w:rFonts w:ascii="Arial" w:eastAsia="仿宋" w:hAnsi="Arial" w:cs="Arial"/>
          <w:sz w:val="28"/>
        </w:rPr>
        <w:t>01-025</w:t>
      </w:r>
      <w:r>
        <w:rPr>
          <w:rFonts w:ascii="Arial" w:eastAsia="仿宋" w:hAnsi="Arial" w:cs="Arial"/>
          <w:sz w:val="28"/>
        </w:rPr>
        <w:t>、</w:t>
      </w:r>
      <w:r>
        <w:rPr>
          <w:rFonts w:ascii="Arial" w:eastAsia="仿宋" w:hAnsi="Arial" w:cs="Arial"/>
          <w:sz w:val="28"/>
        </w:rPr>
        <w:t>01-026-1</w:t>
      </w:r>
      <w:r>
        <w:rPr>
          <w:rFonts w:ascii="Arial" w:eastAsia="仿宋" w:hAnsi="Arial" w:cs="Arial"/>
          <w:sz w:val="28"/>
        </w:rPr>
        <w:t>等二类居住用地、托幼用地、商业用地地块</w:t>
      </w:r>
      <w:r>
        <w:rPr>
          <w:rFonts w:ascii="Arial" w:eastAsia="仿宋" w:hAnsi="Arial" w:cs="Arial"/>
          <w:sz w:val="28"/>
        </w:rPr>
        <w:t>“</w:t>
      </w:r>
      <w:r>
        <w:rPr>
          <w:rFonts w:ascii="Arial" w:eastAsia="仿宋" w:hAnsi="Arial" w:cs="Arial"/>
          <w:sz w:val="28"/>
        </w:rPr>
        <w:t>多规合一</w:t>
      </w:r>
      <w:r>
        <w:rPr>
          <w:rFonts w:ascii="Arial" w:eastAsia="仿宋" w:hAnsi="Arial" w:cs="Arial"/>
          <w:sz w:val="28"/>
        </w:rPr>
        <w:t>”</w:t>
      </w:r>
      <w:r>
        <w:rPr>
          <w:rFonts w:ascii="Arial" w:eastAsia="仿宋" w:hAnsi="Arial" w:cs="Arial"/>
          <w:sz w:val="28"/>
        </w:rPr>
        <w:t>协同平台供地审核意见的函》（京</w:t>
      </w:r>
      <w:proofErr w:type="gramStart"/>
      <w:r>
        <w:rPr>
          <w:rFonts w:ascii="Arial" w:eastAsia="仿宋" w:hAnsi="Arial" w:cs="Arial"/>
          <w:sz w:val="28"/>
        </w:rPr>
        <w:t>规</w:t>
      </w:r>
      <w:proofErr w:type="gramEnd"/>
      <w:r>
        <w:rPr>
          <w:rFonts w:ascii="Arial" w:eastAsia="仿宋" w:hAnsi="Arial" w:cs="Arial"/>
          <w:sz w:val="28"/>
        </w:rPr>
        <w:t>自（顺）</w:t>
      </w:r>
      <w:proofErr w:type="gramStart"/>
      <w:r>
        <w:rPr>
          <w:rFonts w:ascii="Arial" w:eastAsia="仿宋" w:hAnsi="Arial" w:cs="Arial"/>
          <w:sz w:val="28"/>
        </w:rPr>
        <w:t>供审函</w:t>
      </w:r>
      <w:proofErr w:type="gramEnd"/>
      <w:r>
        <w:rPr>
          <w:rFonts w:ascii="Arial" w:eastAsia="仿宋" w:hAnsi="Arial" w:cs="Arial"/>
          <w:sz w:val="28"/>
        </w:rPr>
        <w:t>【</w:t>
      </w:r>
      <w:r>
        <w:rPr>
          <w:rFonts w:ascii="Arial" w:eastAsia="仿宋" w:hAnsi="Arial" w:cs="Arial"/>
          <w:sz w:val="28"/>
        </w:rPr>
        <w:t>2023</w:t>
      </w:r>
      <w:r>
        <w:rPr>
          <w:rFonts w:ascii="Arial" w:eastAsia="仿宋" w:hAnsi="Arial" w:cs="Arial"/>
          <w:sz w:val="28"/>
        </w:rPr>
        <w:t>】</w:t>
      </w:r>
      <w:r>
        <w:rPr>
          <w:rFonts w:ascii="Arial" w:eastAsia="仿宋" w:hAnsi="Arial" w:cs="Arial"/>
          <w:sz w:val="28"/>
        </w:rPr>
        <w:t>0004</w:t>
      </w:r>
      <w:r>
        <w:rPr>
          <w:rFonts w:ascii="Arial" w:eastAsia="仿宋" w:hAnsi="Arial" w:cs="Arial"/>
          <w:sz w:val="28"/>
        </w:rPr>
        <w:t>号），于估价期日估价对象为建设用地，故本次评估设定土地使用权性质为出让国有建设用地使用权。</w:t>
      </w:r>
      <w:r>
        <w:rPr>
          <w:rFonts w:ascii="Arial" w:eastAsia="仿宋" w:hAnsi="Arial" w:cs="Arial"/>
          <w:sz w:val="28"/>
        </w:rPr>
        <w:t xml:space="preserve"> </w:t>
      </w:r>
    </w:p>
    <w:p w14:paraId="778F66CA" w14:textId="77777777" w:rsidR="0062768B" w:rsidRDefault="00136729" w:rsidP="00791FE1">
      <w:pPr>
        <w:pStyle w:val="-320"/>
        <w:numPr>
          <w:ilvl w:val="0"/>
          <w:numId w:val="16"/>
        </w:numPr>
        <w:adjustRightInd/>
        <w:spacing w:line="300" w:lineRule="auto"/>
        <w:ind w:left="0" w:firstLine="560"/>
        <w:jc w:val="both"/>
        <w:textAlignment w:val="auto"/>
        <w:rPr>
          <w:rFonts w:ascii="Arial" w:eastAsia="仿宋" w:hAnsi="Arial" w:cs="Arial"/>
          <w:sz w:val="28"/>
          <w:szCs w:val="28"/>
        </w:rPr>
      </w:pPr>
      <w:r>
        <w:rPr>
          <w:rFonts w:ascii="Arial" w:eastAsia="仿宋" w:hAnsi="Arial" w:cs="Arial"/>
          <w:sz w:val="28"/>
          <w:szCs w:val="28"/>
        </w:rPr>
        <w:t>土地开发程度设定：</w:t>
      </w:r>
    </w:p>
    <w:p w14:paraId="536741D4" w14:textId="397886BD"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根据委托估价方介绍及土地估价专业评估师实地查勘，本次评估估价对象实际土地开发程度为红线外市政基础设施达</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Pr>
          <w:rFonts w:ascii="Arial" w:eastAsia="仿宋" w:hAnsi="Arial" w:cs="Arial"/>
          <w:sz w:val="28"/>
          <w:szCs w:val="28"/>
        </w:rPr>
        <w:t>（通路、通上水（自来水、中水）、通下水（雨水、污水）、通电（管沟、电缆）、通燃气、通热力）</w:t>
      </w:r>
      <w:r>
        <w:rPr>
          <w:rFonts w:ascii="Arial" w:eastAsia="仿宋" w:hAnsi="Arial" w:cs="Arial"/>
          <w:sz w:val="28"/>
        </w:rPr>
        <w:t>、宗地红线内场地平整。</w:t>
      </w:r>
      <w:r>
        <w:rPr>
          <w:rFonts w:ascii="Arial" w:eastAsia="仿宋" w:hAnsi="Arial" w:cs="Arial"/>
          <w:sz w:val="28"/>
          <w:szCs w:val="28"/>
        </w:rPr>
        <w:t>根据</w:t>
      </w:r>
      <w:r w:rsidR="00791FE1">
        <w:rPr>
          <w:rFonts w:ascii="Arial" w:eastAsia="仿宋" w:hAnsi="Arial" w:cs="Arial"/>
          <w:sz w:val="28"/>
          <w:szCs w:val="28"/>
        </w:rPr>
        <w:t>《北京市顺义区人民政府关于顺义区高丽营镇夏县营村棚户区改造土地开发项目</w:t>
      </w:r>
      <w:r w:rsidR="00791FE1">
        <w:rPr>
          <w:rFonts w:ascii="Arial" w:eastAsia="仿宋" w:hAnsi="Arial" w:cs="Arial"/>
          <w:sz w:val="28"/>
          <w:szCs w:val="28"/>
        </w:rPr>
        <w:t>01-008</w:t>
      </w:r>
      <w:r w:rsidR="00791FE1">
        <w:rPr>
          <w:rFonts w:ascii="Arial" w:eastAsia="仿宋" w:hAnsi="Arial" w:cs="Arial"/>
          <w:sz w:val="28"/>
          <w:szCs w:val="28"/>
        </w:rPr>
        <w:t>、</w:t>
      </w:r>
      <w:r w:rsidR="00791FE1">
        <w:rPr>
          <w:rFonts w:ascii="Arial" w:eastAsia="仿宋" w:hAnsi="Arial" w:cs="Arial"/>
          <w:sz w:val="28"/>
          <w:szCs w:val="28"/>
        </w:rPr>
        <w:t>01-016</w:t>
      </w:r>
      <w:r w:rsidR="00791FE1">
        <w:rPr>
          <w:rFonts w:ascii="Arial" w:eastAsia="仿宋" w:hAnsi="Arial" w:cs="Arial"/>
          <w:sz w:val="28"/>
          <w:szCs w:val="28"/>
        </w:rPr>
        <w:t>、</w:t>
      </w:r>
      <w:r w:rsidR="00791FE1">
        <w:rPr>
          <w:rFonts w:ascii="Arial" w:eastAsia="仿宋" w:hAnsi="Arial" w:cs="Arial"/>
          <w:sz w:val="28"/>
          <w:szCs w:val="28"/>
        </w:rPr>
        <w:t>01-026-1</w:t>
      </w:r>
      <w:r w:rsidR="00791FE1">
        <w:rPr>
          <w:rFonts w:ascii="Arial" w:eastAsia="仿宋" w:hAnsi="Arial" w:cs="Arial"/>
          <w:sz w:val="28"/>
          <w:szCs w:val="28"/>
        </w:rPr>
        <w:t>、</w:t>
      </w:r>
      <w:r w:rsidR="00791FE1">
        <w:rPr>
          <w:rFonts w:ascii="Arial" w:eastAsia="仿宋" w:hAnsi="Arial" w:cs="Arial"/>
          <w:sz w:val="28"/>
          <w:szCs w:val="28"/>
        </w:rPr>
        <w:t>01-020</w:t>
      </w:r>
      <w:r w:rsidR="00791FE1">
        <w:rPr>
          <w:rFonts w:ascii="Arial" w:eastAsia="仿宋" w:hAnsi="Arial" w:cs="Arial"/>
          <w:sz w:val="28"/>
          <w:szCs w:val="28"/>
        </w:rPr>
        <w:t>地块提请地价审核有关事宜的函》（</w:t>
      </w:r>
      <w:proofErr w:type="gramStart"/>
      <w:r w:rsidR="00791FE1">
        <w:rPr>
          <w:rFonts w:ascii="Arial" w:eastAsia="仿宋" w:hAnsi="Arial" w:cs="Arial"/>
          <w:sz w:val="28"/>
          <w:szCs w:val="28"/>
        </w:rPr>
        <w:t>顺政函</w:t>
      </w:r>
      <w:proofErr w:type="gramEnd"/>
      <w:r w:rsidR="00791FE1">
        <w:rPr>
          <w:rFonts w:ascii="Arial" w:eastAsia="仿宋" w:hAnsi="Arial" w:cs="Arial"/>
          <w:sz w:val="28"/>
          <w:szCs w:val="28"/>
        </w:rPr>
        <w:t>【</w:t>
      </w:r>
      <w:r w:rsidR="00791FE1">
        <w:rPr>
          <w:rFonts w:ascii="Arial" w:eastAsia="仿宋" w:hAnsi="Arial" w:cs="Arial"/>
          <w:sz w:val="28"/>
          <w:szCs w:val="28"/>
        </w:rPr>
        <w:t>2023</w:t>
      </w:r>
      <w:r w:rsidR="00791FE1">
        <w:rPr>
          <w:rFonts w:ascii="Arial" w:eastAsia="仿宋" w:hAnsi="Arial" w:cs="Arial"/>
          <w:sz w:val="28"/>
          <w:szCs w:val="28"/>
        </w:rPr>
        <w:t>】</w:t>
      </w:r>
      <w:r w:rsidR="00791FE1">
        <w:rPr>
          <w:rFonts w:ascii="Arial" w:eastAsia="仿宋" w:hAnsi="Arial" w:cs="Arial"/>
          <w:sz w:val="28"/>
          <w:szCs w:val="28"/>
        </w:rPr>
        <w:t>151</w:t>
      </w:r>
      <w:r w:rsidR="00791FE1">
        <w:rPr>
          <w:rFonts w:ascii="Arial" w:eastAsia="仿宋" w:hAnsi="Arial" w:cs="Arial"/>
          <w:sz w:val="28"/>
          <w:szCs w:val="28"/>
        </w:rPr>
        <w:t>号）</w:t>
      </w:r>
      <w:r>
        <w:rPr>
          <w:rFonts w:ascii="Arial" w:eastAsia="仿宋" w:hAnsi="Arial" w:cs="Arial"/>
          <w:sz w:val="28"/>
          <w:szCs w:val="28"/>
        </w:rPr>
        <w:t>记载</w:t>
      </w:r>
      <w:r>
        <w:rPr>
          <w:rFonts w:ascii="Arial" w:eastAsia="仿宋" w:hAnsi="Arial" w:cs="Arial"/>
          <w:sz w:val="28"/>
        </w:rPr>
        <w:t>，估价对象供地条件为宗地外</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sidR="00835791">
        <w:rPr>
          <w:rFonts w:ascii="Arial" w:eastAsia="仿宋" w:hAnsi="Arial" w:cs="Arial"/>
          <w:sz w:val="28"/>
        </w:rPr>
        <w:t>（通路、通上水（自来水、中水）、通下水（雨水、污水）、通电、通燃气、通热力）</w:t>
      </w:r>
      <w:r>
        <w:rPr>
          <w:rFonts w:ascii="Arial" w:eastAsia="仿宋" w:hAnsi="Arial" w:cs="Arial"/>
          <w:sz w:val="28"/>
        </w:rPr>
        <w:t>、宗地红线内场地平整。本次评估设定土地开发程度即为实际开发程度红线外市政基础设施达</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Pr>
          <w:rFonts w:ascii="Arial" w:eastAsia="仿宋" w:hAnsi="Arial" w:cs="Arial"/>
          <w:sz w:val="28"/>
        </w:rPr>
        <w:t>、宗地红线内场地平整。</w:t>
      </w:r>
    </w:p>
    <w:p w14:paraId="3B5531F7" w14:textId="77777777" w:rsidR="0062768B" w:rsidRDefault="00136729" w:rsidP="00791FE1">
      <w:pPr>
        <w:pStyle w:val="-320"/>
        <w:numPr>
          <w:ilvl w:val="0"/>
          <w:numId w:val="16"/>
        </w:numPr>
        <w:adjustRightInd/>
        <w:spacing w:line="300" w:lineRule="auto"/>
        <w:ind w:left="0" w:firstLine="560"/>
        <w:jc w:val="both"/>
        <w:textAlignment w:val="auto"/>
        <w:rPr>
          <w:rFonts w:ascii="Arial" w:eastAsia="仿宋" w:hAnsi="Arial" w:cs="Arial"/>
          <w:sz w:val="28"/>
          <w:szCs w:val="28"/>
        </w:rPr>
      </w:pPr>
      <w:r>
        <w:rPr>
          <w:rFonts w:ascii="Arial" w:eastAsia="仿宋" w:hAnsi="Arial" w:cs="Arial"/>
          <w:sz w:val="28"/>
          <w:szCs w:val="28"/>
        </w:rPr>
        <w:t>土地使用权年限设定：</w:t>
      </w:r>
    </w:p>
    <w:p w14:paraId="4E6AA34D"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估价对象于估价期日为拟出让国有建设用地使用权。考虑到本次估价目的，根据《中华人民共和国城镇国有土地使用权出让和转让暂行条例》（国务院令第</w:t>
      </w:r>
      <w:r>
        <w:rPr>
          <w:rFonts w:ascii="Arial" w:eastAsia="仿宋" w:hAnsi="Arial" w:cs="Arial"/>
          <w:sz w:val="28"/>
          <w:szCs w:val="28"/>
        </w:rPr>
        <w:t>55</w:t>
      </w:r>
      <w:r>
        <w:rPr>
          <w:rFonts w:ascii="Arial" w:eastAsia="仿宋" w:hAnsi="Arial" w:cs="Arial"/>
          <w:sz w:val="28"/>
          <w:szCs w:val="28"/>
        </w:rPr>
        <w:t>号）、</w:t>
      </w:r>
      <w:r>
        <w:rPr>
          <w:rFonts w:ascii="Arial" w:eastAsia="仿宋" w:hAnsi="Arial" w:cs="Arial"/>
          <w:sz w:val="28"/>
        </w:rPr>
        <w:t>《北京市人民政府关于更新出让国有建设用地使用权基准地价的通知》（京政发（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w:t>
      </w:r>
      <w:r>
        <w:rPr>
          <w:rFonts w:ascii="Arial" w:eastAsia="仿宋" w:hAnsi="Arial" w:cs="Arial"/>
          <w:sz w:val="28"/>
          <w:szCs w:val="28"/>
        </w:rPr>
        <w:t>的有关规定，本次评估设定土地使用年限为住宅用途法定最高使用年限</w:t>
      </w:r>
      <w:r>
        <w:rPr>
          <w:rFonts w:ascii="Arial" w:eastAsia="仿宋" w:hAnsi="Arial" w:cs="Arial"/>
          <w:sz w:val="28"/>
          <w:szCs w:val="28"/>
        </w:rPr>
        <w:t>70</w:t>
      </w:r>
      <w:r>
        <w:rPr>
          <w:rFonts w:ascii="Arial" w:eastAsia="仿宋" w:hAnsi="Arial" w:cs="Arial"/>
          <w:sz w:val="28"/>
          <w:szCs w:val="28"/>
        </w:rPr>
        <w:t>年、</w:t>
      </w:r>
      <w:r>
        <w:rPr>
          <w:rFonts w:ascii="Arial" w:eastAsia="仿宋" w:hAnsi="Arial" w:cs="Arial"/>
          <w:sz w:val="28"/>
        </w:rPr>
        <w:t>商业（其他商服）</w:t>
      </w:r>
      <w:r>
        <w:rPr>
          <w:rFonts w:ascii="Arial" w:eastAsia="仿宋" w:hAnsi="Arial" w:cs="Arial"/>
          <w:sz w:val="28"/>
          <w:szCs w:val="28"/>
        </w:rPr>
        <w:lastRenderedPageBreak/>
        <w:t>用途法定最高使用年限</w:t>
      </w:r>
      <w:r>
        <w:rPr>
          <w:rFonts w:ascii="Arial" w:eastAsia="仿宋" w:hAnsi="Arial" w:cs="Arial"/>
          <w:sz w:val="28"/>
          <w:szCs w:val="28"/>
        </w:rPr>
        <w:t>40</w:t>
      </w:r>
      <w:r>
        <w:rPr>
          <w:rFonts w:ascii="Arial" w:eastAsia="仿宋" w:hAnsi="Arial" w:cs="Arial"/>
          <w:sz w:val="28"/>
          <w:szCs w:val="28"/>
        </w:rPr>
        <w:t>年、</w:t>
      </w:r>
      <w:r>
        <w:rPr>
          <w:rFonts w:ascii="Arial" w:eastAsia="仿宋" w:hAnsi="Arial" w:cs="Arial"/>
          <w:sz w:val="28"/>
        </w:rPr>
        <w:t>公共服务</w:t>
      </w:r>
      <w:r>
        <w:rPr>
          <w:rFonts w:ascii="Arial" w:eastAsia="仿宋" w:hAnsi="Arial" w:cs="Arial"/>
          <w:sz w:val="28"/>
          <w:szCs w:val="28"/>
        </w:rPr>
        <w:t>用途法定最高使用年限</w:t>
      </w:r>
      <w:r>
        <w:rPr>
          <w:rFonts w:ascii="Arial" w:eastAsia="仿宋" w:hAnsi="Arial" w:cs="Arial"/>
          <w:sz w:val="28"/>
          <w:szCs w:val="28"/>
        </w:rPr>
        <w:t>50</w:t>
      </w:r>
      <w:r>
        <w:rPr>
          <w:rFonts w:ascii="Arial" w:eastAsia="仿宋" w:hAnsi="Arial" w:cs="Arial"/>
          <w:sz w:val="28"/>
          <w:szCs w:val="28"/>
        </w:rPr>
        <w:t>年。</w:t>
      </w:r>
      <w:r>
        <w:rPr>
          <w:rFonts w:ascii="Arial" w:eastAsia="仿宋" w:hAnsi="Arial" w:cs="Arial"/>
          <w:sz w:val="28"/>
          <w:szCs w:val="28"/>
        </w:rPr>
        <w:t xml:space="preserve"> </w:t>
      </w:r>
    </w:p>
    <w:p w14:paraId="6C07A141" w14:textId="77777777" w:rsidR="0062768B" w:rsidRDefault="00136729" w:rsidP="00791FE1">
      <w:pPr>
        <w:pStyle w:val="-320"/>
        <w:numPr>
          <w:ilvl w:val="0"/>
          <w:numId w:val="16"/>
        </w:numPr>
        <w:adjustRightInd/>
        <w:spacing w:line="300" w:lineRule="auto"/>
        <w:ind w:left="0" w:firstLine="560"/>
        <w:jc w:val="both"/>
        <w:textAlignment w:val="auto"/>
        <w:rPr>
          <w:rFonts w:ascii="Arial" w:eastAsia="仿宋" w:hAnsi="Arial" w:cs="Arial"/>
          <w:sz w:val="28"/>
          <w:szCs w:val="28"/>
        </w:rPr>
      </w:pPr>
      <w:r>
        <w:rPr>
          <w:rFonts w:ascii="Arial" w:eastAsia="仿宋" w:hAnsi="Arial" w:cs="Arial"/>
          <w:sz w:val="28"/>
          <w:szCs w:val="28"/>
        </w:rPr>
        <w:t>规划利用条件设定：</w:t>
      </w:r>
    </w:p>
    <w:p w14:paraId="7BC2241C"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《北京市规划和自然资源委员会顺义分局关于顺义区高丽营镇夏县营村棚户区改造土地开发项目</w:t>
      </w:r>
      <w:r>
        <w:rPr>
          <w:rFonts w:ascii="Arial" w:eastAsia="仿宋" w:hAnsi="Arial" w:cs="Arial"/>
          <w:sz w:val="28"/>
        </w:rPr>
        <w:t>01-008</w:t>
      </w:r>
      <w:r>
        <w:rPr>
          <w:rFonts w:ascii="Arial" w:eastAsia="仿宋" w:hAnsi="Arial" w:cs="Arial"/>
          <w:sz w:val="28"/>
        </w:rPr>
        <w:t>、</w:t>
      </w:r>
      <w:r>
        <w:rPr>
          <w:rFonts w:ascii="Arial" w:eastAsia="仿宋" w:hAnsi="Arial" w:cs="Arial"/>
          <w:sz w:val="28"/>
        </w:rPr>
        <w:t>01-015-1</w:t>
      </w:r>
      <w:r>
        <w:rPr>
          <w:rFonts w:ascii="Arial" w:eastAsia="仿宋" w:hAnsi="Arial" w:cs="Arial"/>
          <w:sz w:val="28"/>
        </w:rPr>
        <w:t>、</w:t>
      </w:r>
      <w:r>
        <w:rPr>
          <w:rFonts w:ascii="Arial" w:eastAsia="仿宋" w:hAnsi="Arial" w:cs="Arial"/>
          <w:sz w:val="28"/>
        </w:rPr>
        <w:t>01-015-2</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01-020</w:t>
      </w:r>
      <w:r>
        <w:rPr>
          <w:rFonts w:ascii="Arial" w:eastAsia="仿宋" w:hAnsi="Arial" w:cs="Arial"/>
          <w:sz w:val="28"/>
        </w:rPr>
        <w:t>、</w:t>
      </w:r>
      <w:r>
        <w:rPr>
          <w:rFonts w:ascii="Arial" w:eastAsia="仿宋" w:hAnsi="Arial" w:cs="Arial"/>
          <w:sz w:val="28"/>
        </w:rPr>
        <w:t>01-025</w:t>
      </w:r>
      <w:r>
        <w:rPr>
          <w:rFonts w:ascii="Arial" w:eastAsia="仿宋" w:hAnsi="Arial" w:cs="Arial"/>
          <w:sz w:val="28"/>
        </w:rPr>
        <w:t>、</w:t>
      </w:r>
      <w:r>
        <w:rPr>
          <w:rFonts w:ascii="Arial" w:eastAsia="仿宋" w:hAnsi="Arial" w:cs="Arial"/>
          <w:sz w:val="28"/>
        </w:rPr>
        <w:t>01-026-1</w:t>
      </w:r>
      <w:r>
        <w:rPr>
          <w:rFonts w:ascii="Arial" w:eastAsia="仿宋" w:hAnsi="Arial" w:cs="Arial"/>
          <w:sz w:val="28"/>
        </w:rPr>
        <w:t>等二类居住用地、托幼用地、商业用地地块</w:t>
      </w:r>
      <w:r>
        <w:rPr>
          <w:rFonts w:ascii="Arial" w:eastAsia="仿宋" w:hAnsi="Arial" w:cs="Arial"/>
          <w:sz w:val="28"/>
        </w:rPr>
        <w:t>“</w:t>
      </w:r>
      <w:r>
        <w:rPr>
          <w:rFonts w:ascii="Arial" w:eastAsia="仿宋" w:hAnsi="Arial" w:cs="Arial"/>
          <w:sz w:val="28"/>
        </w:rPr>
        <w:t>多规合一</w:t>
      </w:r>
      <w:r>
        <w:rPr>
          <w:rFonts w:ascii="Arial" w:eastAsia="仿宋" w:hAnsi="Arial" w:cs="Arial"/>
          <w:sz w:val="28"/>
        </w:rPr>
        <w:t>”</w:t>
      </w:r>
      <w:r>
        <w:rPr>
          <w:rFonts w:ascii="Arial" w:eastAsia="仿宋" w:hAnsi="Arial" w:cs="Arial"/>
          <w:sz w:val="28"/>
        </w:rPr>
        <w:t>协同平台供地审核意见的函》（京</w:t>
      </w:r>
      <w:proofErr w:type="gramStart"/>
      <w:r>
        <w:rPr>
          <w:rFonts w:ascii="Arial" w:eastAsia="仿宋" w:hAnsi="Arial" w:cs="Arial"/>
          <w:sz w:val="28"/>
        </w:rPr>
        <w:t>规</w:t>
      </w:r>
      <w:proofErr w:type="gramEnd"/>
      <w:r>
        <w:rPr>
          <w:rFonts w:ascii="Arial" w:eastAsia="仿宋" w:hAnsi="Arial" w:cs="Arial"/>
          <w:sz w:val="28"/>
        </w:rPr>
        <w:t>自（顺）</w:t>
      </w:r>
      <w:proofErr w:type="gramStart"/>
      <w:r>
        <w:rPr>
          <w:rFonts w:ascii="Arial" w:eastAsia="仿宋" w:hAnsi="Arial" w:cs="Arial"/>
          <w:sz w:val="28"/>
        </w:rPr>
        <w:t>供审函</w:t>
      </w:r>
      <w:proofErr w:type="gramEnd"/>
      <w:r>
        <w:rPr>
          <w:rFonts w:ascii="Arial" w:eastAsia="仿宋" w:hAnsi="Arial" w:cs="Arial"/>
          <w:sz w:val="28"/>
        </w:rPr>
        <w:t>【</w:t>
      </w:r>
      <w:r>
        <w:rPr>
          <w:rFonts w:ascii="Arial" w:eastAsia="仿宋" w:hAnsi="Arial" w:cs="Arial"/>
          <w:sz w:val="28"/>
        </w:rPr>
        <w:t>2023</w:t>
      </w:r>
      <w:r>
        <w:rPr>
          <w:rFonts w:ascii="Arial" w:eastAsia="仿宋" w:hAnsi="Arial" w:cs="Arial"/>
          <w:sz w:val="28"/>
        </w:rPr>
        <w:t>】</w:t>
      </w:r>
      <w:r>
        <w:rPr>
          <w:rFonts w:ascii="Arial" w:eastAsia="仿宋" w:hAnsi="Arial" w:cs="Arial"/>
          <w:sz w:val="28"/>
        </w:rPr>
        <w:t>0004</w:t>
      </w:r>
      <w:r>
        <w:rPr>
          <w:rFonts w:ascii="Arial" w:eastAsia="仿宋" w:hAnsi="Arial" w:cs="Arial"/>
          <w:sz w:val="28"/>
        </w:rPr>
        <w:t>号），本次估价对象</w:t>
      </w:r>
      <w:r>
        <w:rPr>
          <w:rFonts w:ascii="Arial" w:eastAsia="仿宋" w:hAnsi="Arial" w:cs="Arial"/>
          <w:sz w:val="28"/>
        </w:rPr>
        <w:t>01-008</w:t>
      </w:r>
      <w:r>
        <w:rPr>
          <w:rFonts w:ascii="Arial" w:eastAsia="仿宋" w:hAnsi="Arial" w:cs="Arial"/>
          <w:sz w:val="28"/>
        </w:rPr>
        <w:t>等地块共</w:t>
      </w:r>
      <w:r>
        <w:rPr>
          <w:rFonts w:ascii="Arial" w:eastAsia="仿宋" w:hAnsi="Arial" w:cs="Arial"/>
          <w:sz w:val="28"/>
        </w:rPr>
        <w:t>4</w:t>
      </w:r>
      <w:r>
        <w:rPr>
          <w:rFonts w:ascii="Arial" w:eastAsia="仿宋" w:hAnsi="Arial" w:cs="Arial"/>
          <w:sz w:val="28"/>
        </w:rPr>
        <w:t>宗地，用地规模合计为</w:t>
      </w:r>
      <w:r>
        <w:rPr>
          <w:rFonts w:ascii="Arial" w:eastAsia="仿宋" w:hAnsi="Arial" w:cs="Arial"/>
          <w:sz w:val="28"/>
        </w:rPr>
        <w:t>60990.43</w:t>
      </w:r>
      <w:r>
        <w:rPr>
          <w:rFonts w:ascii="Arial" w:eastAsia="仿宋" w:hAnsi="Arial" w:cs="Arial"/>
          <w:sz w:val="28"/>
        </w:rPr>
        <w:t>平方米，全部为建设用地，建筑规模合计为</w:t>
      </w:r>
      <w:r>
        <w:rPr>
          <w:rFonts w:ascii="Arial" w:eastAsia="仿宋" w:hAnsi="Arial" w:cs="Arial"/>
          <w:sz w:val="28"/>
        </w:rPr>
        <w:t>71508.52</w:t>
      </w:r>
      <w:r>
        <w:rPr>
          <w:rFonts w:ascii="Arial" w:eastAsia="仿宋" w:hAnsi="Arial" w:cs="Arial"/>
          <w:sz w:val="28"/>
        </w:rPr>
        <w:t>平方米。</w:t>
      </w:r>
      <w:r>
        <w:rPr>
          <w:rFonts w:ascii="Arial" w:eastAsia="仿宋" w:hAnsi="Arial" w:cs="Arial"/>
          <w:sz w:val="28"/>
          <w:szCs w:val="28"/>
        </w:rPr>
        <w:t>其中，估价对象</w:t>
      </w:r>
      <w:r>
        <w:rPr>
          <w:rFonts w:ascii="Arial" w:eastAsia="仿宋" w:hAnsi="Arial" w:cs="Arial"/>
          <w:sz w:val="28"/>
        </w:rPr>
        <w:t>01-008</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24804.85</w:t>
      </w:r>
      <w:r>
        <w:rPr>
          <w:rFonts w:ascii="Arial" w:eastAsia="仿宋" w:hAnsi="Arial" w:cs="Arial"/>
          <w:sz w:val="28"/>
        </w:rPr>
        <w:t>平方米，地上建筑规模为</w:t>
      </w:r>
      <w:r>
        <w:rPr>
          <w:rFonts w:ascii="Arial" w:eastAsia="仿宋" w:hAnsi="Arial" w:cs="Arial"/>
          <w:sz w:val="28"/>
        </w:rPr>
        <w:t>29765.82</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w:t>
      </w:r>
      <w:r>
        <w:rPr>
          <w:rFonts w:ascii="Arial" w:eastAsia="仿宋" w:hAnsi="Arial" w:cs="Arial"/>
          <w:sz w:val="28"/>
          <w:szCs w:val="28"/>
        </w:rPr>
        <w:t>估价对象</w:t>
      </w:r>
      <w:r>
        <w:rPr>
          <w:rFonts w:ascii="Arial" w:eastAsia="仿宋" w:hAnsi="Arial" w:cs="Arial"/>
          <w:sz w:val="28"/>
        </w:rPr>
        <w:t>01-016</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23103.85</w:t>
      </w:r>
      <w:r>
        <w:rPr>
          <w:rFonts w:ascii="Arial" w:eastAsia="仿宋" w:hAnsi="Arial" w:cs="Arial"/>
          <w:sz w:val="28"/>
        </w:rPr>
        <w:t>平方米，地上建筑规模为</w:t>
      </w:r>
      <w:r>
        <w:rPr>
          <w:rFonts w:ascii="Arial" w:eastAsia="仿宋" w:hAnsi="Arial" w:cs="Arial"/>
          <w:sz w:val="28"/>
        </w:rPr>
        <w:t>27724.62</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w:t>
      </w:r>
      <w:r>
        <w:rPr>
          <w:rFonts w:ascii="Arial" w:eastAsia="仿宋" w:hAnsi="Arial" w:cs="Arial"/>
          <w:sz w:val="28"/>
          <w:szCs w:val="28"/>
        </w:rPr>
        <w:t xml:space="preserve"> </w:t>
      </w:r>
      <w:r>
        <w:rPr>
          <w:rFonts w:ascii="Arial" w:eastAsia="仿宋" w:hAnsi="Arial" w:cs="Arial"/>
          <w:sz w:val="28"/>
          <w:szCs w:val="28"/>
        </w:rPr>
        <w:t>估价对象</w:t>
      </w:r>
      <w:r>
        <w:rPr>
          <w:rFonts w:ascii="Arial" w:eastAsia="仿宋" w:hAnsi="Arial" w:cs="Arial"/>
          <w:sz w:val="28"/>
          <w:szCs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8881.75</w:t>
      </w:r>
      <w:r>
        <w:rPr>
          <w:rFonts w:ascii="Arial" w:eastAsia="仿宋" w:hAnsi="Arial" w:cs="Arial"/>
          <w:sz w:val="28"/>
        </w:rPr>
        <w:t>平方米，地上建筑规模为</w:t>
      </w:r>
      <w:r>
        <w:rPr>
          <w:rFonts w:ascii="Arial" w:eastAsia="仿宋" w:hAnsi="Arial" w:cs="Arial"/>
          <w:sz w:val="28"/>
        </w:rPr>
        <w:t>10658.10</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；另有</w:t>
      </w:r>
      <w:r>
        <w:rPr>
          <w:rFonts w:ascii="Arial" w:eastAsia="仿宋" w:hAnsi="Arial" w:cs="Arial"/>
          <w:sz w:val="28"/>
          <w:szCs w:val="28"/>
        </w:rPr>
        <w:t>估价对象</w:t>
      </w:r>
      <w:r>
        <w:rPr>
          <w:rFonts w:ascii="Arial" w:eastAsia="仿宋" w:hAnsi="Arial" w:cs="Arial"/>
          <w:sz w:val="28"/>
        </w:rPr>
        <w:t>01-020</w:t>
      </w:r>
      <w:r>
        <w:rPr>
          <w:rFonts w:ascii="Arial" w:eastAsia="仿宋" w:hAnsi="Arial" w:cs="Arial"/>
          <w:sz w:val="28"/>
        </w:rPr>
        <w:t>地块（</w:t>
      </w:r>
      <w:r>
        <w:rPr>
          <w:rFonts w:ascii="Arial" w:eastAsia="仿宋" w:hAnsi="Arial" w:cs="Arial"/>
          <w:sz w:val="28"/>
        </w:rPr>
        <w:t>A334</w:t>
      </w:r>
      <w:r>
        <w:rPr>
          <w:rFonts w:ascii="Arial" w:eastAsia="仿宋" w:hAnsi="Arial" w:cs="Arial"/>
          <w:sz w:val="28"/>
        </w:rPr>
        <w:t>托幼用地，不出让）建设用地规模为</w:t>
      </w:r>
      <w:r>
        <w:rPr>
          <w:rFonts w:ascii="Arial" w:eastAsia="仿宋" w:hAnsi="Arial" w:cs="Arial"/>
          <w:sz w:val="28"/>
        </w:rPr>
        <w:t>4199.98</w:t>
      </w:r>
      <w:r>
        <w:rPr>
          <w:rFonts w:ascii="Arial" w:eastAsia="仿宋" w:hAnsi="Arial" w:cs="Arial"/>
          <w:sz w:val="28"/>
        </w:rPr>
        <w:t>平方米，地上建筑规模为</w:t>
      </w:r>
      <w:r>
        <w:rPr>
          <w:rFonts w:ascii="Arial" w:eastAsia="仿宋" w:hAnsi="Arial" w:cs="Arial"/>
          <w:sz w:val="28"/>
        </w:rPr>
        <w:t>3359.98</w:t>
      </w:r>
      <w:r>
        <w:rPr>
          <w:rFonts w:ascii="Arial" w:eastAsia="仿宋" w:hAnsi="Arial" w:cs="Arial"/>
          <w:sz w:val="28"/>
        </w:rPr>
        <w:t>平方米，容积率为</w:t>
      </w:r>
      <w:r>
        <w:rPr>
          <w:rFonts w:ascii="Arial" w:eastAsia="仿宋" w:hAnsi="Arial" w:cs="Arial"/>
          <w:sz w:val="28"/>
        </w:rPr>
        <w:t>0.8</w:t>
      </w:r>
      <w:r>
        <w:rPr>
          <w:rFonts w:ascii="Arial" w:eastAsia="仿宋" w:hAnsi="Arial" w:cs="Arial"/>
          <w:sz w:val="28"/>
        </w:rPr>
        <w:t>。根据《北京市人民政府关于更新出让国有建设用地使用权基准地价的通知》（京政发（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号）中的相关规定，本次评估</w:t>
      </w:r>
      <w:r>
        <w:rPr>
          <w:rFonts w:ascii="Arial" w:eastAsia="仿宋" w:hAnsi="Arial" w:cs="Arial"/>
          <w:sz w:val="28"/>
        </w:rPr>
        <w:t>01-008</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类居住用地）容积率为</w:t>
      </w:r>
      <w:r>
        <w:rPr>
          <w:rFonts w:ascii="Arial" w:eastAsia="仿宋" w:hAnsi="Arial" w:cs="Arial"/>
          <w:sz w:val="28"/>
        </w:rPr>
        <w:t>1.2</w:t>
      </w:r>
      <w:r>
        <w:rPr>
          <w:rFonts w:ascii="Arial" w:eastAsia="仿宋" w:hAnsi="Arial" w:cs="Arial"/>
          <w:sz w:val="28"/>
        </w:rPr>
        <w:t>。</w:t>
      </w:r>
    </w:p>
    <w:p w14:paraId="61F03CC8" w14:textId="77777777" w:rsidR="0062768B" w:rsidRDefault="00136729" w:rsidP="00791FE1">
      <w:pPr>
        <w:pStyle w:val="-320"/>
        <w:numPr>
          <w:ilvl w:val="0"/>
          <w:numId w:val="16"/>
        </w:numPr>
        <w:adjustRightInd/>
        <w:spacing w:line="300" w:lineRule="auto"/>
        <w:ind w:left="0" w:firstLine="560"/>
        <w:jc w:val="both"/>
        <w:textAlignment w:val="auto"/>
        <w:rPr>
          <w:rFonts w:ascii="Arial" w:eastAsia="仿宋" w:hAnsi="Arial" w:cs="Arial"/>
          <w:sz w:val="28"/>
          <w:szCs w:val="28"/>
        </w:rPr>
      </w:pPr>
      <w:r>
        <w:rPr>
          <w:rFonts w:ascii="Arial" w:eastAsia="仿宋" w:hAnsi="Arial" w:cs="Arial"/>
          <w:sz w:val="28"/>
          <w:szCs w:val="28"/>
        </w:rPr>
        <w:t>地价内涵：</w:t>
      </w:r>
    </w:p>
    <w:p w14:paraId="5858B32D" w14:textId="5815947F"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本报告所评估的熟地价为：在公开市场条件下，估价对象宗地在估价期日</w:t>
      </w:r>
      <w:r w:rsidR="00550FB0">
        <w:rPr>
          <w:rFonts w:ascii="Arial" w:eastAsia="仿宋" w:hAnsi="Arial" w:cs="Arial"/>
          <w:sz w:val="28"/>
        </w:rPr>
        <w:t>2023</w:t>
      </w:r>
      <w:r w:rsidR="00550FB0">
        <w:rPr>
          <w:rFonts w:ascii="Arial" w:eastAsia="仿宋" w:hAnsi="Arial" w:cs="Arial"/>
          <w:sz w:val="28"/>
        </w:rPr>
        <w:t>年</w:t>
      </w:r>
      <w:r w:rsidR="00550FB0">
        <w:rPr>
          <w:rFonts w:ascii="Arial" w:eastAsia="仿宋" w:hAnsi="Arial" w:cs="Arial"/>
          <w:sz w:val="28"/>
        </w:rPr>
        <w:t>6</w:t>
      </w:r>
      <w:r w:rsidR="00550FB0">
        <w:rPr>
          <w:rFonts w:ascii="Arial" w:eastAsia="仿宋" w:hAnsi="Arial" w:cs="Arial"/>
          <w:sz w:val="28"/>
        </w:rPr>
        <w:t>月</w:t>
      </w:r>
      <w:r w:rsidR="00550FB0">
        <w:rPr>
          <w:rFonts w:ascii="Arial" w:eastAsia="仿宋" w:hAnsi="Arial" w:cs="Arial"/>
          <w:sz w:val="28"/>
        </w:rPr>
        <w:t>20</w:t>
      </w:r>
      <w:r w:rsidR="00550FB0">
        <w:rPr>
          <w:rFonts w:ascii="Arial" w:eastAsia="仿宋" w:hAnsi="Arial" w:cs="Arial"/>
          <w:sz w:val="28"/>
        </w:rPr>
        <w:t>日</w:t>
      </w:r>
      <w:r>
        <w:rPr>
          <w:rFonts w:ascii="Arial" w:eastAsia="仿宋" w:hAnsi="Arial" w:cs="Arial"/>
          <w:sz w:val="28"/>
        </w:rPr>
        <w:t>，在北京市基准地价住宅类九级</w:t>
      </w:r>
      <w:r>
        <w:rPr>
          <w:rFonts w:ascii="Arial" w:eastAsia="仿宋" w:hAnsi="Arial" w:cs="Arial"/>
          <w:sz w:val="28"/>
        </w:rPr>
        <w:t>IX-</w:t>
      </w:r>
      <w:r>
        <w:rPr>
          <w:rFonts w:ascii="Arial" w:eastAsia="仿宋" w:hAnsi="Arial" w:cs="Arial"/>
          <w:sz w:val="28"/>
        </w:rPr>
        <w:t>顺</w:t>
      </w:r>
      <w:r>
        <w:rPr>
          <w:rFonts w:ascii="Arial" w:eastAsia="仿宋" w:hAnsi="Arial" w:cs="Arial"/>
          <w:sz w:val="28"/>
        </w:rPr>
        <w:t>5</w:t>
      </w:r>
      <w:r>
        <w:rPr>
          <w:rFonts w:ascii="Arial" w:eastAsia="仿宋" w:hAnsi="Arial" w:cs="Arial"/>
          <w:sz w:val="28"/>
        </w:rPr>
        <w:t>区片、</w:t>
      </w:r>
      <w:proofErr w:type="gramStart"/>
      <w:r>
        <w:rPr>
          <w:rFonts w:ascii="Arial" w:eastAsia="仿宋" w:hAnsi="Arial" w:cs="Arial"/>
          <w:sz w:val="28"/>
        </w:rPr>
        <w:t>商服类九级</w:t>
      </w:r>
      <w:proofErr w:type="gramEnd"/>
      <w:r>
        <w:rPr>
          <w:rFonts w:ascii="Arial" w:eastAsia="仿宋" w:hAnsi="Arial" w:cs="Arial"/>
          <w:sz w:val="28"/>
        </w:rPr>
        <w:t>IX-</w:t>
      </w:r>
      <w:r>
        <w:rPr>
          <w:rFonts w:ascii="Arial" w:eastAsia="仿宋" w:hAnsi="Arial" w:cs="Arial"/>
          <w:sz w:val="28"/>
        </w:rPr>
        <w:t>顺</w:t>
      </w:r>
      <w:r>
        <w:rPr>
          <w:rFonts w:ascii="Arial" w:eastAsia="仿宋" w:hAnsi="Arial" w:cs="Arial"/>
          <w:sz w:val="28"/>
        </w:rPr>
        <w:t>5</w:t>
      </w:r>
      <w:r>
        <w:rPr>
          <w:rFonts w:ascii="Arial" w:eastAsia="仿宋" w:hAnsi="Arial" w:cs="Arial"/>
          <w:sz w:val="28"/>
        </w:rPr>
        <w:t>区片、公共服务类九级</w:t>
      </w:r>
      <w:r>
        <w:rPr>
          <w:rFonts w:ascii="Arial" w:eastAsia="仿宋" w:hAnsi="Arial" w:cs="Arial"/>
          <w:sz w:val="28"/>
        </w:rPr>
        <w:t>IX-</w:t>
      </w:r>
      <w:r>
        <w:rPr>
          <w:rFonts w:ascii="Arial" w:eastAsia="仿宋" w:hAnsi="Arial" w:cs="Arial"/>
          <w:sz w:val="28"/>
        </w:rPr>
        <w:t>顺</w:t>
      </w:r>
      <w:r>
        <w:rPr>
          <w:rFonts w:ascii="Arial" w:eastAsia="仿宋" w:hAnsi="Arial" w:cs="Arial"/>
          <w:sz w:val="28"/>
        </w:rPr>
        <w:t>5</w:t>
      </w:r>
      <w:r>
        <w:rPr>
          <w:rFonts w:ascii="Arial" w:eastAsia="仿宋" w:hAnsi="Arial" w:cs="Arial"/>
          <w:sz w:val="28"/>
        </w:rPr>
        <w:t>区片，宗地实际开发程度为宗地外</w:t>
      </w:r>
      <w:r>
        <w:rPr>
          <w:rFonts w:ascii="Arial" w:eastAsia="仿宋" w:hAnsi="Arial" w:cs="Arial"/>
          <w:sz w:val="28"/>
        </w:rPr>
        <w:t>“</w:t>
      </w:r>
      <w:r>
        <w:rPr>
          <w:rFonts w:ascii="Arial" w:eastAsia="仿宋" w:hAnsi="Arial" w:cs="Arial"/>
          <w:sz w:val="28"/>
        </w:rPr>
        <w:t>六通</w:t>
      </w:r>
      <w:r>
        <w:rPr>
          <w:rFonts w:ascii="Arial" w:eastAsia="仿宋" w:hAnsi="Arial" w:cs="Arial"/>
          <w:sz w:val="28"/>
        </w:rPr>
        <w:t>”</w:t>
      </w:r>
      <w:r>
        <w:rPr>
          <w:rFonts w:ascii="Arial" w:eastAsia="仿宋" w:hAnsi="Arial" w:cs="Arial"/>
          <w:sz w:val="28"/>
        </w:rPr>
        <w:t>（通路、通上水（自来水、中水）、通下水（雨水、污水）、通电（管沟、电缆）、通燃气、通热力），宗地红线内场地平整；根据</w:t>
      </w:r>
      <w:r w:rsidR="00791FE1">
        <w:rPr>
          <w:rFonts w:ascii="Arial" w:eastAsia="仿宋_GB2312" w:hAnsi="Arial" w:cs="Arial" w:hint="eastAsia"/>
          <w:sz w:val="28"/>
          <w:szCs w:val="28"/>
        </w:rPr>
        <w:t>《北京市顺义区人民政府关于顺义区高丽营镇夏县营村棚户区改造土地开发项目</w:t>
      </w:r>
      <w:r w:rsidR="00791FE1">
        <w:rPr>
          <w:rFonts w:ascii="Arial" w:eastAsia="仿宋_GB2312" w:hAnsi="Arial" w:cs="Arial" w:hint="eastAsia"/>
          <w:sz w:val="28"/>
          <w:szCs w:val="28"/>
        </w:rPr>
        <w:t>01-008</w:t>
      </w:r>
      <w:r w:rsidR="00791FE1">
        <w:rPr>
          <w:rFonts w:ascii="Arial" w:eastAsia="仿宋_GB2312" w:hAnsi="Arial" w:cs="Arial" w:hint="eastAsia"/>
          <w:sz w:val="28"/>
          <w:szCs w:val="28"/>
        </w:rPr>
        <w:t>、</w:t>
      </w:r>
      <w:r w:rsidR="00791FE1">
        <w:rPr>
          <w:rFonts w:ascii="Arial" w:eastAsia="仿宋_GB2312" w:hAnsi="Arial" w:cs="Arial" w:hint="eastAsia"/>
          <w:sz w:val="28"/>
          <w:szCs w:val="28"/>
        </w:rPr>
        <w:t>01-016</w:t>
      </w:r>
      <w:r w:rsidR="00791FE1">
        <w:rPr>
          <w:rFonts w:ascii="Arial" w:eastAsia="仿宋_GB2312" w:hAnsi="Arial" w:cs="Arial" w:hint="eastAsia"/>
          <w:sz w:val="28"/>
          <w:szCs w:val="28"/>
        </w:rPr>
        <w:t>、</w:t>
      </w:r>
      <w:r w:rsidR="00791FE1">
        <w:rPr>
          <w:rFonts w:ascii="Arial" w:eastAsia="仿宋_GB2312" w:hAnsi="Arial" w:cs="Arial" w:hint="eastAsia"/>
          <w:sz w:val="28"/>
          <w:szCs w:val="28"/>
        </w:rPr>
        <w:t>01-026-1</w:t>
      </w:r>
      <w:r w:rsidR="00791FE1">
        <w:rPr>
          <w:rFonts w:ascii="Arial" w:eastAsia="仿宋_GB2312" w:hAnsi="Arial" w:cs="Arial" w:hint="eastAsia"/>
          <w:sz w:val="28"/>
          <w:szCs w:val="28"/>
        </w:rPr>
        <w:t>、</w:t>
      </w:r>
      <w:r w:rsidR="00791FE1">
        <w:rPr>
          <w:rFonts w:ascii="Arial" w:eastAsia="仿宋_GB2312" w:hAnsi="Arial" w:cs="Arial" w:hint="eastAsia"/>
          <w:sz w:val="28"/>
          <w:szCs w:val="28"/>
        </w:rPr>
        <w:t>01-020</w:t>
      </w:r>
      <w:r w:rsidR="00791FE1">
        <w:rPr>
          <w:rFonts w:ascii="Arial" w:eastAsia="仿宋_GB2312" w:hAnsi="Arial" w:cs="Arial" w:hint="eastAsia"/>
          <w:sz w:val="28"/>
          <w:szCs w:val="28"/>
        </w:rPr>
        <w:t>地块提请地价审核有关事宜的函》（</w:t>
      </w:r>
      <w:proofErr w:type="gramStart"/>
      <w:r w:rsidR="00791FE1">
        <w:rPr>
          <w:rFonts w:ascii="Arial" w:eastAsia="仿宋_GB2312" w:hAnsi="Arial" w:cs="Arial" w:hint="eastAsia"/>
          <w:sz w:val="28"/>
          <w:szCs w:val="28"/>
        </w:rPr>
        <w:t>顺政函</w:t>
      </w:r>
      <w:proofErr w:type="gramEnd"/>
      <w:r w:rsidR="00791FE1">
        <w:rPr>
          <w:rFonts w:ascii="Arial" w:eastAsia="仿宋_GB2312" w:hAnsi="Arial" w:cs="Arial" w:hint="eastAsia"/>
          <w:sz w:val="28"/>
          <w:szCs w:val="28"/>
        </w:rPr>
        <w:t>【</w:t>
      </w:r>
      <w:r w:rsidR="00791FE1">
        <w:rPr>
          <w:rFonts w:ascii="Arial" w:eastAsia="仿宋_GB2312" w:hAnsi="Arial" w:cs="Arial" w:hint="eastAsia"/>
          <w:sz w:val="28"/>
          <w:szCs w:val="28"/>
        </w:rPr>
        <w:t>2023</w:t>
      </w:r>
      <w:r w:rsidR="00791FE1">
        <w:rPr>
          <w:rFonts w:ascii="Arial" w:eastAsia="仿宋_GB2312" w:hAnsi="Arial" w:cs="Arial" w:hint="eastAsia"/>
          <w:sz w:val="28"/>
          <w:szCs w:val="28"/>
        </w:rPr>
        <w:t>】</w:t>
      </w:r>
      <w:r w:rsidR="00791FE1">
        <w:rPr>
          <w:rFonts w:ascii="Arial" w:eastAsia="仿宋_GB2312" w:hAnsi="Arial" w:cs="Arial" w:hint="eastAsia"/>
          <w:sz w:val="28"/>
          <w:szCs w:val="28"/>
        </w:rPr>
        <w:t>151</w:t>
      </w:r>
      <w:r w:rsidR="00791FE1">
        <w:rPr>
          <w:rFonts w:ascii="Arial" w:eastAsia="仿宋_GB2312" w:hAnsi="Arial" w:cs="Arial" w:hint="eastAsia"/>
          <w:sz w:val="28"/>
          <w:szCs w:val="28"/>
        </w:rPr>
        <w:t>号）</w:t>
      </w:r>
      <w:r>
        <w:rPr>
          <w:rFonts w:ascii="Arial" w:eastAsia="仿宋" w:hAnsi="Arial" w:cs="Arial"/>
          <w:sz w:val="28"/>
        </w:rPr>
        <w:t>，评估设定土地开发程度为宗地外</w:t>
      </w:r>
      <w:r>
        <w:rPr>
          <w:rFonts w:ascii="Arial" w:eastAsia="仿宋" w:hAnsi="Arial" w:cs="Arial"/>
          <w:sz w:val="28"/>
        </w:rPr>
        <w:t>“</w:t>
      </w:r>
      <w:r>
        <w:rPr>
          <w:rFonts w:ascii="Arial" w:eastAsia="仿宋" w:hAnsi="Arial" w:cs="Arial"/>
          <w:sz w:val="28"/>
        </w:rPr>
        <w:t>六通</w:t>
      </w:r>
      <w:r>
        <w:rPr>
          <w:rFonts w:ascii="Arial" w:eastAsia="仿宋" w:hAnsi="Arial" w:cs="Arial"/>
          <w:sz w:val="28"/>
        </w:rPr>
        <w:t>”</w:t>
      </w:r>
      <w:r w:rsidR="00835791">
        <w:rPr>
          <w:rFonts w:ascii="Arial" w:eastAsia="仿宋" w:hAnsi="Arial" w:cs="Arial"/>
          <w:sz w:val="28"/>
        </w:rPr>
        <w:t>（通路、通上水（自来水、中水）、通下水（雨水、污水）、通电、通燃气、通热力）</w:t>
      </w:r>
      <w:r>
        <w:rPr>
          <w:rFonts w:ascii="Arial" w:eastAsia="仿宋" w:hAnsi="Arial" w:cs="Arial"/>
          <w:sz w:val="28"/>
        </w:rPr>
        <w:t>，宗地红线内场地平整，规划用地性质为</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类居住用地，评估设定用途为住宅、商业（其他商服）及公共服务，评估设定土</w:t>
      </w:r>
      <w:r>
        <w:rPr>
          <w:rFonts w:ascii="Arial" w:eastAsia="仿宋" w:hAnsi="Arial" w:cs="Arial"/>
          <w:sz w:val="28"/>
        </w:rPr>
        <w:lastRenderedPageBreak/>
        <w:t>地使用年限为住宅用途法定最高使用年限</w:t>
      </w:r>
      <w:r>
        <w:rPr>
          <w:rFonts w:ascii="Arial" w:eastAsia="仿宋" w:hAnsi="Arial" w:cs="Arial"/>
          <w:sz w:val="28"/>
        </w:rPr>
        <w:t>70</w:t>
      </w:r>
      <w:r>
        <w:rPr>
          <w:rFonts w:ascii="Arial" w:eastAsia="仿宋" w:hAnsi="Arial" w:cs="Arial"/>
          <w:sz w:val="28"/>
        </w:rPr>
        <w:t>年、商业（其他商服）用途法定最高使用年限</w:t>
      </w:r>
      <w:r>
        <w:rPr>
          <w:rFonts w:ascii="Arial" w:eastAsia="仿宋" w:hAnsi="Arial" w:cs="Arial"/>
          <w:sz w:val="28"/>
        </w:rPr>
        <w:t>40</w:t>
      </w:r>
      <w:r>
        <w:rPr>
          <w:rFonts w:ascii="Arial" w:eastAsia="仿宋" w:hAnsi="Arial" w:cs="Arial"/>
          <w:sz w:val="28"/>
        </w:rPr>
        <w:t>年，公共服务用途法定最高使用年限</w:t>
      </w:r>
      <w:r>
        <w:rPr>
          <w:rFonts w:ascii="Arial" w:eastAsia="仿宋" w:hAnsi="Arial" w:cs="Arial"/>
          <w:sz w:val="28"/>
        </w:rPr>
        <w:t>50</w:t>
      </w:r>
      <w:r>
        <w:rPr>
          <w:rFonts w:ascii="Arial" w:eastAsia="仿宋" w:hAnsi="Arial" w:cs="Arial"/>
          <w:sz w:val="28"/>
        </w:rPr>
        <w:t>年，土地面积为</w:t>
      </w:r>
      <w:r>
        <w:rPr>
          <w:rFonts w:ascii="Arial" w:eastAsia="仿宋" w:hAnsi="Arial" w:cs="Arial"/>
          <w:sz w:val="28"/>
        </w:rPr>
        <w:t>56790.45</w:t>
      </w:r>
      <w:r>
        <w:rPr>
          <w:rFonts w:ascii="Arial" w:eastAsia="仿宋" w:hAnsi="Arial" w:cs="Arial"/>
          <w:sz w:val="28"/>
        </w:rPr>
        <w:t>平方米，</w:t>
      </w:r>
      <w:r>
        <w:rPr>
          <w:rFonts w:ascii="Arial" w:eastAsia="仿宋" w:hAnsi="Arial" w:cs="Arial"/>
          <w:sz w:val="28"/>
        </w:rPr>
        <w:t>01-008</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类居住用地）容积率为</w:t>
      </w:r>
      <w:r>
        <w:rPr>
          <w:rFonts w:ascii="Arial" w:eastAsia="仿宋" w:hAnsi="Arial" w:cs="Arial"/>
          <w:sz w:val="28"/>
        </w:rPr>
        <w:t>1.2</w:t>
      </w:r>
      <w:r>
        <w:rPr>
          <w:rFonts w:ascii="Arial" w:eastAsia="仿宋" w:hAnsi="Arial" w:cs="Arial"/>
          <w:sz w:val="28"/>
        </w:rPr>
        <w:t>；在规划利用条件下的出让国有建设用地使用权价格。</w:t>
      </w:r>
    </w:p>
    <w:p w14:paraId="5DDE9C1D" w14:textId="77777777" w:rsidR="0062768B" w:rsidRDefault="00136729">
      <w:pPr>
        <w:snapToGrid w:val="0"/>
        <w:spacing w:line="300" w:lineRule="auto"/>
        <w:ind w:firstLine="556"/>
        <w:jc w:val="both"/>
        <w:rPr>
          <w:rFonts w:ascii="Arial" w:eastAsia="仿宋_GB2312" w:hAnsi="Arial" w:cs="Arial"/>
          <w:sz w:val="28"/>
          <w:szCs w:val="28"/>
        </w:rPr>
      </w:pPr>
      <w:r>
        <w:rPr>
          <w:rFonts w:ascii="Arial" w:eastAsia="仿宋" w:hAnsi="Arial" w:cs="Arial"/>
          <w:sz w:val="28"/>
          <w:szCs w:val="28"/>
        </w:rPr>
        <w:t>根据《</w:t>
      </w:r>
      <w:r>
        <w:rPr>
          <w:rFonts w:ascii="Arial" w:eastAsia="仿宋" w:hAnsi="Arial" w:cs="Arial"/>
          <w:sz w:val="28"/>
        </w:rPr>
        <w:t>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w:t>
      </w:r>
      <w:r>
        <w:rPr>
          <w:rFonts w:ascii="Arial" w:eastAsia="仿宋" w:hAnsi="Arial" w:cs="Arial"/>
          <w:sz w:val="28"/>
          <w:szCs w:val="28"/>
        </w:rPr>
        <w:t>），国有建设用地使用权出让政府土地收益</w:t>
      </w:r>
      <w:proofErr w:type="gramStart"/>
      <w:r>
        <w:rPr>
          <w:rFonts w:ascii="Arial" w:eastAsia="仿宋" w:hAnsi="Arial" w:cs="Arial"/>
          <w:sz w:val="28"/>
          <w:szCs w:val="28"/>
        </w:rPr>
        <w:t>按照楼</w:t>
      </w:r>
      <w:proofErr w:type="gramEnd"/>
      <w:r>
        <w:rPr>
          <w:rFonts w:ascii="Arial" w:eastAsia="仿宋" w:hAnsi="Arial" w:cs="Arial"/>
          <w:sz w:val="28"/>
          <w:szCs w:val="28"/>
        </w:rPr>
        <w:t>面熟地及</w:t>
      </w:r>
      <w:proofErr w:type="gramStart"/>
      <w:r>
        <w:rPr>
          <w:rFonts w:ascii="Arial" w:eastAsia="仿宋" w:hAnsi="Arial" w:cs="Arial"/>
          <w:sz w:val="28"/>
          <w:szCs w:val="28"/>
        </w:rPr>
        <w:t>各土地</w:t>
      </w:r>
      <w:proofErr w:type="gramEnd"/>
      <w:r>
        <w:rPr>
          <w:rFonts w:ascii="Arial" w:eastAsia="仿宋" w:hAnsi="Arial" w:cs="Arial"/>
          <w:sz w:val="28"/>
          <w:szCs w:val="28"/>
        </w:rPr>
        <w:t>用途的政府土地收益比例确定。参照</w:t>
      </w:r>
      <w:r>
        <w:rPr>
          <w:rFonts w:ascii="Arial" w:eastAsia="仿宋" w:hAnsi="Arial" w:cs="Arial"/>
          <w:sz w:val="28"/>
        </w:rPr>
        <w:t>商业、办公、住宅、公共服务类基准地价的，政府土地出让收益按照政府</w:t>
      </w:r>
      <w:proofErr w:type="gramStart"/>
      <w:r>
        <w:rPr>
          <w:rFonts w:ascii="Arial" w:eastAsia="仿宋" w:hAnsi="Arial" w:cs="Arial"/>
          <w:sz w:val="28"/>
        </w:rPr>
        <w:t>审定楼</w:t>
      </w:r>
      <w:proofErr w:type="gramEnd"/>
      <w:r>
        <w:rPr>
          <w:rFonts w:ascii="Arial" w:eastAsia="仿宋" w:hAnsi="Arial" w:cs="Arial"/>
          <w:sz w:val="28"/>
        </w:rPr>
        <w:t>面熟地价的</w:t>
      </w:r>
      <w:r>
        <w:rPr>
          <w:rFonts w:ascii="Arial" w:eastAsia="仿宋" w:hAnsi="Arial" w:cs="Arial"/>
          <w:sz w:val="28"/>
        </w:rPr>
        <w:t>25%</w:t>
      </w:r>
      <w:r>
        <w:rPr>
          <w:rFonts w:ascii="Arial" w:eastAsia="仿宋" w:hAnsi="Arial" w:cs="Arial"/>
          <w:sz w:val="28"/>
        </w:rPr>
        <w:t>确定</w:t>
      </w:r>
      <w:r>
        <w:rPr>
          <w:rFonts w:ascii="Arial" w:eastAsia="仿宋_GB2312" w:hAnsi="Arial" w:cs="Arial"/>
          <w:sz w:val="28"/>
          <w:szCs w:val="28"/>
        </w:rPr>
        <w:t>。</w:t>
      </w:r>
    </w:p>
    <w:p w14:paraId="4017EB69" w14:textId="77777777" w:rsidR="0062768B" w:rsidRDefault="0062768B">
      <w:pPr>
        <w:snapToGrid w:val="0"/>
        <w:spacing w:line="300" w:lineRule="auto"/>
        <w:ind w:firstLine="556"/>
        <w:jc w:val="both"/>
        <w:rPr>
          <w:rFonts w:ascii="Arial" w:eastAsia="仿宋_GB2312" w:hAnsi="Arial" w:cs="Arial"/>
          <w:sz w:val="28"/>
          <w:szCs w:val="28"/>
        </w:rPr>
      </w:pPr>
    </w:p>
    <w:p w14:paraId="70AF040B" w14:textId="77777777" w:rsidR="0062768B" w:rsidRDefault="00136729">
      <w:pPr>
        <w:spacing w:line="300" w:lineRule="auto"/>
        <w:jc w:val="both"/>
        <w:outlineLvl w:val="1"/>
        <w:rPr>
          <w:rFonts w:ascii="Arial" w:eastAsia="仿宋_GB2312" w:hAnsi="Arial" w:cs="Arial"/>
          <w:sz w:val="28"/>
        </w:rPr>
      </w:pPr>
      <w:bookmarkStart w:id="278" w:name="_Toc416783576"/>
      <w:bookmarkStart w:id="279" w:name="_Toc416783672"/>
      <w:bookmarkStart w:id="280" w:name="_Toc469066158"/>
      <w:bookmarkStart w:id="281" w:name="_Toc515457810"/>
      <w:bookmarkStart w:id="282" w:name="_Toc516488188"/>
      <w:bookmarkStart w:id="283" w:name="_Toc132016631"/>
      <w:bookmarkStart w:id="284" w:name="_Toc132016748"/>
      <w:bookmarkStart w:id="285" w:name="_Toc138063019"/>
      <w:r>
        <w:rPr>
          <w:rFonts w:ascii="Arial" w:eastAsia="仿宋_GB2312" w:hAnsi="Arial" w:cs="Arial"/>
          <w:b/>
          <w:sz w:val="28"/>
        </w:rPr>
        <w:t>九、估价结果</w:t>
      </w:r>
      <w:bookmarkEnd w:id="278"/>
      <w:bookmarkEnd w:id="279"/>
      <w:bookmarkEnd w:id="280"/>
      <w:bookmarkEnd w:id="281"/>
      <w:bookmarkEnd w:id="282"/>
      <w:bookmarkEnd w:id="283"/>
      <w:bookmarkEnd w:id="284"/>
      <w:bookmarkEnd w:id="285"/>
    </w:p>
    <w:p w14:paraId="053AFF3A" w14:textId="77777777" w:rsidR="0062768B" w:rsidRDefault="00136729">
      <w:pPr>
        <w:spacing w:line="300" w:lineRule="auto"/>
        <w:ind w:firstLineChars="200" w:firstLine="562"/>
        <w:jc w:val="both"/>
        <w:rPr>
          <w:rFonts w:ascii="Arial" w:eastAsia="仿宋_GB2312" w:hAnsi="Arial" w:cs="Arial"/>
          <w:kern w:val="2"/>
          <w:sz w:val="28"/>
        </w:rPr>
      </w:pPr>
      <w:bookmarkStart w:id="286" w:name="_Toc416783580"/>
      <w:bookmarkStart w:id="287" w:name="_Toc416783676"/>
      <w:r>
        <w:rPr>
          <w:rFonts w:ascii="黑体" w:eastAsia="黑体" w:hAnsi="黑体" w:cs="Arial"/>
          <w:b/>
          <w:sz w:val="28"/>
        </w:rPr>
        <w:t>估价对象位于北京市基准地价住宅</w:t>
      </w:r>
      <w:r>
        <w:rPr>
          <w:rFonts w:ascii="黑体" w:eastAsia="黑体" w:hAnsi="黑体" w:cs="Arial" w:hint="eastAsia"/>
          <w:b/>
          <w:sz w:val="28"/>
        </w:rPr>
        <w:t>九级（IX-顺5）</w:t>
      </w:r>
      <w:r>
        <w:rPr>
          <w:rFonts w:ascii="黑体" w:eastAsia="黑体" w:hAnsi="黑体" w:cs="Arial"/>
          <w:b/>
          <w:sz w:val="28"/>
        </w:rPr>
        <w:t>、商业</w:t>
      </w:r>
      <w:r>
        <w:rPr>
          <w:rFonts w:ascii="黑体" w:eastAsia="黑体" w:hAnsi="黑体" w:cs="Arial" w:hint="eastAsia"/>
          <w:b/>
          <w:sz w:val="28"/>
        </w:rPr>
        <w:t>（其他商服）九级（IX-顺5）</w:t>
      </w:r>
      <w:r>
        <w:rPr>
          <w:rFonts w:ascii="黑体" w:eastAsia="黑体" w:hAnsi="黑体" w:cs="Arial"/>
          <w:b/>
          <w:sz w:val="28"/>
        </w:rPr>
        <w:t>、</w:t>
      </w:r>
      <w:r>
        <w:rPr>
          <w:rFonts w:ascii="黑体" w:eastAsia="黑体" w:hAnsi="黑体" w:cs="Arial" w:hint="eastAsia"/>
          <w:b/>
          <w:sz w:val="28"/>
        </w:rPr>
        <w:t>公共服务九级（IX-顺5）</w:t>
      </w:r>
      <w:r>
        <w:rPr>
          <w:rFonts w:ascii="黑体" w:eastAsia="黑体" w:hAnsi="黑体" w:cs="Arial"/>
          <w:b/>
          <w:sz w:val="28"/>
        </w:rPr>
        <w:t>范围内</w:t>
      </w:r>
      <w:r>
        <w:rPr>
          <w:rFonts w:ascii="Arial" w:eastAsia="黑体" w:hAnsi="Arial" w:cs="Arial"/>
          <w:b/>
          <w:sz w:val="28"/>
        </w:rPr>
        <w:t>。</w:t>
      </w:r>
      <w:r>
        <w:rPr>
          <w:rFonts w:ascii="Arial" w:eastAsia="仿宋_GB2312" w:hAnsi="Arial" w:cs="Arial"/>
          <w:kern w:val="2"/>
          <w:sz w:val="28"/>
        </w:rPr>
        <w:t>土地估价专业评估师根据估价的目的，按照估价的程序，采用科学的估价方法（基准地价系数修正法和剩余法），在认真分析现有资料的基础上，通过仔细测算和认真分析各种影响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w:t>
      </w:r>
      <w:r>
        <w:rPr>
          <w:rFonts w:ascii="Arial" w:eastAsia="仿宋_GB2312" w:hAnsi="Arial" w:cs="Arial"/>
          <w:kern w:val="2"/>
          <w:sz w:val="28"/>
        </w:rPr>
        <w:t>楼面熟地价、政府土地出让收益、土地开发总成本为：</w:t>
      </w:r>
    </w:p>
    <w:p w14:paraId="435E16D5" w14:textId="77777777" w:rsidR="0062768B" w:rsidRDefault="00136729">
      <w:pPr>
        <w:snapToGrid w:val="0"/>
        <w:spacing w:line="300" w:lineRule="auto"/>
        <w:ind w:firstLineChars="200" w:firstLine="562"/>
        <w:rPr>
          <w:rFonts w:ascii="Arial" w:eastAsia="仿宋_GB2312" w:hAnsi="Arial" w:cs="Arial"/>
          <w:b/>
          <w:kern w:val="2"/>
          <w:sz w:val="28"/>
        </w:rPr>
      </w:pPr>
      <w:r>
        <w:rPr>
          <w:rFonts w:ascii="Arial" w:eastAsia="仿宋_GB2312" w:hAnsi="Arial" w:cs="Arial"/>
          <w:b/>
          <w:kern w:val="2"/>
          <w:sz w:val="28"/>
        </w:rPr>
        <w:t>熟地价：</w:t>
      </w:r>
    </w:p>
    <w:p w14:paraId="0B9EBD27"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熟地价总额：</w:t>
      </w:r>
      <w:r>
        <w:rPr>
          <w:rFonts w:ascii="Arial" w:eastAsia="仿宋_GB2312" w:hAnsi="Arial" w:cs="Arial"/>
          <w:kern w:val="2"/>
          <w:sz w:val="28"/>
        </w:rPr>
        <w:t xml:space="preserve">103245.0381 </w:t>
      </w:r>
      <w:r>
        <w:rPr>
          <w:rFonts w:ascii="Arial" w:eastAsia="仿宋_GB2312" w:hAnsi="Arial" w:cs="Arial"/>
          <w:kern w:val="2"/>
          <w:sz w:val="28"/>
        </w:rPr>
        <w:t>万元</w:t>
      </w:r>
    </w:p>
    <w:p w14:paraId="63CB377D"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壹拾亿零叁仟贰佰肆拾伍万零叁佰捌拾壹</w:t>
      </w:r>
      <w:proofErr w:type="gramEnd"/>
      <w:r>
        <w:rPr>
          <w:rFonts w:ascii="Arial" w:eastAsia="仿宋_GB2312" w:hAnsi="Arial" w:cs="Arial"/>
          <w:kern w:val="2"/>
          <w:sz w:val="28"/>
        </w:rPr>
        <w:t>元整</w:t>
      </w:r>
    </w:p>
    <w:p w14:paraId="061CAAB4" w14:textId="77777777" w:rsidR="0062768B" w:rsidRDefault="00136729">
      <w:pPr>
        <w:snapToGrid w:val="0"/>
        <w:spacing w:line="300" w:lineRule="auto"/>
        <w:ind w:firstLineChars="200" w:firstLine="562"/>
        <w:rPr>
          <w:rFonts w:ascii="Arial" w:eastAsia="仿宋_GB2312" w:hAnsi="Arial" w:cs="Arial"/>
          <w:b/>
          <w:kern w:val="2"/>
          <w:sz w:val="28"/>
        </w:rPr>
      </w:pPr>
      <w:r>
        <w:rPr>
          <w:rFonts w:ascii="Arial" w:eastAsia="仿宋_GB2312" w:hAnsi="Arial" w:cs="Arial"/>
          <w:b/>
          <w:kern w:val="2"/>
          <w:sz w:val="28"/>
        </w:rPr>
        <w:t>政府土地出让收益：</w:t>
      </w:r>
    </w:p>
    <w:p w14:paraId="14CD6B46"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政府土地出让收益总额：</w:t>
      </w:r>
      <w:r>
        <w:rPr>
          <w:rFonts w:ascii="Arial" w:eastAsia="仿宋_GB2312" w:hAnsi="Arial" w:cs="Arial"/>
          <w:kern w:val="2"/>
          <w:sz w:val="28"/>
        </w:rPr>
        <w:t>25814.6670</w:t>
      </w:r>
      <w:r>
        <w:rPr>
          <w:rFonts w:ascii="Arial" w:eastAsia="仿宋_GB2312" w:hAnsi="Arial" w:cs="Arial"/>
          <w:kern w:val="2"/>
          <w:sz w:val="28"/>
        </w:rPr>
        <w:t>万元</w:t>
      </w:r>
    </w:p>
    <w:p w14:paraId="27991288"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贰亿伍仟捌佰壹拾肆万陆仟陆佰柒拾</w:t>
      </w:r>
      <w:proofErr w:type="gramEnd"/>
      <w:r>
        <w:rPr>
          <w:rFonts w:ascii="Arial" w:eastAsia="仿宋_GB2312" w:hAnsi="Arial" w:cs="Arial"/>
          <w:kern w:val="2"/>
          <w:sz w:val="28"/>
        </w:rPr>
        <w:t>元整</w:t>
      </w:r>
    </w:p>
    <w:p w14:paraId="3668A46D"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详见《估价结果汇总表》</w:t>
      </w:r>
    </w:p>
    <w:p w14:paraId="6778CC34" w14:textId="77777777" w:rsidR="0062768B" w:rsidRDefault="00136729">
      <w:pPr>
        <w:snapToGrid w:val="0"/>
        <w:spacing w:line="300" w:lineRule="auto"/>
        <w:ind w:firstLineChars="200" w:firstLine="562"/>
        <w:rPr>
          <w:rFonts w:ascii="Arial" w:eastAsia="仿宋_GB2312" w:hAnsi="Arial" w:cs="Arial"/>
          <w:b/>
          <w:kern w:val="2"/>
          <w:sz w:val="28"/>
        </w:rPr>
      </w:pPr>
      <w:r>
        <w:rPr>
          <w:rFonts w:ascii="Arial" w:eastAsia="仿宋_GB2312" w:hAnsi="Arial" w:cs="Arial"/>
          <w:b/>
          <w:kern w:val="2"/>
          <w:sz w:val="28"/>
        </w:rPr>
        <w:t>土地开发总成本：</w:t>
      </w:r>
      <w:r>
        <w:rPr>
          <w:rFonts w:ascii="Arial" w:eastAsia="仿宋_GB2312" w:hAnsi="Arial" w:cs="Arial" w:hint="eastAsia"/>
          <w:b/>
          <w:kern w:val="2"/>
          <w:sz w:val="28"/>
        </w:rPr>
        <w:t xml:space="preserve"> </w:t>
      </w:r>
    </w:p>
    <w:p w14:paraId="203EC23B"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土地开发总成本：</w:t>
      </w:r>
      <w:r w:rsidR="00550FB0">
        <w:rPr>
          <w:rFonts w:ascii="Arial" w:eastAsia="仿宋_GB2312" w:hAnsi="Arial" w:cs="Arial" w:hint="eastAsia"/>
          <w:kern w:val="2"/>
          <w:sz w:val="28"/>
        </w:rPr>
        <w:t>78853.6400</w:t>
      </w:r>
      <w:r>
        <w:rPr>
          <w:rFonts w:ascii="Arial" w:eastAsia="仿宋_GB2312" w:hAnsi="Arial" w:cs="Arial"/>
          <w:kern w:val="2"/>
          <w:sz w:val="28"/>
        </w:rPr>
        <w:t>万元</w:t>
      </w:r>
    </w:p>
    <w:p w14:paraId="22AE1505"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大写金额：</w:t>
      </w:r>
      <w:proofErr w:type="gramStart"/>
      <w:r w:rsidR="00550FB0">
        <w:rPr>
          <w:rFonts w:ascii="Arial" w:eastAsia="仿宋_GB2312" w:hAnsi="Arial" w:cs="Arial" w:hint="eastAsia"/>
          <w:kern w:val="2"/>
          <w:sz w:val="28"/>
        </w:rPr>
        <w:t>柒亿捌仟捌佰伍拾叁万陆仟肆佰</w:t>
      </w:r>
      <w:proofErr w:type="gramEnd"/>
      <w:r>
        <w:rPr>
          <w:rFonts w:ascii="Arial" w:eastAsia="仿宋_GB2312" w:hAnsi="Arial" w:cs="Arial"/>
          <w:kern w:val="2"/>
          <w:sz w:val="28"/>
        </w:rPr>
        <w:t>元整</w:t>
      </w:r>
    </w:p>
    <w:p w14:paraId="0B693484"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详见《估价结果汇总表》</w:t>
      </w:r>
    </w:p>
    <w:p w14:paraId="5E105B4E" w14:textId="77777777" w:rsidR="0062768B" w:rsidRDefault="00136729">
      <w:pPr>
        <w:snapToGrid w:val="0"/>
        <w:spacing w:beforeLines="50" w:before="120" w:line="300" w:lineRule="auto"/>
        <w:ind w:firstLineChars="200" w:firstLine="562"/>
        <w:rPr>
          <w:rFonts w:ascii="Arial" w:eastAsia="仿宋_GB2312" w:hAnsi="Arial" w:cs="Arial"/>
          <w:b/>
          <w:kern w:val="2"/>
          <w:sz w:val="28"/>
        </w:rPr>
      </w:pPr>
      <w:r>
        <w:rPr>
          <w:rFonts w:ascii="Arial" w:eastAsia="仿宋_GB2312" w:hAnsi="Arial" w:cs="Arial"/>
          <w:b/>
          <w:kern w:val="2"/>
          <w:sz w:val="28"/>
        </w:rPr>
        <w:t>本项目不存在回迁、回购等实物补偿内容。</w:t>
      </w:r>
    </w:p>
    <w:p w14:paraId="348BB7BF" w14:textId="77777777" w:rsidR="0062768B" w:rsidRDefault="0062768B">
      <w:pPr>
        <w:snapToGrid w:val="0"/>
        <w:spacing w:beforeLines="50" w:before="120" w:line="300" w:lineRule="auto"/>
        <w:ind w:firstLineChars="200" w:firstLine="562"/>
        <w:rPr>
          <w:rFonts w:ascii="Arial" w:eastAsia="仿宋_GB2312" w:hAnsi="Arial" w:cs="Arial"/>
          <w:b/>
          <w:kern w:val="2"/>
          <w:sz w:val="28"/>
        </w:rPr>
      </w:pPr>
    </w:p>
    <w:p w14:paraId="6F14F041" w14:textId="1CEFE154" w:rsidR="0062768B" w:rsidRDefault="0062768B">
      <w:pPr>
        <w:snapToGrid w:val="0"/>
        <w:spacing w:beforeLines="50" w:before="120" w:line="300" w:lineRule="auto"/>
        <w:rPr>
          <w:rFonts w:ascii="Arial" w:eastAsia="仿宋_GB2312" w:hAnsi="Arial" w:cs="Arial"/>
          <w:bCs/>
          <w:kern w:val="2"/>
          <w:sz w:val="28"/>
        </w:rPr>
      </w:pPr>
    </w:p>
    <w:p w14:paraId="1151CD99" w14:textId="77777777" w:rsidR="0062768B" w:rsidRDefault="00136729">
      <w:pPr>
        <w:snapToGrid w:val="0"/>
        <w:spacing w:beforeLines="50" w:before="120" w:line="300" w:lineRule="auto"/>
        <w:ind w:firstLineChars="200" w:firstLine="562"/>
      </w:pPr>
      <w:r>
        <w:rPr>
          <w:rFonts w:ascii="Arial" w:eastAsia="仿宋_GB2312" w:hAnsi="Arial" w:cs="Arial"/>
          <w:b/>
          <w:kern w:val="2"/>
          <w:sz w:val="28"/>
        </w:rPr>
        <w:br w:type="page"/>
      </w:r>
    </w:p>
    <w:tbl>
      <w:tblPr>
        <w:tblW w:w="9072" w:type="dxa"/>
        <w:jc w:val="center"/>
        <w:tblLayout w:type="fixed"/>
        <w:tblLook w:val="04A0" w:firstRow="1" w:lastRow="0" w:firstColumn="1" w:lastColumn="0" w:noHBand="0" w:noVBand="1"/>
      </w:tblPr>
      <w:tblGrid>
        <w:gridCol w:w="3403"/>
        <w:gridCol w:w="1843"/>
        <w:gridCol w:w="1596"/>
        <w:gridCol w:w="2230"/>
      </w:tblGrid>
      <w:tr w:rsidR="0062768B" w14:paraId="356795DC" w14:textId="77777777">
        <w:trPr>
          <w:trHeight w:val="1125"/>
          <w:jc w:val="center"/>
        </w:trPr>
        <w:tc>
          <w:tcPr>
            <w:tcW w:w="9072" w:type="dxa"/>
            <w:gridSpan w:val="4"/>
            <w:tcBorders>
              <w:top w:val="nil"/>
              <w:left w:val="nil"/>
              <w:bottom w:val="single" w:sz="4" w:space="0" w:color="auto"/>
              <w:right w:val="nil"/>
            </w:tcBorders>
            <w:shd w:val="clear" w:color="auto" w:fill="auto"/>
            <w:vAlign w:val="center"/>
          </w:tcPr>
          <w:p w14:paraId="0A493449" w14:textId="77777777" w:rsidR="0062768B" w:rsidRDefault="00136729">
            <w:pPr>
              <w:widowControl/>
              <w:adjustRightInd/>
              <w:spacing w:line="300" w:lineRule="auto"/>
              <w:jc w:val="center"/>
              <w:textAlignment w:val="auto"/>
              <w:rPr>
                <w:rFonts w:ascii="Arial" w:eastAsia="黑体" w:hAnsi="Arial" w:cs="Arial"/>
                <w:sz w:val="28"/>
                <w:szCs w:val="28"/>
              </w:rPr>
            </w:pPr>
            <w:r>
              <w:rPr>
                <w:rFonts w:ascii="Arial" w:eastAsia="仿宋_GB2312" w:hAnsi="Arial" w:cs="Arial" w:hint="eastAsia"/>
                <w:sz w:val="28"/>
              </w:rPr>
              <w:lastRenderedPageBreak/>
              <w:t>北京市顺义区高丽营镇夏县营村</w:t>
            </w:r>
            <w:r>
              <w:rPr>
                <w:rFonts w:ascii="Arial" w:eastAsia="仿宋_GB2312" w:hAnsi="Arial" w:cs="Arial" w:hint="eastAsia"/>
                <w:sz w:val="28"/>
              </w:rPr>
              <w:t>01-008</w:t>
            </w:r>
            <w:r>
              <w:rPr>
                <w:rFonts w:ascii="Arial" w:eastAsia="仿宋_GB2312" w:hAnsi="Arial" w:cs="Arial" w:hint="eastAsia"/>
                <w:sz w:val="28"/>
              </w:rPr>
              <w:t>、</w:t>
            </w:r>
            <w:r>
              <w:rPr>
                <w:rFonts w:ascii="Arial" w:eastAsia="仿宋_GB2312" w:hAnsi="Arial" w:cs="Arial" w:hint="eastAsia"/>
                <w:sz w:val="28"/>
              </w:rPr>
              <w:t>01-016</w:t>
            </w:r>
            <w:r>
              <w:rPr>
                <w:rFonts w:ascii="Arial" w:eastAsia="仿宋_GB2312" w:hAnsi="Arial" w:cs="Arial" w:hint="eastAsia"/>
                <w:sz w:val="28"/>
              </w:rPr>
              <w:t>、</w:t>
            </w:r>
            <w:r>
              <w:rPr>
                <w:rFonts w:ascii="Arial" w:eastAsia="仿宋_GB2312" w:hAnsi="Arial" w:cs="Arial" w:hint="eastAsia"/>
                <w:sz w:val="28"/>
              </w:rPr>
              <w:t>01-026-1</w:t>
            </w:r>
            <w:r>
              <w:rPr>
                <w:rFonts w:ascii="Arial" w:eastAsia="仿宋_GB2312" w:hAnsi="Arial" w:cs="Arial" w:hint="eastAsia"/>
                <w:sz w:val="28"/>
              </w:rPr>
              <w:t>地块</w:t>
            </w:r>
            <w:r>
              <w:rPr>
                <w:rFonts w:ascii="Arial" w:eastAsia="仿宋_GB2312" w:hAnsi="Arial" w:cs="Arial" w:hint="eastAsia"/>
                <w:sz w:val="28"/>
              </w:rPr>
              <w:t>R2</w:t>
            </w:r>
            <w:proofErr w:type="gramStart"/>
            <w:r>
              <w:rPr>
                <w:rFonts w:ascii="Arial" w:eastAsia="仿宋_GB2312" w:hAnsi="Arial" w:cs="Arial" w:hint="eastAsia"/>
                <w:sz w:val="28"/>
              </w:rPr>
              <w:t>二</w:t>
            </w:r>
            <w:proofErr w:type="gramEnd"/>
            <w:r>
              <w:rPr>
                <w:rFonts w:ascii="Arial" w:eastAsia="仿宋_GB2312" w:hAnsi="Arial" w:cs="Arial" w:hint="eastAsia"/>
                <w:sz w:val="28"/>
              </w:rPr>
              <w:t>类居住用地及</w:t>
            </w:r>
            <w:r>
              <w:rPr>
                <w:rFonts w:ascii="Arial" w:eastAsia="仿宋_GB2312" w:hAnsi="Arial" w:cs="Arial" w:hint="eastAsia"/>
                <w:sz w:val="28"/>
              </w:rPr>
              <w:t>01-020</w:t>
            </w:r>
            <w:r>
              <w:rPr>
                <w:rFonts w:ascii="Arial" w:eastAsia="仿宋_GB2312" w:hAnsi="Arial" w:cs="Arial" w:hint="eastAsia"/>
                <w:sz w:val="28"/>
              </w:rPr>
              <w:t>地块</w:t>
            </w:r>
            <w:r>
              <w:rPr>
                <w:rFonts w:ascii="Arial" w:eastAsia="仿宋_GB2312" w:hAnsi="Arial" w:cs="Arial" w:hint="eastAsia"/>
                <w:sz w:val="28"/>
              </w:rPr>
              <w:t>A334</w:t>
            </w:r>
            <w:r>
              <w:rPr>
                <w:rFonts w:ascii="Arial" w:eastAsia="仿宋_GB2312" w:hAnsi="Arial" w:cs="Arial" w:hint="eastAsia"/>
                <w:sz w:val="28"/>
              </w:rPr>
              <w:t>托幼用地项目</w:t>
            </w:r>
            <w:r>
              <w:rPr>
                <w:rFonts w:ascii="Arial" w:eastAsia="仿宋_GB2312" w:hAnsi="Arial" w:cs="Arial"/>
                <w:sz w:val="28"/>
              </w:rPr>
              <w:t>估价结果汇总表</w:t>
            </w:r>
          </w:p>
        </w:tc>
      </w:tr>
      <w:tr w:rsidR="0062768B" w14:paraId="564C79C5" w14:textId="77777777">
        <w:trPr>
          <w:trHeight w:val="67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61ECDB62"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 xml:space="preserve">　</w:t>
            </w:r>
          </w:p>
        </w:tc>
        <w:tc>
          <w:tcPr>
            <w:tcW w:w="1843" w:type="dxa"/>
            <w:tcBorders>
              <w:top w:val="nil"/>
              <w:left w:val="nil"/>
              <w:bottom w:val="single" w:sz="4" w:space="0" w:color="auto"/>
              <w:right w:val="single" w:sz="4" w:space="0" w:color="auto"/>
            </w:tcBorders>
            <w:shd w:val="clear" w:color="auto" w:fill="auto"/>
            <w:vAlign w:val="center"/>
          </w:tcPr>
          <w:p w14:paraId="56A91CDC"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楼面单价</w:t>
            </w:r>
            <w:r>
              <w:rPr>
                <w:rFonts w:ascii="Arial" w:eastAsia="仿宋_GB2312" w:hAnsi="Arial" w:cs="Arial"/>
                <w:szCs w:val="24"/>
              </w:rPr>
              <w:br/>
            </w:r>
            <w:r>
              <w:rPr>
                <w:rFonts w:ascii="Arial" w:eastAsia="仿宋_GB2312" w:hAnsi="Arial" w:cs="Arial"/>
                <w:szCs w:val="24"/>
              </w:rPr>
              <w:t>（元</w:t>
            </w:r>
            <w:r>
              <w:rPr>
                <w:rFonts w:ascii="Arial" w:eastAsia="仿宋_GB2312" w:hAnsi="Arial" w:cs="Arial"/>
                <w:szCs w:val="24"/>
              </w:rPr>
              <w:t>/</w:t>
            </w:r>
            <w:r>
              <w:rPr>
                <w:rFonts w:ascii="Arial" w:eastAsia="仿宋_GB2312" w:hAnsi="Arial" w:cs="Arial"/>
                <w:szCs w:val="24"/>
              </w:rPr>
              <w:t>平方米）</w:t>
            </w:r>
          </w:p>
        </w:tc>
        <w:tc>
          <w:tcPr>
            <w:tcW w:w="1596" w:type="dxa"/>
            <w:tcBorders>
              <w:top w:val="nil"/>
              <w:left w:val="nil"/>
              <w:bottom w:val="single" w:sz="4" w:space="0" w:color="auto"/>
              <w:right w:val="single" w:sz="4" w:space="0" w:color="auto"/>
            </w:tcBorders>
            <w:shd w:val="clear" w:color="auto" w:fill="auto"/>
            <w:vAlign w:val="center"/>
          </w:tcPr>
          <w:p w14:paraId="30C51118"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建筑规模</w:t>
            </w:r>
            <w:r>
              <w:rPr>
                <w:rFonts w:ascii="Arial" w:eastAsia="仿宋_GB2312" w:hAnsi="Arial" w:cs="Arial"/>
                <w:szCs w:val="24"/>
              </w:rPr>
              <w:br/>
            </w:r>
            <w:r>
              <w:rPr>
                <w:rFonts w:ascii="Arial" w:eastAsia="仿宋_GB2312" w:hAnsi="Arial" w:cs="Arial"/>
                <w:szCs w:val="24"/>
              </w:rPr>
              <w:t>（平方米）</w:t>
            </w:r>
          </w:p>
        </w:tc>
        <w:tc>
          <w:tcPr>
            <w:tcW w:w="2230" w:type="dxa"/>
            <w:tcBorders>
              <w:top w:val="nil"/>
              <w:left w:val="nil"/>
              <w:bottom w:val="single" w:sz="4" w:space="0" w:color="auto"/>
              <w:right w:val="single" w:sz="4" w:space="0" w:color="auto"/>
            </w:tcBorders>
            <w:shd w:val="clear" w:color="auto" w:fill="auto"/>
            <w:vAlign w:val="center"/>
          </w:tcPr>
          <w:p w14:paraId="132D9226"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总价</w:t>
            </w:r>
            <w:r>
              <w:rPr>
                <w:rFonts w:ascii="Arial" w:eastAsia="仿宋_GB2312" w:hAnsi="Arial" w:cs="Arial"/>
                <w:szCs w:val="24"/>
              </w:rPr>
              <w:br/>
            </w:r>
            <w:r>
              <w:rPr>
                <w:rFonts w:ascii="Arial" w:eastAsia="仿宋_GB2312" w:hAnsi="Arial" w:cs="Arial"/>
                <w:szCs w:val="24"/>
              </w:rPr>
              <w:t>（万元）</w:t>
            </w:r>
          </w:p>
        </w:tc>
      </w:tr>
      <w:tr w:rsidR="0062768B" w14:paraId="66B47190" w14:textId="77777777">
        <w:trPr>
          <w:trHeight w:val="56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4EE85CB9"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住宅用途熟地价</w:t>
            </w:r>
          </w:p>
        </w:tc>
        <w:tc>
          <w:tcPr>
            <w:tcW w:w="1843" w:type="dxa"/>
            <w:tcBorders>
              <w:top w:val="nil"/>
              <w:left w:val="nil"/>
              <w:bottom w:val="single" w:sz="4" w:space="0" w:color="auto"/>
              <w:right w:val="single" w:sz="4" w:space="0" w:color="auto"/>
            </w:tcBorders>
            <w:shd w:val="clear" w:color="auto" w:fill="auto"/>
            <w:vAlign w:val="center"/>
          </w:tcPr>
          <w:p w14:paraId="4339FD19" w14:textId="77777777" w:rsidR="0062768B" w:rsidRDefault="00136729">
            <w:pPr>
              <w:spacing w:line="300" w:lineRule="auto"/>
              <w:jc w:val="center"/>
              <w:rPr>
                <w:rFonts w:ascii="黑体" w:eastAsia="黑体" w:hAnsi="黑体" w:cs="宋体"/>
                <w:szCs w:val="24"/>
              </w:rPr>
            </w:pPr>
            <w:r>
              <w:rPr>
                <w:rFonts w:ascii="黑体" w:eastAsia="黑体" w:hAnsi="黑体"/>
              </w:rPr>
              <w:t>15150</w:t>
            </w:r>
          </w:p>
        </w:tc>
        <w:tc>
          <w:tcPr>
            <w:tcW w:w="1596" w:type="dxa"/>
            <w:tcBorders>
              <w:top w:val="nil"/>
              <w:left w:val="nil"/>
              <w:bottom w:val="single" w:sz="4" w:space="0" w:color="auto"/>
              <w:right w:val="single" w:sz="4" w:space="0" w:color="auto"/>
            </w:tcBorders>
            <w:shd w:val="clear" w:color="auto" w:fill="auto"/>
            <w:vAlign w:val="center"/>
          </w:tcPr>
          <w:p w14:paraId="22AF8465" w14:textId="77777777" w:rsidR="0062768B" w:rsidRDefault="00136729">
            <w:pPr>
              <w:spacing w:line="300" w:lineRule="auto"/>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4276E823" w14:textId="77777777" w:rsidR="0062768B" w:rsidRDefault="00136729">
            <w:pPr>
              <w:spacing w:line="300" w:lineRule="auto"/>
              <w:jc w:val="center"/>
              <w:rPr>
                <w:rFonts w:ascii="黑体" w:eastAsia="黑体" w:hAnsi="黑体" w:cs="宋体"/>
                <w:szCs w:val="24"/>
              </w:rPr>
            </w:pPr>
            <w:r>
              <w:rPr>
                <w:rFonts w:ascii="黑体" w:eastAsia="黑体" w:hAnsi="黑体"/>
              </w:rPr>
              <w:t xml:space="preserve">103245.0381 </w:t>
            </w:r>
          </w:p>
        </w:tc>
      </w:tr>
      <w:tr w:rsidR="0062768B" w14:paraId="4A72F461"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33757BE7"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商业</w:t>
            </w:r>
            <w:r>
              <w:rPr>
                <w:rFonts w:ascii="Arial" w:eastAsia="仿宋_GB2312" w:hAnsi="Arial" w:cs="Arial" w:hint="eastAsia"/>
                <w:szCs w:val="24"/>
              </w:rPr>
              <w:t>（其他商服）</w:t>
            </w:r>
            <w:r>
              <w:rPr>
                <w:rFonts w:ascii="Arial" w:eastAsia="仿宋_GB2312" w:hAnsi="Arial" w:cs="Arial"/>
                <w:szCs w:val="24"/>
              </w:rPr>
              <w:t>用途熟地价</w:t>
            </w:r>
          </w:p>
        </w:tc>
        <w:tc>
          <w:tcPr>
            <w:tcW w:w="1843" w:type="dxa"/>
            <w:tcBorders>
              <w:top w:val="nil"/>
              <w:left w:val="nil"/>
              <w:bottom w:val="single" w:sz="4" w:space="0" w:color="auto"/>
              <w:right w:val="single" w:sz="4" w:space="0" w:color="auto"/>
            </w:tcBorders>
            <w:shd w:val="clear" w:color="auto" w:fill="auto"/>
            <w:vAlign w:val="center"/>
          </w:tcPr>
          <w:p w14:paraId="3D1F178C" w14:textId="77777777" w:rsidR="0062768B" w:rsidRDefault="00136729">
            <w:pPr>
              <w:spacing w:line="300" w:lineRule="auto"/>
              <w:jc w:val="center"/>
              <w:rPr>
                <w:rFonts w:ascii="黑体" w:eastAsia="黑体" w:hAnsi="黑体" w:cs="宋体"/>
                <w:szCs w:val="24"/>
              </w:rPr>
            </w:pPr>
            <w:r>
              <w:rPr>
                <w:rFonts w:ascii="黑体" w:eastAsia="黑体" w:hAnsi="黑体"/>
              </w:rPr>
              <w:t>8128</w:t>
            </w:r>
          </w:p>
        </w:tc>
        <w:tc>
          <w:tcPr>
            <w:tcW w:w="1596" w:type="dxa"/>
            <w:tcBorders>
              <w:top w:val="nil"/>
              <w:left w:val="nil"/>
              <w:bottom w:val="single" w:sz="4" w:space="0" w:color="auto"/>
              <w:right w:val="single" w:sz="4" w:space="0" w:color="auto"/>
            </w:tcBorders>
            <w:shd w:val="clear" w:color="auto" w:fill="auto"/>
            <w:vAlign w:val="center"/>
          </w:tcPr>
          <w:p w14:paraId="6CD72C66" w14:textId="77777777" w:rsidR="0062768B" w:rsidRDefault="00136729">
            <w:pPr>
              <w:spacing w:line="300" w:lineRule="auto"/>
              <w:jc w:val="center"/>
              <w:rPr>
                <w:rFonts w:ascii="黑体" w:eastAsia="黑体" w:hAnsi="黑体"/>
              </w:rPr>
            </w:pPr>
            <w:r>
              <w:rPr>
                <w:rFonts w:ascii="黑体" w:eastAsia="黑体" w:hAnsi="黑体" w:hint="eastAsia"/>
              </w:rPr>
              <w:t>-</w:t>
            </w:r>
          </w:p>
        </w:tc>
        <w:tc>
          <w:tcPr>
            <w:tcW w:w="2230" w:type="dxa"/>
            <w:tcBorders>
              <w:top w:val="nil"/>
              <w:left w:val="nil"/>
              <w:bottom w:val="single" w:sz="4" w:space="0" w:color="auto"/>
              <w:right w:val="single" w:sz="4" w:space="0" w:color="auto"/>
            </w:tcBorders>
            <w:shd w:val="clear" w:color="auto" w:fill="auto"/>
            <w:vAlign w:val="center"/>
          </w:tcPr>
          <w:p w14:paraId="15CF3D64" w14:textId="77777777" w:rsidR="0062768B" w:rsidRDefault="00136729">
            <w:pPr>
              <w:spacing w:line="300" w:lineRule="auto"/>
              <w:jc w:val="center"/>
              <w:rPr>
                <w:rFonts w:ascii="黑体" w:eastAsia="黑体" w:hAnsi="黑体" w:cs="宋体"/>
                <w:szCs w:val="24"/>
              </w:rPr>
            </w:pPr>
            <w:r>
              <w:rPr>
                <w:rFonts w:ascii="黑体" w:eastAsia="黑体" w:hAnsi="黑体" w:hint="eastAsia"/>
              </w:rPr>
              <w:t>-</w:t>
            </w:r>
          </w:p>
        </w:tc>
      </w:tr>
      <w:tr w:rsidR="0062768B" w14:paraId="5DEA2149"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3715F8EB"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hint="eastAsia"/>
                <w:szCs w:val="24"/>
              </w:rPr>
              <w:t>公共服务</w:t>
            </w:r>
            <w:r>
              <w:rPr>
                <w:rFonts w:ascii="Arial" w:eastAsia="仿宋_GB2312" w:hAnsi="Arial" w:cs="Arial"/>
                <w:szCs w:val="24"/>
              </w:rPr>
              <w:t>用途熟地价</w:t>
            </w:r>
          </w:p>
        </w:tc>
        <w:tc>
          <w:tcPr>
            <w:tcW w:w="1843" w:type="dxa"/>
            <w:tcBorders>
              <w:top w:val="nil"/>
              <w:left w:val="nil"/>
              <w:bottom w:val="single" w:sz="4" w:space="0" w:color="auto"/>
              <w:right w:val="single" w:sz="4" w:space="0" w:color="auto"/>
            </w:tcBorders>
            <w:shd w:val="clear" w:color="auto" w:fill="auto"/>
            <w:vAlign w:val="center"/>
          </w:tcPr>
          <w:p w14:paraId="60FB1461" w14:textId="77777777" w:rsidR="0062768B" w:rsidRDefault="00136729">
            <w:pPr>
              <w:spacing w:line="300" w:lineRule="auto"/>
              <w:jc w:val="center"/>
              <w:rPr>
                <w:rFonts w:ascii="黑体" w:eastAsia="黑体" w:hAnsi="黑体" w:cs="宋体"/>
                <w:szCs w:val="24"/>
              </w:rPr>
            </w:pPr>
            <w:r>
              <w:rPr>
                <w:rFonts w:ascii="黑体" w:eastAsia="黑体" w:hAnsi="黑体"/>
              </w:rPr>
              <w:t>3623</w:t>
            </w:r>
          </w:p>
        </w:tc>
        <w:tc>
          <w:tcPr>
            <w:tcW w:w="1596" w:type="dxa"/>
            <w:tcBorders>
              <w:top w:val="nil"/>
              <w:left w:val="nil"/>
              <w:bottom w:val="single" w:sz="4" w:space="0" w:color="auto"/>
              <w:right w:val="single" w:sz="4" w:space="0" w:color="auto"/>
            </w:tcBorders>
            <w:shd w:val="clear" w:color="auto" w:fill="auto"/>
            <w:vAlign w:val="center"/>
          </w:tcPr>
          <w:p w14:paraId="1B49B23F" w14:textId="77777777" w:rsidR="0062768B" w:rsidRDefault="00136729">
            <w:pPr>
              <w:spacing w:line="300" w:lineRule="auto"/>
              <w:jc w:val="center"/>
              <w:rPr>
                <w:rFonts w:ascii="黑体" w:eastAsia="黑体" w:hAnsi="黑体"/>
              </w:rPr>
            </w:pPr>
            <w:r>
              <w:rPr>
                <w:rFonts w:ascii="黑体" w:eastAsia="黑体" w:hAnsi="黑体"/>
              </w:rPr>
              <w:t>-</w:t>
            </w:r>
          </w:p>
        </w:tc>
        <w:tc>
          <w:tcPr>
            <w:tcW w:w="2230" w:type="dxa"/>
            <w:tcBorders>
              <w:top w:val="nil"/>
              <w:left w:val="nil"/>
              <w:bottom w:val="single" w:sz="4" w:space="0" w:color="auto"/>
              <w:right w:val="single" w:sz="4" w:space="0" w:color="auto"/>
            </w:tcBorders>
            <w:shd w:val="clear" w:color="auto" w:fill="auto"/>
            <w:vAlign w:val="center"/>
          </w:tcPr>
          <w:p w14:paraId="7547C8AA" w14:textId="77777777" w:rsidR="0062768B" w:rsidRDefault="00136729">
            <w:pPr>
              <w:spacing w:line="300" w:lineRule="auto"/>
              <w:jc w:val="center"/>
              <w:rPr>
                <w:rFonts w:ascii="黑体" w:eastAsia="黑体" w:hAnsi="黑体" w:cs="宋体"/>
                <w:szCs w:val="24"/>
              </w:rPr>
            </w:pPr>
            <w:r>
              <w:rPr>
                <w:rFonts w:ascii="黑体" w:eastAsia="黑体" w:hAnsi="黑体"/>
              </w:rPr>
              <w:t>-</w:t>
            </w:r>
          </w:p>
        </w:tc>
      </w:tr>
      <w:tr w:rsidR="0062768B" w14:paraId="2978361C"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7A0BCD59"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熟地总价</w:t>
            </w:r>
          </w:p>
        </w:tc>
        <w:tc>
          <w:tcPr>
            <w:tcW w:w="1843" w:type="dxa"/>
            <w:tcBorders>
              <w:top w:val="nil"/>
              <w:left w:val="nil"/>
              <w:bottom w:val="single" w:sz="4" w:space="0" w:color="auto"/>
              <w:right w:val="single" w:sz="4" w:space="0" w:color="auto"/>
            </w:tcBorders>
            <w:shd w:val="clear" w:color="auto" w:fill="auto"/>
            <w:vAlign w:val="center"/>
          </w:tcPr>
          <w:p w14:paraId="31D1DBC0" w14:textId="77777777" w:rsidR="0062768B" w:rsidRDefault="00136729">
            <w:pPr>
              <w:spacing w:line="300" w:lineRule="auto"/>
              <w:jc w:val="center"/>
              <w:rPr>
                <w:rFonts w:ascii="黑体" w:eastAsia="黑体" w:hAnsi="黑体" w:cs="宋体"/>
                <w:szCs w:val="24"/>
              </w:rPr>
            </w:pPr>
            <w:r>
              <w:rPr>
                <w:rFonts w:ascii="黑体" w:eastAsia="黑体" w:hAnsi="黑体" w:hint="eastAsia"/>
              </w:rPr>
              <w:t>-</w:t>
            </w:r>
          </w:p>
        </w:tc>
        <w:tc>
          <w:tcPr>
            <w:tcW w:w="1596" w:type="dxa"/>
            <w:tcBorders>
              <w:top w:val="nil"/>
              <w:left w:val="nil"/>
              <w:bottom w:val="single" w:sz="4" w:space="0" w:color="auto"/>
              <w:right w:val="single" w:sz="4" w:space="0" w:color="auto"/>
            </w:tcBorders>
            <w:shd w:val="clear" w:color="auto" w:fill="auto"/>
            <w:vAlign w:val="center"/>
          </w:tcPr>
          <w:p w14:paraId="5AE81783" w14:textId="77777777" w:rsidR="0062768B" w:rsidRDefault="00136729">
            <w:pPr>
              <w:spacing w:line="300" w:lineRule="auto"/>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14DAD05D" w14:textId="77777777" w:rsidR="0062768B" w:rsidRDefault="00136729">
            <w:pPr>
              <w:spacing w:line="300" w:lineRule="auto"/>
              <w:jc w:val="center"/>
              <w:rPr>
                <w:rFonts w:ascii="黑体" w:eastAsia="黑体" w:hAnsi="黑体" w:cs="宋体"/>
                <w:szCs w:val="24"/>
              </w:rPr>
            </w:pPr>
            <w:r>
              <w:rPr>
                <w:rFonts w:ascii="黑体" w:eastAsia="黑体" w:hAnsi="黑体"/>
              </w:rPr>
              <w:t xml:space="preserve">103245.0381 </w:t>
            </w:r>
          </w:p>
        </w:tc>
      </w:tr>
      <w:tr w:rsidR="0062768B" w14:paraId="21008C8E" w14:textId="77777777">
        <w:trPr>
          <w:trHeight w:val="525"/>
          <w:jc w:val="center"/>
        </w:trPr>
        <w:tc>
          <w:tcPr>
            <w:tcW w:w="3403" w:type="dxa"/>
            <w:tcBorders>
              <w:top w:val="nil"/>
              <w:left w:val="nil"/>
              <w:bottom w:val="nil"/>
              <w:right w:val="nil"/>
            </w:tcBorders>
            <w:shd w:val="clear" w:color="auto" w:fill="auto"/>
            <w:vAlign w:val="center"/>
          </w:tcPr>
          <w:p w14:paraId="03C09E1A" w14:textId="77777777" w:rsidR="0062768B" w:rsidRDefault="0062768B">
            <w:pPr>
              <w:widowControl/>
              <w:adjustRightInd/>
              <w:spacing w:line="300" w:lineRule="auto"/>
              <w:jc w:val="center"/>
              <w:textAlignment w:val="auto"/>
              <w:rPr>
                <w:rFonts w:ascii="Arial" w:eastAsia="仿宋_GB2312" w:hAnsi="Arial" w:cs="Arial"/>
                <w:szCs w:val="24"/>
              </w:rPr>
            </w:pPr>
          </w:p>
        </w:tc>
        <w:tc>
          <w:tcPr>
            <w:tcW w:w="1843" w:type="dxa"/>
            <w:tcBorders>
              <w:top w:val="nil"/>
              <w:left w:val="nil"/>
              <w:bottom w:val="nil"/>
              <w:right w:val="nil"/>
            </w:tcBorders>
            <w:shd w:val="clear" w:color="auto" w:fill="auto"/>
            <w:vAlign w:val="center"/>
          </w:tcPr>
          <w:p w14:paraId="0F7DFB54" w14:textId="77777777" w:rsidR="0062768B" w:rsidRDefault="0062768B">
            <w:pPr>
              <w:widowControl/>
              <w:adjustRightInd/>
              <w:spacing w:line="300" w:lineRule="auto"/>
              <w:jc w:val="center"/>
              <w:textAlignment w:val="auto"/>
              <w:rPr>
                <w:rFonts w:ascii="Arial" w:eastAsia="仿宋_GB2312" w:hAnsi="Arial" w:cs="Arial"/>
                <w:szCs w:val="24"/>
              </w:rPr>
            </w:pPr>
          </w:p>
        </w:tc>
        <w:tc>
          <w:tcPr>
            <w:tcW w:w="1596" w:type="dxa"/>
            <w:tcBorders>
              <w:top w:val="nil"/>
              <w:left w:val="nil"/>
              <w:bottom w:val="nil"/>
              <w:right w:val="nil"/>
            </w:tcBorders>
            <w:shd w:val="clear" w:color="auto" w:fill="auto"/>
            <w:vAlign w:val="center"/>
          </w:tcPr>
          <w:p w14:paraId="6F1F7B9C" w14:textId="77777777" w:rsidR="0062768B" w:rsidRDefault="0062768B">
            <w:pPr>
              <w:widowControl/>
              <w:adjustRightInd/>
              <w:spacing w:line="300" w:lineRule="auto"/>
              <w:jc w:val="center"/>
              <w:textAlignment w:val="auto"/>
              <w:rPr>
                <w:rFonts w:ascii="Arial" w:eastAsia="仿宋_GB2312" w:hAnsi="Arial" w:cs="Arial"/>
                <w:szCs w:val="24"/>
              </w:rPr>
            </w:pPr>
          </w:p>
        </w:tc>
        <w:tc>
          <w:tcPr>
            <w:tcW w:w="2230" w:type="dxa"/>
            <w:tcBorders>
              <w:top w:val="nil"/>
              <w:left w:val="nil"/>
              <w:bottom w:val="nil"/>
              <w:right w:val="nil"/>
            </w:tcBorders>
            <w:shd w:val="clear" w:color="auto" w:fill="auto"/>
            <w:vAlign w:val="center"/>
          </w:tcPr>
          <w:p w14:paraId="25D6156C" w14:textId="77777777" w:rsidR="0062768B" w:rsidRDefault="0062768B">
            <w:pPr>
              <w:widowControl/>
              <w:adjustRightInd/>
              <w:spacing w:line="300" w:lineRule="auto"/>
              <w:jc w:val="center"/>
              <w:textAlignment w:val="auto"/>
              <w:rPr>
                <w:rFonts w:ascii="Arial" w:eastAsia="仿宋_GB2312" w:hAnsi="Arial" w:cs="Arial"/>
                <w:szCs w:val="24"/>
              </w:rPr>
            </w:pPr>
          </w:p>
        </w:tc>
      </w:tr>
      <w:tr w:rsidR="0062768B" w14:paraId="66666388" w14:textId="77777777">
        <w:trPr>
          <w:trHeight w:val="675"/>
          <w:jc w:val="center"/>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14:paraId="2D1CDF88"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47B823DF"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楼面单价</w:t>
            </w:r>
            <w:r>
              <w:rPr>
                <w:rFonts w:ascii="Arial" w:eastAsia="仿宋_GB2312" w:hAnsi="Arial" w:cs="Arial"/>
                <w:szCs w:val="24"/>
              </w:rPr>
              <w:br/>
            </w:r>
            <w:r>
              <w:rPr>
                <w:rFonts w:ascii="Arial" w:eastAsia="仿宋_GB2312" w:hAnsi="Arial" w:cs="Arial"/>
                <w:szCs w:val="24"/>
              </w:rPr>
              <w:t>（元</w:t>
            </w:r>
            <w:r>
              <w:rPr>
                <w:rFonts w:ascii="Arial" w:eastAsia="仿宋_GB2312" w:hAnsi="Arial" w:cs="Arial"/>
                <w:szCs w:val="24"/>
              </w:rPr>
              <w:t>/</w:t>
            </w:r>
            <w:r>
              <w:rPr>
                <w:rFonts w:ascii="Arial" w:eastAsia="仿宋_GB2312" w:hAnsi="Arial" w:cs="Arial"/>
                <w:szCs w:val="24"/>
              </w:rPr>
              <w:t>平方米）</w:t>
            </w:r>
          </w:p>
        </w:tc>
        <w:tc>
          <w:tcPr>
            <w:tcW w:w="1596" w:type="dxa"/>
            <w:tcBorders>
              <w:top w:val="single" w:sz="4" w:space="0" w:color="auto"/>
              <w:left w:val="nil"/>
              <w:bottom w:val="single" w:sz="4" w:space="0" w:color="auto"/>
              <w:right w:val="single" w:sz="4" w:space="0" w:color="auto"/>
            </w:tcBorders>
            <w:shd w:val="clear" w:color="auto" w:fill="auto"/>
            <w:vAlign w:val="center"/>
          </w:tcPr>
          <w:p w14:paraId="7E44F614"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建筑规模</w:t>
            </w:r>
            <w:r>
              <w:rPr>
                <w:rFonts w:ascii="Arial" w:eastAsia="仿宋_GB2312" w:hAnsi="Arial" w:cs="Arial"/>
                <w:szCs w:val="24"/>
              </w:rPr>
              <w:br/>
            </w:r>
            <w:r>
              <w:rPr>
                <w:rFonts w:ascii="Arial" w:eastAsia="仿宋_GB2312" w:hAnsi="Arial" w:cs="Arial"/>
                <w:szCs w:val="24"/>
              </w:rPr>
              <w:t>（平方米）</w:t>
            </w:r>
          </w:p>
        </w:tc>
        <w:tc>
          <w:tcPr>
            <w:tcW w:w="2230" w:type="dxa"/>
            <w:tcBorders>
              <w:top w:val="single" w:sz="4" w:space="0" w:color="auto"/>
              <w:left w:val="nil"/>
              <w:bottom w:val="single" w:sz="4" w:space="0" w:color="auto"/>
              <w:right w:val="single" w:sz="4" w:space="0" w:color="auto"/>
            </w:tcBorders>
            <w:shd w:val="clear" w:color="auto" w:fill="auto"/>
            <w:vAlign w:val="center"/>
          </w:tcPr>
          <w:p w14:paraId="36A155D3"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总价</w:t>
            </w:r>
            <w:r>
              <w:rPr>
                <w:rFonts w:ascii="Arial" w:eastAsia="仿宋_GB2312" w:hAnsi="Arial" w:cs="Arial"/>
                <w:szCs w:val="24"/>
              </w:rPr>
              <w:br/>
            </w:r>
            <w:r>
              <w:rPr>
                <w:rFonts w:ascii="Arial" w:eastAsia="仿宋_GB2312" w:hAnsi="Arial" w:cs="Arial"/>
                <w:szCs w:val="24"/>
              </w:rPr>
              <w:t>（万元）</w:t>
            </w:r>
          </w:p>
        </w:tc>
      </w:tr>
      <w:tr w:rsidR="0062768B" w14:paraId="0CB82855"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0105371F"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住宅用途政府土地出让收益</w:t>
            </w:r>
          </w:p>
        </w:tc>
        <w:tc>
          <w:tcPr>
            <w:tcW w:w="1843" w:type="dxa"/>
            <w:tcBorders>
              <w:top w:val="nil"/>
              <w:left w:val="nil"/>
              <w:bottom w:val="single" w:sz="4" w:space="0" w:color="auto"/>
              <w:right w:val="single" w:sz="4" w:space="0" w:color="auto"/>
            </w:tcBorders>
            <w:shd w:val="clear" w:color="auto" w:fill="auto"/>
            <w:vAlign w:val="center"/>
          </w:tcPr>
          <w:p w14:paraId="40204427" w14:textId="77777777" w:rsidR="0062768B" w:rsidRDefault="00136729">
            <w:pPr>
              <w:spacing w:line="300" w:lineRule="auto"/>
              <w:jc w:val="center"/>
              <w:rPr>
                <w:rFonts w:ascii="黑体" w:eastAsia="黑体" w:hAnsi="黑体" w:cs="宋体"/>
                <w:szCs w:val="24"/>
              </w:rPr>
            </w:pPr>
            <w:r>
              <w:rPr>
                <w:rFonts w:ascii="黑体" w:eastAsia="黑体" w:hAnsi="黑体"/>
              </w:rPr>
              <w:t>3788</w:t>
            </w:r>
          </w:p>
        </w:tc>
        <w:tc>
          <w:tcPr>
            <w:tcW w:w="1596" w:type="dxa"/>
            <w:tcBorders>
              <w:top w:val="nil"/>
              <w:left w:val="nil"/>
              <w:bottom w:val="single" w:sz="4" w:space="0" w:color="auto"/>
              <w:right w:val="single" w:sz="4" w:space="0" w:color="auto"/>
            </w:tcBorders>
            <w:shd w:val="clear" w:color="auto" w:fill="auto"/>
            <w:vAlign w:val="center"/>
          </w:tcPr>
          <w:p w14:paraId="30E3663C" w14:textId="77777777" w:rsidR="0062768B" w:rsidRDefault="00136729">
            <w:pPr>
              <w:spacing w:line="300" w:lineRule="auto"/>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1ED5D77A" w14:textId="77777777" w:rsidR="0062768B" w:rsidRDefault="00136729">
            <w:pPr>
              <w:spacing w:line="300" w:lineRule="auto"/>
              <w:jc w:val="center"/>
              <w:rPr>
                <w:rFonts w:ascii="黑体" w:eastAsia="黑体" w:hAnsi="黑体" w:cs="宋体"/>
                <w:szCs w:val="24"/>
              </w:rPr>
            </w:pPr>
            <w:r>
              <w:rPr>
                <w:rFonts w:ascii="黑体" w:eastAsia="黑体" w:hAnsi="黑体"/>
              </w:rPr>
              <w:t>25814.6670</w:t>
            </w:r>
          </w:p>
        </w:tc>
      </w:tr>
      <w:tr w:rsidR="0062768B" w14:paraId="6546A650" w14:textId="77777777">
        <w:trPr>
          <w:trHeight w:val="550"/>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0FF00386"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商业</w:t>
            </w:r>
            <w:r>
              <w:rPr>
                <w:rFonts w:ascii="Arial" w:eastAsia="仿宋_GB2312" w:hAnsi="Arial" w:cs="Arial" w:hint="eastAsia"/>
                <w:szCs w:val="24"/>
              </w:rPr>
              <w:t>（其他商服）</w:t>
            </w:r>
            <w:r>
              <w:rPr>
                <w:rFonts w:ascii="Arial" w:eastAsia="仿宋_GB2312" w:hAnsi="Arial" w:cs="Arial"/>
                <w:szCs w:val="24"/>
              </w:rPr>
              <w:t>用途</w:t>
            </w:r>
          </w:p>
          <w:p w14:paraId="05C3D977"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政府土地出让收益</w:t>
            </w:r>
          </w:p>
        </w:tc>
        <w:tc>
          <w:tcPr>
            <w:tcW w:w="1843" w:type="dxa"/>
            <w:tcBorders>
              <w:top w:val="nil"/>
              <w:left w:val="nil"/>
              <w:bottom w:val="single" w:sz="4" w:space="0" w:color="auto"/>
              <w:right w:val="single" w:sz="4" w:space="0" w:color="auto"/>
            </w:tcBorders>
            <w:shd w:val="clear" w:color="auto" w:fill="auto"/>
            <w:vAlign w:val="center"/>
          </w:tcPr>
          <w:p w14:paraId="457A5D08" w14:textId="77777777" w:rsidR="0062768B" w:rsidRDefault="00136729">
            <w:pPr>
              <w:spacing w:line="300" w:lineRule="auto"/>
              <w:jc w:val="center"/>
              <w:rPr>
                <w:rFonts w:ascii="黑体" w:eastAsia="黑体" w:hAnsi="黑体" w:cs="宋体"/>
                <w:szCs w:val="24"/>
              </w:rPr>
            </w:pPr>
            <w:r>
              <w:rPr>
                <w:rFonts w:ascii="黑体" w:eastAsia="黑体" w:hAnsi="黑体"/>
              </w:rPr>
              <w:t>2032</w:t>
            </w:r>
          </w:p>
        </w:tc>
        <w:tc>
          <w:tcPr>
            <w:tcW w:w="1596" w:type="dxa"/>
            <w:tcBorders>
              <w:top w:val="nil"/>
              <w:left w:val="nil"/>
              <w:bottom w:val="single" w:sz="4" w:space="0" w:color="auto"/>
              <w:right w:val="single" w:sz="4" w:space="0" w:color="auto"/>
            </w:tcBorders>
            <w:shd w:val="clear" w:color="auto" w:fill="auto"/>
            <w:vAlign w:val="center"/>
          </w:tcPr>
          <w:p w14:paraId="024FDB98" w14:textId="77777777" w:rsidR="0062768B" w:rsidRDefault="00136729">
            <w:pPr>
              <w:spacing w:line="300" w:lineRule="auto"/>
              <w:jc w:val="center"/>
              <w:rPr>
                <w:rFonts w:ascii="黑体" w:eastAsia="黑体" w:hAnsi="黑体"/>
              </w:rPr>
            </w:pPr>
            <w:r>
              <w:rPr>
                <w:rFonts w:ascii="黑体" w:eastAsia="黑体" w:hAnsi="黑体" w:hint="eastAsia"/>
              </w:rPr>
              <w:t>-</w:t>
            </w:r>
          </w:p>
        </w:tc>
        <w:tc>
          <w:tcPr>
            <w:tcW w:w="2230" w:type="dxa"/>
            <w:tcBorders>
              <w:top w:val="nil"/>
              <w:left w:val="nil"/>
              <w:bottom w:val="single" w:sz="4" w:space="0" w:color="auto"/>
              <w:right w:val="single" w:sz="4" w:space="0" w:color="auto"/>
            </w:tcBorders>
            <w:shd w:val="clear" w:color="auto" w:fill="auto"/>
            <w:vAlign w:val="center"/>
          </w:tcPr>
          <w:p w14:paraId="4CA807F8" w14:textId="77777777" w:rsidR="0062768B" w:rsidRDefault="00136729">
            <w:pPr>
              <w:spacing w:line="300" w:lineRule="auto"/>
              <w:jc w:val="center"/>
              <w:rPr>
                <w:rFonts w:ascii="黑体" w:eastAsia="黑体" w:hAnsi="黑体" w:cs="宋体"/>
                <w:szCs w:val="24"/>
              </w:rPr>
            </w:pPr>
            <w:r>
              <w:rPr>
                <w:rFonts w:ascii="黑体" w:eastAsia="黑体" w:hAnsi="黑体" w:hint="eastAsia"/>
              </w:rPr>
              <w:t>-</w:t>
            </w:r>
          </w:p>
        </w:tc>
      </w:tr>
      <w:tr w:rsidR="0062768B" w14:paraId="6DF09A20"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62672726"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hint="eastAsia"/>
                <w:szCs w:val="24"/>
              </w:rPr>
              <w:t>公共服务</w:t>
            </w:r>
            <w:r>
              <w:rPr>
                <w:rFonts w:ascii="Arial" w:eastAsia="仿宋_GB2312" w:hAnsi="Arial" w:cs="Arial"/>
                <w:szCs w:val="24"/>
              </w:rPr>
              <w:t>用途</w:t>
            </w:r>
          </w:p>
          <w:p w14:paraId="2A55BFB6"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政府土地出让收益</w:t>
            </w:r>
          </w:p>
        </w:tc>
        <w:tc>
          <w:tcPr>
            <w:tcW w:w="1843" w:type="dxa"/>
            <w:tcBorders>
              <w:top w:val="nil"/>
              <w:left w:val="nil"/>
              <w:bottom w:val="single" w:sz="4" w:space="0" w:color="auto"/>
              <w:right w:val="single" w:sz="4" w:space="0" w:color="auto"/>
            </w:tcBorders>
            <w:shd w:val="clear" w:color="auto" w:fill="auto"/>
            <w:vAlign w:val="center"/>
          </w:tcPr>
          <w:p w14:paraId="36A879F7" w14:textId="77777777" w:rsidR="0062768B" w:rsidRDefault="00136729">
            <w:pPr>
              <w:spacing w:line="300" w:lineRule="auto"/>
              <w:jc w:val="center"/>
              <w:rPr>
                <w:rFonts w:ascii="黑体" w:eastAsia="黑体" w:hAnsi="黑体" w:cs="宋体"/>
                <w:szCs w:val="24"/>
              </w:rPr>
            </w:pPr>
            <w:r>
              <w:rPr>
                <w:rFonts w:ascii="黑体" w:eastAsia="黑体" w:hAnsi="黑体"/>
              </w:rPr>
              <w:t>906</w:t>
            </w:r>
          </w:p>
        </w:tc>
        <w:tc>
          <w:tcPr>
            <w:tcW w:w="1596" w:type="dxa"/>
            <w:tcBorders>
              <w:top w:val="nil"/>
              <w:left w:val="nil"/>
              <w:bottom w:val="single" w:sz="4" w:space="0" w:color="auto"/>
              <w:right w:val="single" w:sz="4" w:space="0" w:color="auto"/>
            </w:tcBorders>
            <w:shd w:val="clear" w:color="auto" w:fill="auto"/>
            <w:vAlign w:val="center"/>
          </w:tcPr>
          <w:p w14:paraId="785BD231" w14:textId="77777777" w:rsidR="0062768B" w:rsidRDefault="00136729">
            <w:pPr>
              <w:spacing w:line="300" w:lineRule="auto"/>
              <w:jc w:val="center"/>
              <w:rPr>
                <w:rFonts w:ascii="黑体" w:eastAsia="黑体" w:hAnsi="黑体"/>
              </w:rPr>
            </w:pPr>
            <w:r>
              <w:rPr>
                <w:rFonts w:ascii="黑体" w:eastAsia="黑体" w:hAnsi="黑体"/>
              </w:rPr>
              <w:t>-</w:t>
            </w:r>
          </w:p>
        </w:tc>
        <w:tc>
          <w:tcPr>
            <w:tcW w:w="2230" w:type="dxa"/>
            <w:tcBorders>
              <w:top w:val="nil"/>
              <w:left w:val="nil"/>
              <w:bottom w:val="single" w:sz="4" w:space="0" w:color="auto"/>
              <w:right w:val="single" w:sz="4" w:space="0" w:color="auto"/>
            </w:tcBorders>
            <w:shd w:val="clear" w:color="auto" w:fill="auto"/>
            <w:vAlign w:val="center"/>
          </w:tcPr>
          <w:p w14:paraId="759B9D5B" w14:textId="77777777" w:rsidR="0062768B" w:rsidRDefault="00136729">
            <w:pPr>
              <w:spacing w:line="300" w:lineRule="auto"/>
              <w:jc w:val="center"/>
              <w:rPr>
                <w:rFonts w:ascii="黑体" w:eastAsia="黑体" w:hAnsi="黑体" w:cs="宋体"/>
                <w:szCs w:val="24"/>
              </w:rPr>
            </w:pPr>
            <w:r>
              <w:rPr>
                <w:rFonts w:ascii="黑体" w:eastAsia="黑体" w:hAnsi="黑体"/>
              </w:rPr>
              <w:t>-</w:t>
            </w:r>
          </w:p>
        </w:tc>
      </w:tr>
      <w:tr w:rsidR="0062768B" w14:paraId="15788B53" w14:textId="77777777">
        <w:trPr>
          <w:trHeight w:val="550"/>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4255B762"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政府土地出让收益总价</w:t>
            </w:r>
          </w:p>
        </w:tc>
        <w:tc>
          <w:tcPr>
            <w:tcW w:w="1843" w:type="dxa"/>
            <w:tcBorders>
              <w:top w:val="nil"/>
              <w:left w:val="nil"/>
              <w:bottom w:val="single" w:sz="4" w:space="0" w:color="auto"/>
              <w:right w:val="single" w:sz="4" w:space="0" w:color="auto"/>
            </w:tcBorders>
            <w:shd w:val="clear" w:color="auto" w:fill="auto"/>
            <w:vAlign w:val="center"/>
          </w:tcPr>
          <w:p w14:paraId="6D690AE2" w14:textId="77777777" w:rsidR="0062768B" w:rsidRDefault="00136729">
            <w:pPr>
              <w:spacing w:line="300" w:lineRule="auto"/>
              <w:jc w:val="center"/>
              <w:rPr>
                <w:rFonts w:ascii="黑体" w:eastAsia="黑体" w:hAnsi="黑体" w:cs="宋体"/>
                <w:szCs w:val="24"/>
              </w:rPr>
            </w:pPr>
            <w:r>
              <w:rPr>
                <w:rFonts w:ascii="黑体" w:eastAsia="黑体" w:hAnsi="黑体" w:hint="eastAsia"/>
              </w:rPr>
              <w:t>-</w:t>
            </w:r>
          </w:p>
        </w:tc>
        <w:tc>
          <w:tcPr>
            <w:tcW w:w="1596" w:type="dxa"/>
            <w:tcBorders>
              <w:top w:val="nil"/>
              <w:left w:val="nil"/>
              <w:bottom w:val="single" w:sz="4" w:space="0" w:color="auto"/>
              <w:right w:val="single" w:sz="4" w:space="0" w:color="auto"/>
            </w:tcBorders>
            <w:shd w:val="clear" w:color="auto" w:fill="auto"/>
            <w:vAlign w:val="center"/>
          </w:tcPr>
          <w:p w14:paraId="71D36999" w14:textId="77777777" w:rsidR="0062768B" w:rsidRDefault="00136729">
            <w:pPr>
              <w:spacing w:line="300" w:lineRule="auto"/>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56870931" w14:textId="77777777" w:rsidR="0062768B" w:rsidRDefault="00136729">
            <w:pPr>
              <w:spacing w:line="300" w:lineRule="auto"/>
              <w:jc w:val="center"/>
              <w:rPr>
                <w:rFonts w:ascii="黑体" w:eastAsia="黑体" w:hAnsi="黑体" w:cs="宋体"/>
                <w:szCs w:val="24"/>
              </w:rPr>
            </w:pPr>
            <w:r>
              <w:rPr>
                <w:rFonts w:ascii="黑体" w:eastAsia="黑体" w:hAnsi="黑体"/>
              </w:rPr>
              <w:t>25814.6670</w:t>
            </w:r>
          </w:p>
        </w:tc>
      </w:tr>
      <w:tr w:rsidR="0062768B" w14:paraId="04ABCD8E" w14:textId="77777777">
        <w:trPr>
          <w:trHeight w:val="765"/>
          <w:jc w:val="center"/>
        </w:trPr>
        <w:tc>
          <w:tcPr>
            <w:tcW w:w="9072" w:type="dxa"/>
            <w:gridSpan w:val="4"/>
            <w:tcBorders>
              <w:top w:val="nil"/>
              <w:left w:val="nil"/>
              <w:bottom w:val="nil"/>
              <w:right w:val="nil"/>
            </w:tcBorders>
            <w:shd w:val="clear" w:color="auto" w:fill="auto"/>
            <w:vAlign w:val="center"/>
          </w:tcPr>
          <w:p w14:paraId="4C859F8E" w14:textId="77777777" w:rsidR="0062768B" w:rsidRDefault="0062768B">
            <w:pPr>
              <w:widowControl/>
              <w:adjustRightInd/>
              <w:spacing w:line="300" w:lineRule="auto"/>
              <w:textAlignment w:val="auto"/>
              <w:rPr>
                <w:rFonts w:ascii="Arial" w:eastAsia="仿宋_GB2312" w:hAnsi="Arial" w:cs="Arial"/>
                <w:b/>
                <w:szCs w:val="24"/>
              </w:rPr>
            </w:pPr>
          </w:p>
          <w:p w14:paraId="3D46F177" w14:textId="77777777" w:rsidR="0062768B" w:rsidRDefault="00136729">
            <w:pPr>
              <w:widowControl/>
              <w:adjustRightInd/>
              <w:spacing w:line="300" w:lineRule="auto"/>
              <w:textAlignment w:val="auto"/>
              <w:rPr>
                <w:rFonts w:ascii="Arial" w:eastAsia="仿宋_GB2312" w:hAnsi="Arial" w:cs="Arial"/>
                <w:b/>
                <w:szCs w:val="24"/>
              </w:rPr>
            </w:pPr>
            <w:r>
              <w:rPr>
                <w:rFonts w:ascii="Arial" w:eastAsia="仿宋_GB2312" w:hAnsi="Arial" w:cs="Arial"/>
                <w:b/>
                <w:szCs w:val="24"/>
              </w:rPr>
              <w:t>出让底价建议：</w:t>
            </w:r>
          </w:p>
          <w:p w14:paraId="65AA24C4" w14:textId="77777777" w:rsidR="0062768B" w:rsidRDefault="00136729">
            <w:pPr>
              <w:widowControl/>
              <w:adjustRightInd/>
              <w:spacing w:line="300" w:lineRule="auto"/>
              <w:ind w:left="1185" w:hanging="720"/>
              <w:textAlignment w:val="auto"/>
              <w:rPr>
                <w:rFonts w:ascii="Arial" w:eastAsia="仿宋_GB2312" w:hAnsi="Arial" w:cs="Arial"/>
                <w:b/>
                <w:szCs w:val="24"/>
              </w:rPr>
            </w:pPr>
            <w:r>
              <w:rPr>
                <w:rFonts w:ascii="Arial" w:eastAsia="仿宋_GB2312" w:hAnsi="Arial" w:cs="Arial"/>
                <w:b/>
                <w:szCs w:val="24"/>
              </w:rPr>
              <w:t>1</w:t>
            </w:r>
            <w:r>
              <w:rPr>
                <w:rFonts w:ascii="Arial" w:eastAsia="仿宋_GB2312" w:hAnsi="Arial" w:cs="Arial"/>
                <w:b/>
                <w:szCs w:val="24"/>
              </w:rPr>
              <w:t>、</w:t>
            </w:r>
            <w:r>
              <w:rPr>
                <w:rFonts w:ascii="Arial" w:eastAsia="仿宋_GB2312" w:hAnsi="Arial" w:cs="Arial" w:hint="eastAsia"/>
                <w:b/>
                <w:szCs w:val="24"/>
              </w:rPr>
              <w:t>北京市对出让地价评审要求</w:t>
            </w:r>
          </w:p>
          <w:p w14:paraId="4B51586E"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根据有关政策规定，土地开发成本经审计、认定后，作为出让地价评审参考。出让地价政府土地出让收益与土地开发成本之和（基本价格）不得低于该宗地熟地价。如政府土地出让收益与土地开发成本之和（基本价格）低于该宗地熟地价，则将熟地价作为该宗地的底价。</w:t>
            </w:r>
          </w:p>
          <w:p w14:paraId="0ABA5D04" w14:textId="77777777" w:rsidR="0062768B" w:rsidRDefault="00136729">
            <w:pPr>
              <w:widowControl/>
              <w:adjustRightInd/>
              <w:spacing w:line="300" w:lineRule="auto"/>
              <w:ind w:left="1185" w:hanging="720"/>
              <w:textAlignment w:val="auto"/>
              <w:rPr>
                <w:rFonts w:ascii="Arial" w:eastAsia="仿宋_GB2312" w:hAnsi="Arial" w:cs="Arial"/>
                <w:b/>
                <w:szCs w:val="24"/>
              </w:rPr>
            </w:pPr>
            <w:r>
              <w:rPr>
                <w:rFonts w:ascii="Arial" w:eastAsia="仿宋_GB2312" w:hAnsi="Arial" w:cs="Arial"/>
                <w:b/>
                <w:szCs w:val="24"/>
              </w:rPr>
              <w:t>2</w:t>
            </w:r>
            <w:r>
              <w:rPr>
                <w:rFonts w:ascii="Arial" w:eastAsia="仿宋_GB2312" w:hAnsi="Arial" w:cs="Arial"/>
                <w:b/>
                <w:szCs w:val="24"/>
              </w:rPr>
              <w:t>、</w:t>
            </w:r>
            <w:r>
              <w:rPr>
                <w:rFonts w:ascii="Arial" w:eastAsia="仿宋_GB2312" w:hAnsi="Arial" w:cs="Arial" w:hint="eastAsia"/>
                <w:b/>
                <w:szCs w:val="24"/>
              </w:rPr>
              <w:t>基本价格</w:t>
            </w:r>
          </w:p>
          <w:p w14:paraId="2A8F08E5"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如上表所示，本次评估</w:t>
            </w:r>
            <w:r>
              <w:rPr>
                <w:rFonts w:ascii="Arial" w:eastAsia="仿宋_GB2312" w:hAnsi="Arial" w:cs="Arial"/>
                <w:b/>
                <w:szCs w:val="24"/>
              </w:rPr>
              <w:t>政府土地出让收益总价为</w:t>
            </w:r>
            <w:r>
              <w:rPr>
                <w:rFonts w:ascii="Arial" w:eastAsia="仿宋_GB2312" w:hAnsi="Arial" w:cs="Arial"/>
                <w:b/>
                <w:szCs w:val="24"/>
              </w:rPr>
              <w:t>25814.6670</w:t>
            </w:r>
            <w:r>
              <w:rPr>
                <w:rFonts w:ascii="Arial" w:eastAsia="仿宋_GB2312" w:hAnsi="Arial" w:cs="Arial"/>
                <w:b/>
                <w:szCs w:val="24"/>
              </w:rPr>
              <w:t>万元</w:t>
            </w:r>
            <w:r>
              <w:rPr>
                <w:rFonts w:ascii="Arial" w:eastAsia="仿宋_GB2312" w:hAnsi="Arial" w:cs="Arial" w:hint="eastAsia"/>
                <w:b/>
                <w:szCs w:val="24"/>
              </w:rPr>
              <w:t>。</w:t>
            </w:r>
            <w:r>
              <w:rPr>
                <w:rFonts w:ascii="Arial" w:eastAsia="仿宋_GB2312" w:hAnsi="Arial" w:cs="Arial"/>
                <w:b/>
                <w:szCs w:val="24"/>
              </w:rPr>
              <w:t>另根据</w:t>
            </w:r>
            <w:r>
              <w:rPr>
                <w:rFonts w:ascii="Arial" w:eastAsia="仿宋_GB2312" w:hAnsi="Arial" w:cs="Arial" w:hint="eastAsia"/>
                <w:b/>
                <w:szCs w:val="24"/>
              </w:rPr>
              <w:t>《成本文件》（文件号），估价对象土地开发总成本为</w:t>
            </w:r>
            <w:r w:rsidR="00550FB0">
              <w:rPr>
                <w:rFonts w:ascii="Arial" w:eastAsia="仿宋_GB2312" w:hAnsi="Arial" w:cs="Arial" w:hint="eastAsia"/>
                <w:b/>
                <w:szCs w:val="24"/>
              </w:rPr>
              <w:t>78853.6400</w:t>
            </w:r>
            <w:r>
              <w:rPr>
                <w:rFonts w:ascii="Arial" w:eastAsia="仿宋_GB2312" w:hAnsi="Arial" w:cs="Arial"/>
                <w:b/>
                <w:szCs w:val="24"/>
              </w:rPr>
              <w:t>万元</w:t>
            </w:r>
            <w:r>
              <w:rPr>
                <w:rFonts w:ascii="Arial" w:eastAsia="仿宋_GB2312" w:hAnsi="Arial" w:cs="Arial" w:hint="eastAsia"/>
                <w:b/>
                <w:szCs w:val="24"/>
              </w:rPr>
              <w:t>。则</w:t>
            </w:r>
            <w:r>
              <w:rPr>
                <w:rFonts w:ascii="Arial" w:eastAsia="仿宋_GB2312" w:hAnsi="Arial" w:cs="Arial"/>
                <w:b/>
                <w:szCs w:val="24"/>
              </w:rPr>
              <w:t>政府土地出让收益与土地开发成本之和</w:t>
            </w:r>
            <w:r>
              <w:rPr>
                <w:rFonts w:ascii="Arial" w:eastAsia="仿宋_GB2312" w:hAnsi="Arial" w:cs="Arial" w:hint="eastAsia"/>
                <w:b/>
                <w:szCs w:val="24"/>
              </w:rPr>
              <w:t>（基本价格）</w:t>
            </w:r>
            <w:r>
              <w:rPr>
                <w:rFonts w:ascii="Arial" w:eastAsia="仿宋_GB2312" w:hAnsi="Arial" w:cs="Arial"/>
                <w:b/>
                <w:szCs w:val="24"/>
              </w:rPr>
              <w:t>为</w:t>
            </w:r>
            <w:r w:rsidR="00550FB0">
              <w:rPr>
                <w:rFonts w:ascii="Arial" w:eastAsia="仿宋_GB2312" w:hAnsi="Arial" w:cs="Arial" w:hint="eastAsia"/>
                <w:b/>
                <w:szCs w:val="24"/>
              </w:rPr>
              <w:t>104668.3070</w:t>
            </w:r>
            <w:r>
              <w:rPr>
                <w:rFonts w:ascii="Arial" w:eastAsia="仿宋_GB2312" w:hAnsi="Arial" w:cs="Arial"/>
                <w:b/>
                <w:szCs w:val="24"/>
              </w:rPr>
              <w:t>万元</w:t>
            </w:r>
            <w:r>
              <w:rPr>
                <w:rFonts w:ascii="Arial" w:eastAsia="仿宋_GB2312" w:hAnsi="Arial" w:cs="Arial" w:hint="eastAsia"/>
                <w:b/>
                <w:szCs w:val="24"/>
              </w:rPr>
              <w:t>。</w:t>
            </w:r>
          </w:p>
          <w:p w14:paraId="4C54F3A3" w14:textId="77777777" w:rsidR="0062768B" w:rsidRDefault="00136729">
            <w:pPr>
              <w:widowControl/>
              <w:adjustRightInd/>
              <w:spacing w:line="300" w:lineRule="auto"/>
              <w:ind w:left="1185" w:hanging="720"/>
              <w:textAlignment w:val="auto"/>
              <w:rPr>
                <w:rFonts w:ascii="Arial" w:eastAsia="仿宋_GB2312" w:hAnsi="Arial" w:cs="Arial"/>
                <w:b/>
                <w:szCs w:val="24"/>
              </w:rPr>
            </w:pPr>
            <w:r>
              <w:rPr>
                <w:rFonts w:ascii="Arial" w:eastAsia="仿宋_GB2312" w:hAnsi="Arial" w:cs="Arial"/>
                <w:b/>
                <w:szCs w:val="24"/>
              </w:rPr>
              <w:t>3</w:t>
            </w:r>
            <w:r>
              <w:rPr>
                <w:rFonts w:ascii="Arial" w:eastAsia="仿宋_GB2312" w:hAnsi="Arial" w:cs="Arial"/>
                <w:b/>
                <w:szCs w:val="24"/>
              </w:rPr>
              <w:t>、</w:t>
            </w:r>
            <w:r>
              <w:rPr>
                <w:rFonts w:ascii="Arial" w:eastAsia="仿宋_GB2312" w:hAnsi="Arial" w:cs="Arial" w:hint="eastAsia"/>
                <w:b/>
                <w:szCs w:val="24"/>
              </w:rPr>
              <w:t>比较结论</w:t>
            </w:r>
          </w:p>
          <w:p w14:paraId="721381C3"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如上表所示，本次评估熟地价总额为</w:t>
            </w:r>
            <w:r>
              <w:rPr>
                <w:rFonts w:ascii="Arial" w:eastAsia="仿宋_GB2312" w:hAnsi="Arial" w:cs="Arial"/>
                <w:b/>
                <w:szCs w:val="24"/>
              </w:rPr>
              <w:t xml:space="preserve">103245.0381 </w:t>
            </w:r>
            <w:r>
              <w:rPr>
                <w:rFonts w:ascii="Arial" w:eastAsia="仿宋_GB2312" w:hAnsi="Arial" w:cs="Arial"/>
                <w:b/>
                <w:szCs w:val="24"/>
              </w:rPr>
              <w:t>万元</w:t>
            </w:r>
            <w:r>
              <w:rPr>
                <w:rFonts w:ascii="Arial" w:eastAsia="仿宋_GB2312" w:hAnsi="Arial" w:cs="Arial" w:hint="eastAsia"/>
                <w:b/>
                <w:szCs w:val="24"/>
              </w:rPr>
              <w:t>。如前述，政府</w:t>
            </w:r>
            <w:r>
              <w:rPr>
                <w:rFonts w:ascii="Arial" w:eastAsia="仿宋_GB2312" w:hAnsi="Arial" w:cs="Arial"/>
                <w:b/>
                <w:szCs w:val="24"/>
              </w:rPr>
              <w:t>土地出让收益与土地开发成本之和</w:t>
            </w:r>
            <w:r>
              <w:rPr>
                <w:rFonts w:ascii="Arial" w:eastAsia="仿宋_GB2312" w:hAnsi="Arial" w:cs="Arial" w:hint="eastAsia"/>
                <w:b/>
                <w:szCs w:val="24"/>
              </w:rPr>
              <w:t>（基本价格）</w:t>
            </w:r>
            <w:r>
              <w:rPr>
                <w:rFonts w:ascii="Arial" w:eastAsia="仿宋_GB2312" w:hAnsi="Arial" w:cs="Arial"/>
                <w:b/>
                <w:szCs w:val="24"/>
              </w:rPr>
              <w:t>为</w:t>
            </w:r>
            <w:r w:rsidR="00550FB0">
              <w:rPr>
                <w:rFonts w:ascii="Arial" w:eastAsia="仿宋_GB2312" w:hAnsi="Arial" w:cs="Arial" w:hint="eastAsia"/>
                <w:b/>
                <w:szCs w:val="24"/>
              </w:rPr>
              <w:t>104668.3070</w:t>
            </w:r>
            <w:r>
              <w:rPr>
                <w:rFonts w:ascii="Arial" w:eastAsia="仿宋_GB2312" w:hAnsi="Arial" w:cs="Arial"/>
                <w:b/>
                <w:szCs w:val="24"/>
              </w:rPr>
              <w:t>万元</w:t>
            </w:r>
            <w:r>
              <w:rPr>
                <w:rFonts w:ascii="Arial" w:eastAsia="仿宋_GB2312" w:hAnsi="Arial" w:cs="Arial" w:hint="eastAsia"/>
                <w:b/>
                <w:szCs w:val="24"/>
              </w:rPr>
              <w:t>。</w:t>
            </w:r>
            <w:r>
              <w:rPr>
                <w:rFonts w:ascii="Arial" w:eastAsia="仿宋_GB2312" w:hAnsi="Arial" w:cs="Arial"/>
                <w:b/>
                <w:szCs w:val="24"/>
              </w:rPr>
              <w:t>经比较</w:t>
            </w:r>
            <w:r>
              <w:rPr>
                <w:rFonts w:ascii="Arial" w:eastAsia="仿宋_GB2312" w:hAnsi="Arial" w:cs="Arial" w:hint="eastAsia"/>
                <w:b/>
                <w:szCs w:val="24"/>
              </w:rPr>
              <w:t>，基本价格高于熟地价总额。因此，本次评估出让底价建议按照政府土地出让收益与土地开发</w:t>
            </w:r>
            <w:r>
              <w:rPr>
                <w:rFonts w:ascii="Arial" w:eastAsia="仿宋_GB2312" w:hAnsi="Arial" w:cs="Arial" w:hint="eastAsia"/>
                <w:b/>
                <w:szCs w:val="24"/>
              </w:rPr>
              <w:lastRenderedPageBreak/>
              <w:t>成本之和（基本价格）确定，</w:t>
            </w:r>
            <w:r>
              <w:rPr>
                <w:rFonts w:ascii="Arial" w:eastAsia="仿宋_GB2312" w:hAnsi="Arial" w:cs="Arial"/>
                <w:b/>
                <w:szCs w:val="24"/>
              </w:rPr>
              <w:t>即</w:t>
            </w:r>
            <w:r w:rsidR="00550FB0">
              <w:rPr>
                <w:rFonts w:ascii="Arial" w:eastAsia="仿宋_GB2312" w:hAnsi="Arial" w:cs="Arial" w:hint="eastAsia"/>
                <w:b/>
                <w:szCs w:val="24"/>
              </w:rPr>
              <w:t>104668.3070</w:t>
            </w:r>
            <w:r>
              <w:rPr>
                <w:rFonts w:ascii="Arial" w:eastAsia="仿宋_GB2312" w:hAnsi="Arial" w:cs="Arial"/>
                <w:b/>
                <w:szCs w:val="24"/>
              </w:rPr>
              <w:t>万元</w:t>
            </w:r>
            <w:r>
              <w:rPr>
                <w:rFonts w:ascii="Arial" w:eastAsia="仿宋_GB2312" w:hAnsi="Arial" w:cs="Arial" w:hint="eastAsia"/>
                <w:b/>
                <w:szCs w:val="24"/>
              </w:rPr>
              <w:t>。</w:t>
            </w:r>
          </w:p>
          <w:p w14:paraId="716615F7" w14:textId="77777777" w:rsidR="0062768B" w:rsidRDefault="00136729">
            <w:pPr>
              <w:widowControl/>
              <w:adjustRightInd/>
              <w:spacing w:line="300" w:lineRule="auto"/>
              <w:ind w:left="1185" w:hanging="720"/>
              <w:textAlignment w:val="auto"/>
              <w:rPr>
                <w:rFonts w:ascii="Arial" w:eastAsia="仿宋_GB2312" w:hAnsi="Arial" w:cs="Arial"/>
                <w:b/>
                <w:szCs w:val="24"/>
              </w:rPr>
            </w:pPr>
            <w:r>
              <w:rPr>
                <w:rFonts w:ascii="Arial" w:eastAsia="仿宋_GB2312" w:hAnsi="Arial" w:cs="Arial"/>
                <w:b/>
                <w:szCs w:val="24"/>
              </w:rPr>
              <w:t>4</w:t>
            </w:r>
            <w:r>
              <w:rPr>
                <w:rFonts w:ascii="Arial" w:eastAsia="仿宋_GB2312" w:hAnsi="Arial" w:cs="Arial"/>
                <w:b/>
                <w:szCs w:val="24"/>
              </w:rPr>
              <w:t>、</w:t>
            </w:r>
            <w:r>
              <w:rPr>
                <w:rFonts w:ascii="Arial" w:eastAsia="仿宋_GB2312" w:hAnsi="Arial" w:cs="Arial" w:hint="eastAsia"/>
                <w:b/>
                <w:szCs w:val="24"/>
              </w:rPr>
              <w:t>出让底价决策建议</w:t>
            </w:r>
          </w:p>
          <w:p w14:paraId="746595F2"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估价对象北京市顺义区高丽营镇夏县营村</w:t>
            </w:r>
            <w:r>
              <w:rPr>
                <w:rFonts w:ascii="Arial" w:eastAsia="仿宋_GB2312" w:hAnsi="Arial" w:cs="Arial" w:hint="eastAsia"/>
                <w:b/>
                <w:szCs w:val="24"/>
              </w:rPr>
              <w:t>01-008</w:t>
            </w:r>
            <w:r>
              <w:rPr>
                <w:rFonts w:ascii="Arial" w:eastAsia="仿宋_GB2312" w:hAnsi="Arial" w:cs="Arial" w:hint="eastAsia"/>
                <w:b/>
                <w:szCs w:val="24"/>
              </w:rPr>
              <w:t>、</w:t>
            </w:r>
            <w:r>
              <w:rPr>
                <w:rFonts w:ascii="Arial" w:eastAsia="仿宋_GB2312" w:hAnsi="Arial" w:cs="Arial" w:hint="eastAsia"/>
                <w:b/>
                <w:szCs w:val="24"/>
              </w:rPr>
              <w:t>01-016</w:t>
            </w:r>
            <w:r>
              <w:rPr>
                <w:rFonts w:ascii="Arial" w:eastAsia="仿宋_GB2312" w:hAnsi="Arial" w:cs="Arial" w:hint="eastAsia"/>
                <w:b/>
                <w:szCs w:val="24"/>
              </w:rPr>
              <w:t>、</w:t>
            </w:r>
            <w:r>
              <w:rPr>
                <w:rFonts w:ascii="Arial" w:eastAsia="仿宋_GB2312" w:hAnsi="Arial" w:cs="Arial" w:hint="eastAsia"/>
                <w:b/>
                <w:szCs w:val="24"/>
              </w:rPr>
              <w:t>01-026-1</w:t>
            </w:r>
            <w:r>
              <w:rPr>
                <w:rFonts w:ascii="Arial" w:eastAsia="仿宋_GB2312" w:hAnsi="Arial" w:cs="Arial" w:hint="eastAsia"/>
                <w:b/>
                <w:szCs w:val="24"/>
              </w:rPr>
              <w:t>地块</w:t>
            </w:r>
            <w:r>
              <w:rPr>
                <w:rFonts w:ascii="Arial" w:eastAsia="仿宋_GB2312" w:hAnsi="Arial" w:cs="Arial" w:hint="eastAsia"/>
                <w:b/>
                <w:szCs w:val="24"/>
              </w:rPr>
              <w:t>R2</w:t>
            </w:r>
            <w:proofErr w:type="gramStart"/>
            <w:r>
              <w:rPr>
                <w:rFonts w:ascii="Arial" w:eastAsia="仿宋_GB2312" w:hAnsi="Arial" w:cs="Arial" w:hint="eastAsia"/>
                <w:b/>
                <w:szCs w:val="24"/>
              </w:rPr>
              <w:t>二</w:t>
            </w:r>
            <w:proofErr w:type="gramEnd"/>
            <w:r>
              <w:rPr>
                <w:rFonts w:ascii="Arial" w:eastAsia="仿宋_GB2312" w:hAnsi="Arial" w:cs="Arial" w:hint="eastAsia"/>
                <w:b/>
                <w:szCs w:val="24"/>
              </w:rPr>
              <w:t>类居住用地及</w:t>
            </w:r>
            <w:r>
              <w:rPr>
                <w:rFonts w:ascii="Arial" w:eastAsia="仿宋_GB2312" w:hAnsi="Arial" w:cs="Arial" w:hint="eastAsia"/>
                <w:b/>
                <w:szCs w:val="24"/>
              </w:rPr>
              <w:t>01-020</w:t>
            </w:r>
            <w:r>
              <w:rPr>
                <w:rFonts w:ascii="Arial" w:eastAsia="仿宋_GB2312" w:hAnsi="Arial" w:cs="Arial" w:hint="eastAsia"/>
                <w:b/>
                <w:szCs w:val="24"/>
              </w:rPr>
              <w:t>地块</w:t>
            </w:r>
            <w:r>
              <w:rPr>
                <w:rFonts w:ascii="Arial" w:eastAsia="仿宋_GB2312" w:hAnsi="Arial" w:cs="Arial" w:hint="eastAsia"/>
                <w:b/>
                <w:szCs w:val="24"/>
              </w:rPr>
              <w:t>A334</w:t>
            </w:r>
            <w:r>
              <w:rPr>
                <w:rFonts w:ascii="Arial" w:eastAsia="仿宋_GB2312" w:hAnsi="Arial" w:cs="Arial" w:hint="eastAsia"/>
                <w:b/>
                <w:szCs w:val="24"/>
              </w:rPr>
              <w:t>托幼用地项目在估价期日</w:t>
            </w:r>
            <w:r w:rsidR="00550FB0">
              <w:rPr>
                <w:rFonts w:ascii="Arial" w:eastAsia="仿宋_GB2312" w:hAnsi="Arial" w:cs="Arial" w:hint="eastAsia"/>
                <w:b/>
                <w:szCs w:val="24"/>
              </w:rPr>
              <w:t>2023</w:t>
            </w:r>
            <w:r w:rsidR="00550FB0">
              <w:rPr>
                <w:rFonts w:ascii="Arial" w:eastAsia="仿宋_GB2312" w:hAnsi="Arial" w:cs="Arial" w:hint="eastAsia"/>
                <w:b/>
                <w:szCs w:val="24"/>
              </w:rPr>
              <w:t>年</w:t>
            </w:r>
            <w:r w:rsidR="00550FB0">
              <w:rPr>
                <w:rFonts w:ascii="Arial" w:eastAsia="仿宋_GB2312" w:hAnsi="Arial" w:cs="Arial" w:hint="eastAsia"/>
                <w:b/>
                <w:szCs w:val="24"/>
              </w:rPr>
              <w:t>6</w:t>
            </w:r>
            <w:r w:rsidR="00550FB0">
              <w:rPr>
                <w:rFonts w:ascii="Arial" w:eastAsia="仿宋_GB2312" w:hAnsi="Arial" w:cs="Arial" w:hint="eastAsia"/>
                <w:b/>
                <w:szCs w:val="24"/>
              </w:rPr>
              <w:t>月</w:t>
            </w:r>
            <w:r w:rsidR="00550FB0">
              <w:rPr>
                <w:rFonts w:ascii="Arial" w:eastAsia="仿宋_GB2312" w:hAnsi="Arial" w:cs="Arial" w:hint="eastAsia"/>
                <w:b/>
                <w:szCs w:val="24"/>
              </w:rPr>
              <w:t>20</w:t>
            </w:r>
            <w:r w:rsidR="00550FB0">
              <w:rPr>
                <w:rFonts w:ascii="Arial" w:eastAsia="仿宋_GB2312" w:hAnsi="Arial" w:cs="Arial" w:hint="eastAsia"/>
                <w:b/>
                <w:szCs w:val="24"/>
              </w:rPr>
              <w:t>日</w:t>
            </w:r>
            <w:r>
              <w:rPr>
                <w:rFonts w:ascii="Arial" w:eastAsia="仿宋_GB2312" w:hAnsi="Arial" w:cs="Arial" w:hint="eastAsia"/>
                <w:b/>
                <w:szCs w:val="24"/>
              </w:rPr>
              <w:t>的建议土地出让底价为：</w:t>
            </w:r>
          </w:p>
          <w:p w14:paraId="7836506F"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建议出让底价：</w:t>
            </w:r>
            <w:r w:rsidR="00550FB0">
              <w:rPr>
                <w:rFonts w:ascii="Arial" w:eastAsia="仿宋_GB2312" w:hAnsi="Arial" w:cs="Arial" w:hint="eastAsia"/>
                <w:b/>
                <w:szCs w:val="24"/>
              </w:rPr>
              <w:t>104668.3070</w:t>
            </w:r>
            <w:r>
              <w:rPr>
                <w:rFonts w:ascii="Arial" w:eastAsia="仿宋_GB2312" w:hAnsi="Arial" w:cs="Arial"/>
                <w:b/>
                <w:szCs w:val="24"/>
              </w:rPr>
              <w:t>万元</w:t>
            </w:r>
          </w:p>
          <w:p w14:paraId="56B8A557"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大写金额：</w:t>
            </w:r>
            <w:proofErr w:type="gramStart"/>
            <w:r w:rsidR="00550FB0">
              <w:rPr>
                <w:rFonts w:ascii="Arial" w:eastAsia="仿宋_GB2312" w:hAnsi="Arial" w:cs="Arial" w:hint="eastAsia"/>
                <w:b/>
                <w:szCs w:val="24"/>
              </w:rPr>
              <w:t>壹拾亿零肆仟陆佰陆拾捌万叁仟零柒拾</w:t>
            </w:r>
            <w:proofErr w:type="gramEnd"/>
            <w:r>
              <w:rPr>
                <w:rFonts w:ascii="Arial" w:eastAsia="仿宋_GB2312" w:hAnsi="Arial" w:cs="Arial" w:hint="eastAsia"/>
                <w:b/>
                <w:szCs w:val="24"/>
              </w:rPr>
              <w:t>元整</w:t>
            </w:r>
          </w:p>
        </w:tc>
      </w:tr>
    </w:tbl>
    <w:p w14:paraId="4DF976FC" w14:textId="77777777" w:rsidR="0062768B" w:rsidRDefault="0062768B">
      <w:pPr>
        <w:snapToGrid w:val="0"/>
        <w:spacing w:beforeLines="50" w:before="120" w:line="300" w:lineRule="auto"/>
        <w:ind w:firstLineChars="200" w:firstLine="560"/>
        <w:rPr>
          <w:rFonts w:ascii="Arial" w:eastAsia="仿宋_GB2312" w:hAnsi="Arial" w:cs="Arial"/>
          <w:kern w:val="2"/>
          <w:sz w:val="28"/>
        </w:rPr>
      </w:pPr>
    </w:p>
    <w:p w14:paraId="332F4F3A" w14:textId="77777777" w:rsidR="0062768B" w:rsidRDefault="00136729">
      <w:pPr>
        <w:spacing w:line="300" w:lineRule="auto"/>
        <w:outlineLvl w:val="1"/>
        <w:rPr>
          <w:rFonts w:ascii="Arial" w:eastAsia="仿宋_GB2312" w:hAnsi="Arial" w:cs="Arial"/>
          <w:b/>
          <w:sz w:val="28"/>
        </w:rPr>
      </w:pPr>
      <w:bookmarkStart w:id="288" w:name="_Toc138063020"/>
      <w:bookmarkStart w:id="289" w:name="_Toc515457812"/>
      <w:bookmarkStart w:id="290" w:name="_Toc132016632"/>
      <w:bookmarkStart w:id="291" w:name="_Toc469066160"/>
      <w:bookmarkStart w:id="292" w:name="_Toc520261163"/>
      <w:bookmarkStart w:id="293" w:name="_Toc516488190"/>
      <w:bookmarkStart w:id="294" w:name="_Toc132016749"/>
      <w:r>
        <w:rPr>
          <w:rFonts w:ascii="Arial" w:eastAsia="仿宋_GB2312" w:hAnsi="Arial" w:cs="Arial"/>
          <w:b/>
          <w:sz w:val="28"/>
        </w:rPr>
        <w:t>十、需要特殊说明的事项</w:t>
      </w:r>
      <w:bookmarkEnd w:id="286"/>
      <w:bookmarkEnd w:id="287"/>
      <w:bookmarkEnd w:id="288"/>
      <w:bookmarkEnd w:id="289"/>
      <w:bookmarkEnd w:id="290"/>
      <w:bookmarkEnd w:id="291"/>
      <w:bookmarkEnd w:id="292"/>
      <w:bookmarkEnd w:id="293"/>
      <w:bookmarkEnd w:id="294"/>
    </w:p>
    <w:p w14:paraId="38FF390A" w14:textId="77777777" w:rsidR="0062768B" w:rsidRDefault="00136729">
      <w:pPr>
        <w:adjustRightInd/>
        <w:spacing w:line="300" w:lineRule="auto"/>
        <w:ind w:firstLineChars="200" w:firstLine="560"/>
        <w:jc w:val="both"/>
        <w:textAlignment w:val="bottom"/>
        <w:rPr>
          <w:rFonts w:ascii="Arial" w:eastAsia="仿宋" w:hAnsi="Arial" w:cs="Arial"/>
          <w:sz w:val="28"/>
        </w:rPr>
      </w:pPr>
      <w:bookmarkStart w:id="295" w:name="_Toc469066161"/>
      <w:bookmarkStart w:id="296" w:name="_Toc416783581"/>
      <w:bookmarkStart w:id="297" w:name="_Toc416783677"/>
      <w:r>
        <w:rPr>
          <w:rFonts w:ascii="Arial" w:eastAsia="仿宋" w:hAnsi="Arial" w:cs="Arial"/>
          <w:sz w:val="28"/>
        </w:rPr>
        <w:t>（一）估价的前提条件和假设条件</w:t>
      </w:r>
    </w:p>
    <w:p w14:paraId="323C0DB9"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1.</w:t>
      </w:r>
      <w:r>
        <w:rPr>
          <w:rFonts w:ascii="Arial" w:eastAsia="仿宋" w:hAnsi="Arial" w:cs="Arial"/>
          <w:sz w:val="28"/>
        </w:rPr>
        <w:t>估价的前提条件</w:t>
      </w:r>
    </w:p>
    <w:p w14:paraId="44E74AEC"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1</w:t>
      </w:r>
      <w:r>
        <w:rPr>
          <w:rFonts w:ascii="Arial" w:eastAsia="仿宋" w:hAnsi="Arial" w:cs="Arial"/>
          <w:sz w:val="28"/>
        </w:rPr>
        <w:t>）委托估价方提供的资料属实，没有保留及隐瞒。</w:t>
      </w:r>
    </w:p>
    <w:p w14:paraId="78321BF8"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2</w:t>
      </w:r>
      <w:r>
        <w:rPr>
          <w:rFonts w:ascii="Arial" w:eastAsia="仿宋" w:hAnsi="Arial" w:cs="Arial"/>
          <w:sz w:val="28"/>
        </w:rPr>
        <w:t>）在估价期日的房地产市场为公开、平等、自愿的交易市场。</w:t>
      </w:r>
    </w:p>
    <w:p w14:paraId="3567E9F0"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3</w:t>
      </w:r>
      <w:r>
        <w:rPr>
          <w:rFonts w:ascii="Arial" w:eastAsia="仿宋" w:hAnsi="Arial" w:cs="Arial"/>
          <w:sz w:val="28"/>
        </w:rPr>
        <w:t>）任何有关估价对象的运作方式、程序符合国家、地方的有关法律、法规。</w:t>
      </w:r>
    </w:p>
    <w:p w14:paraId="6E8664F1"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4</w:t>
      </w:r>
      <w:r>
        <w:rPr>
          <w:rFonts w:ascii="Arial" w:eastAsia="仿宋" w:hAnsi="Arial" w:cs="Arial"/>
          <w:sz w:val="28"/>
        </w:rPr>
        <w:t>）估价对象规划用途和周边环境维持不变，且估价对象得到最有效利用，并产生相应的土地收益。</w:t>
      </w:r>
    </w:p>
    <w:p w14:paraId="34DB59B4"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5</w:t>
      </w:r>
      <w:r>
        <w:rPr>
          <w:rFonts w:ascii="Arial" w:eastAsia="仿宋" w:hAnsi="Arial" w:cs="Arial"/>
          <w:sz w:val="28"/>
        </w:rPr>
        <w:t>）本次估价设定估价对象地上建筑物可按照预测的合理工期建设完毕。</w:t>
      </w:r>
    </w:p>
    <w:p w14:paraId="5E0D1472"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w:t>
      </w:r>
      <w:r>
        <w:rPr>
          <w:rFonts w:ascii="Arial" w:eastAsia="仿宋" w:hAnsi="Arial" w:cs="Arial"/>
          <w:sz w:val="28"/>
        </w:rPr>
        <w:t>6</w:t>
      </w:r>
      <w:r>
        <w:rPr>
          <w:rFonts w:ascii="Arial" w:eastAsia="仿宋" w:hAnsi="Arial" w:cs="Arial"/>
          <w:sz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14:paraId="36D65340"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2.</w:t>
      </w:r>
      <w:r>
        <w:rPr>
          <w:rFonts w:ascii="Arial" w:eastAsia="仿宋" w:hAnsi="Arial" w:cs="Arial"/>
          <w:sz w:val="28"/>
        </w:rPr>
        <w:t>估价的假设条件</w:t>
      </w:r>
    </w:p>
    <w:p w14:paraId="57447F10" w14:textId="77777777" w:rsidR="0062768B" w:rsidRDefault="00136729">
      <w:pPr>
        <w:widowControl/>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w:t>
      </w:r>
      <w:r>
        <w:rPr>
          <w:rFonts w:ascii="Arial" w:eastAsia="仿宋" w:hAnsi="Arial" w:cs="Arial"/>
          <w:sz w:val="28"/>
        </w:rPr>
        <w:t>1</w:t>
      </w:r>
      <w:r>
        <w:rPr>
          <w:rFonts w:ascii="Arial" w:eastAsia="仿宋" w:hAnsi="Arial" w:cs="Arial"/>
          <w:sz w:val="28"/>
        </w:rPr>
        <w:t>）土地权利限制：无他项权利。</w:t>
      </w:r>
    </w:p>
    <w:p w14:paraId="79CB6738" w14:textId="77777777" w:rsidR="0062768B" w:rsidRDefault="00136729">
      <w:pPr>
        <w:widowControl/>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w:t>
      </w:r>
      <w:r>
        <w:rPr>
          <w:rFonts w:ascii="Arial" w:eastAsia="仿宋" w:hAnsi="Arial" w:cs="Arial"/>
          <w:sz w:val="28"/>
        </w:rPr>
        <w:t>2</w:t>
      </w:r>
      <w:r>
        <w:rPr>
          <w:rFonts w:ascii="Arial" w:eastAsia="仿宋" w:hAnsi="Arial" w:cs="Arial"/>
          <w:sz w:val="28"/>
        </w:rPr>
        <w:t>）土地用途设定：按规划用途设定本次评估的使用用途。</w:t>
      </w:r>
    </w:p>
    <w:p w14:paraId="0B43CA74" w14:textId="77777777" w:rsidR="0062768B" w:rsidRDefault="00136729">
      <w:pPr>
        <w:widowControl/>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w:t>
      </w:r>
      <w:r>
        <w:rPr>
          <w:rFonts w:ascii="Arial" w:eastAsia="仿宋" w:hAnsi="Arial" w:cs="Arial"/>
          <w:sz w:val="28"/>
        </w:rPr>
        <w:t>3</w:t>
      </w:r>
      <w:r>
        <w:rPr>
          <w:rFonts w:ascii="Arial" w:eastAsia="仿宋" w:hAnsi="Arial" w:cs="Arial"/>
          <w:sz w:val="28"/>
        </w:rPr>
        <w:t>）土地使用年期设定：法定最高出让年限。</w:t>
      </w:r>
    </w:p>
    <w:p w14:paraId="42BA8867" w14:textId="77777777" w:rsidR="0062768B" w:rsidRDefault="00136729">
      <w:pPr>
        <w:widowControl/>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w:t>
      </w:r>
      <w:r>
        <w:rPr>
          <w:rFonts w:ascii="Arial" w:eastAsia="仿宋" w:hAnsi="Arial" w:cs="Arial"/>
          <w:sz w:val="28"/>
        </w:rPr>
        <w:t>4</w:t>
      </w:r>
      <w:r>
        <w:rPr>
          <w:rFonts w:ascii="Arial" w:eastAsia="仿宋" w:hAnsi="Arial" w:cs="Arial"/>
          <w:sz w:val="28"/>
        </w:rPr>
        <w:t>）评估设定土地开发程度红线外市政基础设施达</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Pr>
          <w:rFonts w:ascii="Arial" w:eastAsia="仿宋" w:hAnsi="Arial" w:cs="Arial"/>
          <w:sz w:val="28"/>
          <w:szCs w:val="28"/>
        </w:rPr>
        <w:t>（通路、通上水（自来水、中水）、通下水（雨水、污水）、通电（管沟、电缆）、通燃气、通热力）</w:t>
      </w:r>
      <w:r>
        <w:rPr>
          <w:rFonts w:ascii="Arial" w:eastAsia="仿宋" w:hAnsi="Arial" w:cs="Arial"/>
          <w:sz w:val="28"/>
        </w:rPr>
        <w:t>、宗地红线内场地平整。</w:t>
      </w:r>
    </w:p>
    <w:p w14:paraId="090F9D1B" w14:textId="77777777" w:rsidR="0062768B" w:rsidRDefault="00136729">
      <w:pPr>
        <w:widowControl/>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w:t>
      </w:r>
      <w:r>
        <w:rPr>
          <w:rFonts w:ascii="Arial" w:eastAsia="仿宋" w:hAnsi="Arial" w:cs="Arial"/>
          <w:sz w:val="28"/>
        </w:rPr>
        <w:t>5</w:t>
      </w:r>
      <w:r>
        <w:rPr>
          <w:rFonts w:ascii="Arial" w:eastAsia="仿宋" w:hAnsi="Arial" w:cs="Arial"/>
          <w:sz w:val="28"/>
        </w:rPr>
        <w:t>）估价期日设定：按委托估价方要求的地价时点设定。</w:t>
      </w:r>
    </w:p>
    <w:p w14:paraId="370AC570"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lastRenderedPageBreak/>
        <w:t>（二）估价结果和估价报告的使用</w:t>
      </w:r>
    </w:p>
    <w:p w14:paraId="33452F1B" w14:textId="77777777" w:rsidR="0062768B" w:rsidRDefault="00136729">
      <w:pPr>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1.</w:t>
      </w:r>
      <w:r>
        <w:rPr>
          <w:rFonts w:ascii="Arial" w:eastAsia="仿宋" w:hAnsi="Arial" w:cs="Arial"/>
          <w:sz w:val="28"/>
        </w:rPr>
        <w:t>本估价报告的依据为国务院、自然资源部、住建部、北京市人民政府及有关部门颁布的有关法律、法规、政策文件、委托估价方提供的资料、受托估价方掌握的有关资料以及土地估价专业评估师实地勘察所获取的资料。</w:t>
      </w:r>
    </w:p>
    <w:p w14:paraId="002CFB59" w14:textId="77777777" w:rsidR="0062768B" w:rsidRDefault="00136729">
      <w:pPr>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2.</w:t>
      </w:r>
      <w:r>
        <w:rPr>
          <w:rFonts w:ascii="Arial" w:eastAsia="仿宋" w:hAnsi="Arial" w:cs="Arial"/>
          <w:sz w:val="28"/>
        </w:rPr>
        <w:t>委托估价方应对其提供的权属证明以及其他资料的真实性、完整性和合法性负责。如因资料失实或资料提供人有所隐匿而导致估价结果失真，估价机构不承担相应的责任。</w:t>
      </w:r>
    </w:p>
    <w:p w14:paraId="58B34552" w14:textId="77777777" w:rsidR="0062768B" w:rsidRDefault="00136729">
      <w:pPr>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3.</w:t>
      </w:r>
      <w:r>
        <w:rPr>
          <w:rFonts w:ascii="Arial" w:eastAsia="仿宋" w:hAnsi="Arial" w:cs="Arial"/>
          <w:sz w:val="28"/>
        </w:rPr>
        <w:t>本报告估价结果为估价期日下的正常市场价格，随着时间的推移，该价格需要做相应的调整直至重新评估。</w:t>
      </w:r>
    </w:p>
    <w:p w14:paraId="70773946" w14:textId="77777777" w:rsidR="0062768B" w:rsidRDefault="00136729">
      <w:pPr>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4.</w:t>
      </w:r>
      <w:r>
        <w:rPr>
          <w:rFonts w:ascii="Arial" w:eastAsia="仿宋" w:hAnsi="Arial" w:cs="Arial"/>
          <w:sz w:val="28"/>
        </w:rPr>
        <w:t>本估价报告在估价机构盖章和土地估价师签字的条件下有效。</w:t>
      </w:r>
    </w:p>
    <w:p w14:paraId="28DD1C88" w14:textId="77777777" w:rsidR="0062768B" w:rsidRDefault="00136729">
      <w:pPr>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5.</w:t>
      </w:r>
      <w:r>
        <w:rPr>
          <w:rFonts w:ascii="Arial" w:eastAsia="仿宋" w:hAnsi="Arial" w:cs="Arial"/>
          <w:sz w:val="28"/>
        </w:rPr>
        <w:t>本次评估估价报告分为</w:t>
      </w:r>
      <w:r>
        <w:rPr>
          <w:rFonts w:ascii="Arial" w:eastAsia="仿宋" w:hAnsi="Arial" w:cs="Arial"/>
          <w:sz w:val="28"/>
        </w:rPr>
        <w:t>“</w:t>
      </w:r>
      <w:r>
        <w:rPr>
          <w:rFonts w:ascii="Arial" w:eastAsia="仿宋" w:hAnsi="Arial" w:cs="Arial"/>
          <w:sz w:val="28"/>
        </w:rPr>
        <w:t>土地估价报告</w:t>
      </w:r>
      <w:r>
        <w:rPr>
          <w:rFonts w:ascii="Arial" w:eastAsia="仿宋" w:hAnsi="Arial" w:cs="Arial"/>
          <w:sz w:val="28"/>
        </w:rPr>
        <w:t>”</w:t>
      </w:r>
      <w:r>
        <w:rPr>
          <w:rFonts w:ascii="Arial" w:eastAsia="仿宋" w:hAnsi="Arial" w:cs="Arial"/>
          <w:sz w:val="28"/>
        </w:rPr>
        <w:t>和</w:t>
      </w:r>
      <w:r>
        <w:rPr>
          <w:rFonts w:ascii="Arial" w:eastAsia="仿宋" w:hAnsi="Arial" w:cs="Arial"/>
          <w:sz w:val="28"/>
        </w:rPr>
        <w:t>“</w:t>
      </w:r>
      <w:r>
        <w:rPr>
          <w:rFonts w:ascii="Arial" w:eastAsia="仿宋" w:hAnsi="Arial" w:cs="Arial"/>
          <w:sz w:val="28"/>
        </w:rPr>
        <w:t>土地估价技术报告</w:t>
      </w:r>
      <w:r>
        <w:rPr>
          <w:rFonts w:ascii="Arial" w:eastAsia="仿宋" w:hAnsi="Arial" w:cs="Arial"/>
          <w:sz w:val="28"/>
        </w:rPr>
        <w:t>”</w:t>
      </w:r>
      <w:r>
        <w:rPr>
          <w:rFonts w:ascii="Arial" w:eastAsia="仿宋" w:hAnsi="Arial" w:cs="Arial"/>
          <w:sz w:val="28"/>
        </w:rPr>
        <w:t>两部分，</w:t>
      </w:r>
      <w:r>
        <w:rPr>
          <w:rFonts w:ascii="Arial" w:eastAsia="仿宋" w:hAnsi="Arial" w:cs="Arial"/>
          <w:sz w:val="28"/>
        </w:rPr>
        <w:t>“</w:t>
      </w:r>
      <w:r>
        <w:rPr>
          <w:rFonts w:ascii="Arial" w:eastAsia="仿宋" w:hAnsi="Arial" w:cs="Arial"/>
          <w:sz w:val="28"/>
        </w:rPr>
        <w:t>土地估价报告</w:t>
      </w:r>
      <w:r>
        <w:rPr>
          <w:rFonts w:ascii="Arial" w:eastAsia="仿宋" w:hAnsi="Arial" w:cs="Arial"/>
          <w:sz w:val="28"/>
        </w:rPr>
        <w:t>”</w:t>
      </w:r>
      <w:proofErr w:type="gramStart"/>
      <w:r>
        <w:rPr>
          <w:rFonts w:ascii="Arial" w:eastAsia="仿宋" w:hAnsi="Arial" w:cs="Arial"/>
          <w:sz w:val="28"/>
        </w:rPr>
        <w:t>供委托</w:t>
      </w:r>
      <w:proofErr w:type="gramEnd"/>
      <w:r>
        <w:rPr>
          <w:rFonts w:ascii="Arial" w:eastAsia="仿宋" w:hAnsi="Arial" w:cs="Arial"/>
          <w:sz w:val="28"/>
        </w:rPr>
        <w:t>估价方使用，</w:t>
      </w:r>
      <w:r>
        <w:rPr>
          <w:rFonts w:ascii="Arial" w:eastAsia="仿宋" w:hAnsi="Arial" w:cs="Arial"/>
          <w:sz w:val="28"/>
        </w:rPr>
        <w:t>“</w:t>
      </w:r>
      <w:r>
        <w:rPr>
          <w:rFonts w:ascii="Arial" w:eastAsia="仿宋" w:hAnsi="Arial" w:cs="Arial"/>
          <w:sz w:val="28"/>
        </w:rPr>
        <w:t>土地估价技术报告</w:t>
      </w:r>
      <w:r>
        <w:rPr>
          <w:rFonts w:ascii="Arial" w:eastAsia="仿宋" w:hAnsi="Arial" w:cs="Arial"/>
          <w:sz w:val="28"/>
        </w:rPr>
        <w:t>”</w:t>
      </w:r>
      <w:r>
        <w:rPr>
          <w:rFonts w:ascii="Arial" w:eastAsia="仿宋" w:hAnsi="Arial" w:cs="Arial"/>
          <w:sz w:val="28"/>
        </w:rPr>
        <w:t>仅供估价机构存档和作为估价结果提交房屋土地管理部门确认或备案时的附件。</w:t>
      </w:r>
    </w:p>
    <w:p w14:paraId="459C48AD"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6.</w:t>
      </w:r>
      <w:r>
        <w:rPr>
          <w:rFonts w:ascii="Arial" w:eastAsia="仿宋" w:hAnsi="Arial" w:cs="Arial"/>
          <w:sz w:val="28"/>
        </w:rPr>
        <w:t>本估价报告只能由估价报告载明的报告使用者使用，且只能用于本报告载明的唯一估价目的和用途。</w:t>
      </w:r>
    </w:p>
    <w:p w14:paraId="179CE254"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7.</w:t>
      </w:r>
      <w:r>
        <w:rPr>
          <w:rFonts w:ascii="Arial" w:eastAsia="仿宋" w:hAnsi="Arial" w:cs="Arial"/>
          <w:sz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78A35CF2"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8.</w:t>
      </w:r>
      <w:r>
        <w:rPr>
          <w:rFonts w:ascii="Arial" w:eastAsia="仿宋" w:hAnsi="Arial" w:cs="Arial"/>
          <w:sz w:val="28"/>
        </w:rPr>
        <w:t>除委托估价方、估价委托合同中约定的其他估价报告使用人和法律、行政法规规定的估价报告使用人之外，其他任何机构和个人不能成为估价报告的使用人。</w:t>
      </w:r>
    </w:p>
    <w:p w14:paraId="2E31A51A"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9.</w:t>
      </w:r>
      <w:r>
        <w:rPr>
          <w:rFonts w:ascii="Arial" w:eastAsia="仿宋" w:hAnsi="Arial" w:cs="Arial"/>
          <w:sz w:val="28"/>
        </w:rPr>
        <w:t>估价报告使用人应当正确理解估价结论。估价结论不等同于估价对象可实现价格，估价结论不应当被认为是对估价对象可实现价格的保证。</w:t>
      </w:r>
    </w:p>
    <w:p w14:paraId="4197B395" w14:textId="0BC82863"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10.</w:t>
      </w:r>
      <w:r>
        <w:rPr>
          <w:rFonts w:ascii="Arial" w:eastAsia="仿宋" w:hAnsi="Arial" w:cs="Arial"/>
          <w:sz w:val="28"/>
        </w:rPr>
        <w:t>本估价</w:t>
      </w:r>
      <w:proofErr w:type="gramStart"/>
      <w:r>
        <w:rPr>
          <w:rFonts w:ascii="Arial" w:eastAsia="仿宋" w:hAnsi="Arial" w:cs="Arial"/>
          <w:sz w:val="28"/>
        </w:rPr>
        <w:t>报告自报告</w:t>
      </w:r>
      <w:proofErr w:type="gramEnd"/>
      <w:r>
        <w:rPr>
          <w:rFonts w:ascii="Arial" w:eastAsia="仿宋" w:hAnsi="Arial" w:cs="Arial"/>
          <w:sz w:val="28"/>
        </w:rPr>
        <w:t>出具日起计算，从</w:t>
      </w:r>
      <w:r w:rsidR="00036F92">
        <w:rPr>
          <w:rFonts w:ascii="Arial" w:eastAsia="仿宋" w:hAnsi="Arial" w:cs="Arial"/>
          <w:sz w:val="28"/>
        </w:rPr>
        <w:t>2023</w:t>
      </w:r>
      <w:r w:rsidR="00036F92">
        <w:rPr>
          <w:rFonts w:ascii="Arial" w:eastAsia="仿宋" w:hAnsi="Arial" w:cs="Arial"/>
          <w:sz w:val="28"/>
        </w:rPr>
        <w:t>年</w:t>
      </w:r>
      <w:r w:rsidR="00036F92">
        <w:rPr>
          <w:rFonts w:ascii="Arial" w:eastAsia="仿宋" w:hAnsi="Arial" w:cs="Arial"/>
          <w:sz w:val="28"/>
        </w:rPr>
        <w:t>6</w:t>
      </w:r>
      <w:r w:rsidR="00036F92">
        <w:rPr>
          <w:rFonts w:ascii="Arial" w:eastAsia="仿宋" w:hAnsi="Arial" w:cs="Arial"/>
          <w:sz w:val="28"/>
        </w:rPr>
        <w:t>月</w:t>
      </w:r>
      <w:r w:rsidR="00036F92">
        <w:rPr>
          <w:rFonts w:ascii="Arial" w:eastAsia="仿宋" w:hAnsi="Arial" w:cs="Arial"/>
          <w:sz w:val="28"/>
        </w:rPr>
        <w:t>27</w:t>
      </w:r>
      <w:r w:rsidR="00036F92">
        <w:rPr>
          <w:rFonts w:ascii="Arial" w:eastAsia="仿宋" w:hAnsi="Arial" w:cs="Arial"/>
          <w:sz w:val="28"/>
        </w:rPr>
        <w:t>日</w:t>
      </w:r>
      <w:r>
        <w:rPr>
          <w:rFonts w:ascii="Arial" w:eastAsia="仿宋" w:hAnsi="Arial" w:cs="Arial"/>
          <w:sz w:val="28"/>
        </w:rPr>
        <w:t>至</w:t>
      </w:r>
      <w:r w:rsidR="004532BF">
        <w:rPr>
          <w:rFonts w:ascii="Arial" w:eastAsia="仿宋" w:hAnsi="Arial" w:cs="Arial"/>
          <w:sz w:val="28"/>
        </w:rPr>
        <w:t>2024</w:t>
      </w:r>
      <w:r w:rsidR="004532BF">
        <w:rPr>
          <w:rFonts w:ascii="Arial" w:eastAsia="仿宋" w:hAnsi="Arial" w:cs="Arial"/>
          <w:sz w:val="28"/>
        </w:rPr>
        <w:t>年</w:t>
      </w:r>
      <w:r w:rsidR="004532BF">
        <w:rPr>
          <w:rFonts w:ascii="Arial" w:eastAsia="仿宋" w:hAnsi="Arial" w:cs="Arial"/>
          <w:sz w:val="28"/>
        </w:rPr>
        <w:t>6</w:t>
      </w:r>
      <w:r w:rsidR="004532BF">
        <w:rPr>
          <w:rFonts w:ascii="Arial" w:eastAsia="仿宋" w:hAnsi="Arial" w:cs="Arial"/>
          <w:sz w:val="28"/>
        </w:rPr>
        <w:t>月</w:t>
      </w:r>
      <w:r w:rsidR="004532BF">
        <w:rPr>
          <w:rFonts w:ascii="Arial" w:eastAsia="仿宋" w:hAnsi="Arial" w:cs="Arial"/>
          <w:sz w:val="28"/>
        </w:rPr>
        <w:t>26</w:t>
      </w:r>
      <w:r w:rsidR="004532BF">
        <w:rPr>
          <w:rFonts w:ascii="Arial" w:eastAsia="仿宋" w:hAnsi="Arial" w:cs="Arial"/>
          <w:sz w:val="28"/>
        </w:rPr>
        <w:t>日</w:t>
      </w:r>
      <w:r>
        <w:rPr>
          <w:rFonts w:ascii="Arial" w:eastAsia="仿宋" w:hAnsi="Arial" w:cs="Arial"/>
          <w:sz w:val="28"/>
        </w:rPr>
        <w:t>有效。</w:t>
      </w:r>
    </w:p>
    <w:p w14:paraId="73D12C80"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11.</w:t>
      </w:r>
      <w:r>
        <w:rPr>
          <w:rFonts w:ascii="Arial" w:eastAsia="仿宋" w:hAnsi="Arial" w:cs="Arial"/>
          <w:sz w:val="28"/>
        </w:rPr>
        <w:t>本次土地估价报告的使用权归委托估价方，土地估价报告由</w:t>
      </w:r>
      <w:proofErr w:type="gramStart"/>
      <w:r>
        <w:rPr>
          <w:rFonts w:ascii="Arial" w:eastAsia="仿宋" w:hAnsi="Arial" w:cs="Arial"/>
          <w:sz w:val="28"/>
        </w:rPr>
        <w:t>北京康正宏</w:t>
      </w:r>
      <w:proofErr w:type="gramEnd"/>
      <w:r>
        <w:rPr>
          <w:rFonts w:ascii="Arial" w:eastAsia="仿宋" w:hAnsi="Arial" w:cs="Arial"/>
          <w:sz w:val="28"/>
        </w:rPr>
        <w:t>基房地产评估有限公司负责解释。</w:t>
      </w:r>
    </w:p>
    <w:p w14:paraId="3AA50E61"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（三）需要特殊说明的事项</w:t>
      </w:r>
    </w:p>
    <w:p w14:paraId="69257E05"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1.</w:t>
      </w:r>
      <w:r>
        <w:rPr>
          <w:rFonts w:ascii="Arial" w:eastAsia="仿宋" w:hAnsi="Arial" w:cs="Arial"/>
          <w:sz w:val="28"/>
        </w:rPr>
        <w:t>资料来源说明</w:t>
      </w:r>
    </w:p>
    <w:p w14:paraId="5E607D67"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1</w:t>
      </w:r>
      <w:r>
        <w:rPr>
          <w:rFonts w:ascii="Arial" w:eastAsia="仿宋" w:hAnsi="Arial" w:cs="Arial"/>
          <w:sz w:val="28"/>
        </w:rPr>
        <w:t>）估价对象的土地、房屋权属资料、土地利用状况、评估项目相</w:t>
      </w:r>
      <w:r>
        <w:rPr>
          <w:rFonts w:ascii="Arial" w:eastAsia="仿宋" w:hAnsi="Arial" w:cs="Arial"/>
          <w:sz w:val="28"/>
        </w:rPr>
        <w:lastRenderedPageBreak/>
        <w:t>关资料由委托估价方提供。</w:t>
      </w:r>
    </w:p>
    <w:p w14:paraId="36B7AE5D"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2</w:t>
      </w:r>
      <w:r>
        <w:rPr>
          <w:rFonts w:ascii="Arial" w:eastAsia="仿宋" w:hAnsi="Arial" w:cs="Arial"/>
          <w:sz w:val="28"/>
        </w:rPr>
        <w:t>）土地区位条件、地产市场交易资料、土地利用现状照片等相关资料由土地估价专业评估师实地调查取得。</w:t>
      </w:r>
    </w:p>
    <w:p w14:paraId="3FA8E660"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3</w:t>
      </w:r>
      <w:r>
        <w:rPr>
          <w:rFonts w:ascii="Arial" w:eastAsia="仿宋" w:hAnsi="Arial" w:cs="Arial"/>
          <w:sz w:val="28"/>
        </w:rPr>
        <w:t>）区域经济发展状况、统计数据、城市规划资料、基准地价资料等由土地估价专业评估师通过政府相关部门获取。</w:t>
      </w:r>
    </w:p>
    <w:p w14:paraId="4D9ABA61"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4</w:t>
      </w:r>
      <w:r>
        <w:rPr>
          <w:rFonts w:ascii="Arial" w:eastAsia="仿宋" w:hAnsi="Arial" w:cs="Arial"/>
          <w:sz w:val="28"/>
        </w:rPr>
        <w:t>）估价中的相关参数资料由土地估价专业评估师通过政府部门相关文件规定、公开媒体等多种途径获取。</w:t>
      </w:r>
    </w:p>
    <w:p w14:paraId="43ECFC58"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5</w:t>
      </w:r>
      <w:r>
        <w:rPr>
          <w:rFonts w:ascii="Arial" w:eastAsia="仿宋" w:hAnsi="Arial" w:cs="Arial"/>
          <w:sz w:val="28"/>
        </w:rPr>
        <w:t>）土地估价专业评估</w:t>
      </w:r>
      <w:proofErr w:type="gramStart"/>
      <w:r>
        <w:rPr>
          <w:rFonts w:ascii="Arial" w:eastAsia="仿宋" w:hAnsi="Arial" w:cs="Arial"/>
          <w:sz w:val="28"/>
        </w:rPr>
        <w:t>师结合</w:t>
      </w:r>
      <w:proofErr w:type="gramEnd"/>
      <w:r>
        <w:rPr>
          <w:rFonts w:ascii="Arial" w:eastAsia="仿宋" w:hAnsi="Arial" w:cs="Arial"/>
          <w:sz w:val="28"/>
        </w:rPr>
        <w:t>执业经验，对上述相关评估资料的真实性、合法性、有效性、适用性进行了尽职核实、专业判断。委托估价方对所提供资料的真实性负责，估价机构对所收集资料的真实性、准确性负责。</w:t>
      </w:r>
    </w:p>
    <w:p w14:paraId="7599A564"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2.</w:t>
      </w:r>
      <w:r>
        <w:rPr>
          <w:rFonts w:ascii="Arial" w:eastAsia="仿宋" w:hAnsi="Arial" w:cs="Arial"/>
          <w:sz w:val="28"/>
        </w:rPr>
        <w:t>有关参数确定及使用说明</w:t>
      </w:r>
    </w:p>
    <w:p w14:paraId="226ADCF9"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1</w:t>
      </w:r>
      <w:r>
        <w:rPr>
          <w:rFonts w:ascii="Arial" w:eastAsia="仿宋" w:hAnsi="Arial" w:cs="Arial"/>
          <w:sz w:val="28"/>
        </w:rPr>
        <w:t>）估价对象的土地面积及规划建筑规模以《北京市规划和自然资源委员会顺义分局关于顺义区高丽营镇夏县营村棚户区改造土地开发项目</w:t>
      </w:r>
      <w:r>
        <w:rPr>
          <w:rFonts w:ascii="Arial" w:eastAsia="仿宋" w:hAnsi="Arial" w:cs="Arial"/>
          <w:sz w:val="28"/>
        </w:rPr>
        <w:t>01-008</w:t>
      </w:r>
      <w:r>
        <w:rPr>
          <w:rFonts w:ascii="Arial" w:eastAsia="仿宋" w:hAnsi="Arial" w:cs="Arial"/>
          <w:sz w:val="28"/>
        </w:rPr>
        <w:t>、</w:t>
      </w:r>
      <w:r>
        <w:rPr>
          <w:rFonts w:ascii="Arial" w:eastAsia="仿宋" w:hAnsi="Arial" w:cs="Arial"/>
          <w:sz w:val="28"/>
        </w:rPr>
        <w:t>01-015-1</w:t>
      </w:r>
      <w:r>
        <w:rPr>
          <w:rFonts w:ascii="Arial" w:eastAsia="仿宋" w:hAnsi="Arial" w:cs="Arial"/>
          <w:sz w:val="28"/>
        </w:rPr>
        <w:t>、</w:t>
      </w:r>
      <w:r>
        <w:rPr>
          <w:rFonts w:ascii="Arial" w:eastAsia="仿宋" w:hAnsi="Arial" w:cs="Arial"/>
          <w:sz w:val="28"/>
        </w:rPr>
        <w:t>01-015-2</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01-020</w:t>
      </w:r>
      <w:r>
        <w:rPr>
          <w:rFonts w:ascii="Arial" w:eastAsia="仿宋" w:hAnsi="Arial" w:cs="Arial"/>
          <w:sz w:val="28"/>
        </w:rPr>
        <w:t>、</w:t>
      </w:r>
      <w:r>
        <w:rPr>
          <w:rFonts w:ascii="Arial" w:eastAsia="仿宋" w:hAnsi="Arial" w:cs="Arial"/>
          <w:sz w:val="28"/>
        </w:rPr>
        <w:t>01-025</w:t>
      </w:r>
      <w:r>
        <w:rPr>
          <w:rFonts w:ascii="Arial" w:eastAsia="仿宋" w:hAnsi="Arial" w:cs="Arial"/>
          <w:sz w:val="28"/>
        </w:rPr>
        <w:t>、</w:t>
      </w:r>
      <w:r>
        <w:rPr>
          <w:rFonts w:ascii="Arial" w:eastAsia="仿宋" w:hAnsi="Arial" w:cs="Arial"/>
          <w:sz w:val="28"/>
        </w:rPr>
        <w:t>01-026-1</w:t>
      </w:r>
      <w:r>
        <w:rPr>
          <w:rFonts w:ascii="Arial" w:eastAsia="仿宋" w:hAnsi="Arial" w:cs="Arial"/>
          <w:sz w:val="28"/>
        </w:rPr>
        <w:t>等二类居住用地、托幼用地、商业用地地块</w:t>
      </w:r>
      <w:r>
        <w:rPr>
          <w:rFonts w:ascii="Arial" w:eastAsia="仿宋" w:hAnsi="Arial" w:cs="Arial"/>
          <w:sz w:val="28"/>
        </w:rPr>
        <w:t>“</w:t>
      </w:r>
      <w:r>
        <w:rPr>
          <w:rFonts w:ascii="Arial" w:eastAsia="仿宋" w:hAnsi="Arial" w:cs="Arial"/>
          <w:sz w:val="28"/>
        </w:rPr>
        <w:t>多规合一</w:t>
      </w:r>
      <w:r>
        <w:rPr>
          <w:rFonts w:ascii="Arial" w:eastAsia="仿宋" w:hAnsi="Arial" w:cs="Arial"/>
          <w:sz w:val="28"/>
        </w:rPr>
        <w:t>”</w:t>
      </w:r>
      <w:r>
        <w:rPr>
          <w:rFonts w:ascii="Arial" w:eastAsia="仿宋" w:hAnsi="Arial" w:cs="Arial"/>
          <w:sz w:val="28"/>
        </w:rPr>
        <w:t>协同平台供地审核意见的函》（京</w:t>
      </w:r>
      <w:proofErr w:type="gramStart"/>
      <w:r>
        <w:rPr>
          <w:rFonts w:ascii="Arial" w:eastAsia="仿宋" w:hAnsi="Arial" w:cs="Arial"/>
          <w:sz w:val="28"/>
        </w:rPr>
        <w:t>规</w:t>
      </w:r>
      <w:proofErr w:type="gramEnd"/>
      <w:r>
        <w:rPr>
          <w:rFonts w:ascii="Arial" w:eastAsia="仿宋" w:hAnsi="Arial" w:cs="Arial"/>
          <w:sz w:val="28"/>
        </w:rPr>
        <w:t>自（顺）</w:t>
      </w:r>
      <w:proofErr w:type="gramStart"/>
      <w:r>
        <w:rPr>
          <w:rFonts w:ascii="Arial" w:eastAsia="仿宋" w:hAnsi="Arial" w:cs="Arial"/>
          <w:sz w:val="28"/>
        </w:rPr>
        <w:t>供审函</w:t>
      </w:r>
      <w:proofErr w:type="gramEnd"/>
      <w:r>
        <w:rPr>
          <w:rFonts w:ascii="Arial" w:eastAsia="仿宋" w:hAnsi="Arial" w:cs="Arial"/>
          <w:sz w:val="28"/>
        </w:rPr>
        <w:t>【</w:t>
      </w:r>
      <w:r>
        <w:rPr>
          <w:rFonts w:ascii="Arial" w:eastAsia="仿宋" w:hAnsi="Arial" w:cs="Arial"/>
          <w:sz w:val="28"/>
        </w:rPr>
        <w:t>2023</w:t>
      </w:r>
      <w:r>
        <w:rPr>
          <w:rFonts w:ascii="Arial" w:eastAsia="仿宋" w:hAnsi="Arial" w:cs="Arial"/>
          <w:sz w:val="28"/>
        </w:rPr>
        <w:t>】</w:t>
      </w:r>
      <w:r>
        <w:rPr>
          <w:rFonts w:ascii="Arial" w:eastAsia="仿宋" w:hAnsi="Arial" w:cs="Arial"/>
          <w:sz w:val="28"/>
        </w:rPr>
        <w:t>0004</w:t>
      </w:r>
      <w:r>
        <w:rPr>
          <w:rFonts w:ascii="Arial" w:eastAsia="仿宋" w:hAnsi="Arial" w:cs="Arial"/>
          <w:sz w:val="28"/>
        </w:rPr>
        <w:t>号）为依据</w:t>
      </w:r>
      <w:r>
        <w:rPr>
          <w:rFonts w:ascii="Arial" w:eastAsia="仿宋" w:hAnsi="Arial" w:cs="Arial"/>
          <w:sz w:val="28"/>
          <w:szCs w:val="28"/>
        </w:rPr>
        <w:t>，</w:t>
      </w:r>
      <w:r>
        <w:rPr>
          <w:rFonts w:ascii="Arial" w:eastAsia="仿宋" w:hAnsi="Arial" w:cs="Arial"/>
          <w:sz w:val="28"/>
        </w:rPr>
        <w:t>本次估价对象</w:t>
      </w:r>
      <w:r>
        <w:rPr>
          <w:rFonts w:ascii="Arial" w:eastAsia="仿宋" w:hAnsi="Arial" w:cs="Arial"/>
          <w:sz w:val="28"/>
        </w:rPr>
        <w:t>01-008</w:t>
      </w:r>
      <w:r>
        <w:rPr>
          <w:rFonts w:ascii="Arial" w:eastAsia="仿宋" w:hAnsi="Arial" w:cs="Arial"/>
          <w:sz w:val="28"/>
        </w:rPr>
        <w:t>等地块共</w:t>
      </w:r>
      <w:r>
        <w:rPr>
          <w:rFonts w:ascii="Arial" w:eastAsia="仿宋" w:hAnsi="Arial" w:cs="Arial"/>
          <w:sz w:val="28"/>
        </w:rPr>
        <w:t>4</w:t>
      </w:r>
      <w:r>
        <w:rPr>
          <w:rFonts w:ascii="Arial" w:eastAsia="仿宋" w:hAnsi="Arial" w:cs="Arial"/>
          <w:sz w:val="28"/>
        </w:rPr>
        <w:t>宗地，用地规模合计为</w:t>
      </w:r>
      <w:r>
        <w:rPr>
          <w:rFonts w:ascii="Arial" w:eastAsia="仿宋" w:hAnsi="Arial" w:cs="Arial"/>
          <w:sz w:val="28"/>
        </w:rPr>
        <w:t>60990.43</w:t>
      </w:r>
      <w:r>
        <w:rPr>
          <w:rFonts w:ascii="Arial" w:eastAsia="仿宋" w:hAnsi="Arial" w:cs="Arial"/>
          <w:sz w:val="28"/>
        </w:rPr>
        <w:t>平方米，全部为建设用地，建筑规模合计为</w:t>
      </w:r>
      <w:r>
        <w:rPr>
          <w:rFonts w:ascii="Arial" w:eastAsia="仿宋" w:hAnsi="Arial" w:cs="Arial"/>
          <w:sz w:val="28"/>
        </w:rPr>
        <w:t>71508.52</w:t>
      </w:r>
      <w:r>
        <w:rPr>
          <w:rFonts w:ascii="Arial" w:eastAsia="仿宋" w:hAnsi="Arial" w:cs="Arial"/>
          <w:sz w:val="28"/>
        </w:rPr>
        <w:t>平方米。</w:t>
      </w:r>
      <w:r>
        <w:rPr>
          <w:rFonts w:ascii="Arial" w:eastAsia="仿宋" w:hAnsi="Arial" w:cs="Arial"/>
          <w:sz w:val="28"/>
          <w:szCs w:val="28"/>
        </w:rPr>
        <w:t>其中，估价对象</w:t>
      </w:r>
      <w:r>
        <w:rPr>
          <w:rFonts w:ascii="Arial" w:eastAsia="仿宋" w:hAnsi="Arial" w:cs="Arial"/>
          <w:sz w:val="28"/>
        </w:rPr>
        <w:t>01-008</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24804.85</w:t>
      </w:r>
      <w:r>
        <w:rPr>
          <w:rFonts w:ascii="Arial" w:eastAsia="仿宋" w:hAnsi="Arial" w:cs="Arial"/>
          <w:sz w:val="28"/>
        </w:rPr>
        <w:t>平方米，地上建筑规模为</w:t>
      </w:r>
      <w:r>
        <w:rPr>
          <w:rFonts w:ascii="Arial" w:eastAsia="仿宋" w:hAnsi="Arial" w:cs="Arial"/>
          <w:sz w:val="28"/>
        </w:rPr>
        <w:t>29765.82</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w:t>
      </w:r>
      <w:r>
        <w:rPr>
          <w:rFonts w:ascii="Arial" w:eastAsia="仿宋" w:hAnsi="Arial" w:cs="Arial"/>
          <w:sz w:val="28"/>
          <w:szCs w:val="28"/>
        </w:rPr>
        <w:t>估价对象</w:t>
      </w:r>
      <w:r>
        <w:rPr>
          <w:rFonts w:ascii="Arial" w:eastAsia="仿宋" w:hAnsi="Arial" w:cs="Arial"/>
          <w:sz w:val="28"/>
        </w:rPr>
        <w:t>01-016</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23103.85</w:t>
      </w:r>
      <w:r>
        <w:rPr>
          <w:rFonts w:ascii="Arial" w:eastAsia="仿宋" w:hAnsi="Arial" w:cs="Arial"/>
          <w:sz w:val="28"/>
        </w:rPr>
        <w:t>平方米，地上建筑规模为</w:t>
      </w:r>
      <w:r>
        <w:rPr>
          <w:rFonts w:ascii="Arial" w:eastAsia="仿宋" w:hAnsi="Arial" w:cs="Arial"/>
          <w:sz w:val="28"/>
        </w:rPr>
        <w:t>27724.62</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w:t>
      </w:r>
      <w:r>
        <w:rPr>
          <w:rFonts w:ascii="Arial" w:eastAsia="仿宋" w:hAnsi="Arial" w:cs="Arial"/>
          <w:sz w:val="28"/>
          <w:szCs w:val="28"/>
        </w:rPr>
        <w:t xml:space="preserve"> </w:t>
      </w:r>
      <w:r>
        <w:rPr>
          <w:rFonts w:ascii="Arial" w:eastAsia="仿宋" w:hAnsi="Arial" w:cs="Arial"/>
          <w:sz w:val="28"/>
          <w:szCs w:val="28"/>
        </w:rPr>
        <w:t>估价对象</w:t>
      </w:r>
      <w:r>
        <w:rPr>
          <w:rFonts w:ascii="Arial" w:eastAsia="仿宋" w:hAnsi="Arial" w:cs="Arial"/>
          <w:sz w:val="28"/>
          <w:szCs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8881.75</w:t>
      </w:r>
      <w:r>
        <w:rPr>
          <w:rFonts w:ascii="Arial" w:eastAsia="仿宋" w:hAnsi="Arial" w:cs="Arial"/>
          <w:sz w:val="28"/>
        </w:rPr>
        <w:t>平方米，地上建筑规模为</w:t>
      </w:r>
      <w:r>
        <w:rPr>
          <w:rFonts w:ascii="Arial" w:eastAsia="仿宋" w:hAnsi="Arial" w:cs="Arial"/>
          <w:sz w:val="28"/>
        </w:rPr>
        <w:t>10658.10</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；另有</w:t>
      </w:r>
      <w:r>
        <w:rPr>
          <w:rFonts w:ascii="Arial" w:eastAsia="仿宋" w:hAnsi="Arial" w:cs="Arial"/>
          <w:sz w:val="28"/>
          <w:szCs w:val="28"/>
        </w:rPr>
        <w:t>估价对象</w:t>
      </w:r>
      <w:r>
        <w:rPr>
          <w:rFonts w:ascii="Arial" w:eastAsia="仿宋" w:hAnsi="Arial" w:cs="Arial"/>
          <w:sz w:val="28"/>
        </w:rPr>
        <w:t>01-020</w:t>
      </w:r>
      <w:r>
        <w:rPr>
          <w:rFonts w:ascii="Arial" w:eastAsia="仿宋" w:hAnsi="Arial" w:cs="Arial"/>
          <w:sz w:val="28"/>
        </w:rPr>
        <w:t>地块（</w:t>
      </w:r>
      <w:r>
        <w:rPr>
          <w:rFonts w:ascii="Arial" w:eastAsia="仿宋" w:hAnsi="Arial" w:cs="Arial"/>
          <w:sz w:val="28"/>
        </w:rPr>
        <w:t>A334</w:t>
      </w:r>
      <w:r>
        <w:rPr>
          <w:rFonts w:ascii="Arial" w:eastAsia="仿宋" w:hAnsi="Arial" w:cs="Arial"/>
          <w:sz w:val="28"/>
        </w:rPr>
        <w:t>托幼用地，不出让）建设用地规模为</w:t>
      </w:r>
      <w:r>
        <w:rPr>
          <w:rFonts w:ascii="Arial" w:eastAsia="仿宋" w:hAnsi="Arial" w:cs="Arial"/>
          <w:sz w:val="28"/>
        </w:rPr>
        <w:t>4199.98</w:t>
      </w:r>
      <w:r>
        <w:rPr>
          <w:rFonts w:ascii="Arial" w:eastAsia="仿宋" w:hAnsi="Arial" w:cs="Arial"/>
          <w:sz w:val="28"/>
        </w:rPr>
        <w:t>平方米，地上建筑规模为</w:t>
      </w:r>
      <w:r>
        <w:rPr>
          <w:rFonts w:ascii="Arial" w:eastAsia="仿宋" w:hAnsi="Arial" w:cs="Arial"/>
          <w:sz w:val="28"/>
        </w:rPr>
        <w:t>3359.98</w:t>
      </w:r>
      <w:r>
        <w:rPr>
          <w:rFonts w:ascii="Arial" w:eastAsia="仿宋" w:hAnsi="Arial" w:cs="Arial"/>
          <w:sz w:val="28"/>
        </w:rPr>
        <w:t>平方米，容积率为</w:t>
      </w:r>
      <w:r>
        <w:rPr>
          <w:rFonts w:ascii="Arial" w:eastAsia="仿宋" w:hAnsi="Arial" w:cs="Arial"/>
          <w:sz w:val="28"/>
        </w:rPr>
        <w:t>0.8</w:t>
      </w:r>
      <w:r>
        <w:rPr>
          <w:rFonts w:ascii="Arial" w:eastAsia="仿宋" w:hAnsi="Arial" w:cs="Arial"/>
          <w:sz w:val="28"/>
        </w:rPr>
        <w:t>。根据《北京市人民政府关于更新出让国有建设用地使用权基准地价的通知》（京政发（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号）中的相关规定，本次评估</w:t>
      </w:r>
      <w:r>
        <w:rPr>
          <w:rFonts w:ascii="Arial" w:eastAsia="仿宋" w:hAnsi="Arial" w:cs="Arial"/>
          <w:sz w:val="28"/>
        </w:rPr>
        <w:t>01-008</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类居住用地）容积率为</w:t>
      </w:r>
      <w:r>
        <w:rPr>
          <w:rFonts w:ascii="Arial" w:eastAsia="仿宋" w:hAnsi="Arial" w:cs="Arial"/>
          <w:sz w:val="28"/>
        </w:rPr>
        <w:t>1.2</w:t>
      </w:r>
      <w:r>
        <w:rPr>
          <w:rFonts w:ascii="Arial" w:eastAsia="仿宋" w:hAnsi="Arial" w:cs="Arial"/>
          <w:sz w:val="28"/>
        </w:rPr>
        <w:t>。若上述条件发生变化，本报告估价结果需做相应的调整。</w:t>
      </w:r>
    </w:p>
    <w:p w14:paraId="78AC08CE"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2</w:t>
      </w:r>
      <w:r>
        <w:rPr>
          <w:rFonts w:ascii="Arial" w:eastAsia="仿宋" w:hAnsi="Arial" w:cs="Arial"/>
          <w:sz w:val="28"/>
        </w:rPr>
        <w:t>）根据《北京市规划和自然资源委员会顺义分局关于顺义区高丽</w:t>
      </w:r>
      <w:r>
        <w:rPr>
          <w:rFonts w:ascii="Arial" w:eastAsia="仿宋" w:hAnsi="Arial" w:cs="Arial"/>
          <w:sz w:val="28"/>
        </w:rPr>
        <w:lastRenderedPageBreak/>
        <w:t>营镇夏县营村棚户区改造土地开发项目</w:t>
      </w:r>
      <w:r>
        <w:rPr>
          <w:rFonts w:ascii="Arial" w:eastAsia="仿宋" w:hAnsi="Arial" w:cs="Arial"/>
          <w:sz w:val="28"/>
        </w:rPr>
        <w:t>01-008</w:t>
      </w:r>
      <w:r>
        <w:rPr>
          <w:rFonts w:ascii="Arial" w:eastAsia="仿宋" w:hAnsi="Arial" w:cs="Arial"/>
          <w:sz w:val="28"/>
        </w:rPr>
        <w:t>、</w:t>
      </w:r>
      <w:r>
        <w:rPr>
          <w:rFonts w:ascii="Arial" w:eastAsia="仿宋" w:hAnsi="Arial" w:cs="Arial"/>
          <w:sz w:val="28"/>
        </w:rPr>
        <w:t>01-015-1</w:t>
      </w:r>
      <w:r>
        <w:rPr>
          <w:rFonts w:ascii="Arial" w:eastAsia="仿宋" w:hAnsi="Arial" w:cs="Arial"/>
          <w:sz w:val="28"/>
        </w:rPr>
        <w:t>、</w:t>
      </w:r>
      <w:r>
        <w:rPr>
          <w:rFonts w:ascii="Arial" w:eastAsia="仿宋" w:hAnsi="Arial" w:cs="Arial"/>
          <w:sz w:val="28"/>
        </w:rPr>
        <w:t>01-015-2</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01-020</w:t>
      </w:r>
      <w:r>
        <w:rPr>
          <w:rFonts w:ascii="Arial" w:eastAsia="仿宋" w:hAnsi="Arial" w:cs="Arial"/>
          <w:sz w:val="28"/>
        </w:rPr>
        <w:t>、</w:t>
      </w:r>
      <w:r>
        <w:rPr>
          <w:rFonts w:ascii="Arial" w:eastAsia="仿宋" w:hAnsi="Arial" w:cs="Arial"/>
          <w:sz w:val="28"/>
        </w:rPr>
        <w:t>01-025</w:t>
      </w:r>
      <w:r>
        <w:rPr>
          <w:rFonts w:ascii="Arial" w:eastAsia="仿宋" w:hAnsi="Arial" w:cs="Arial"/>
          <w:sz w:val="28"/>
        </w:rPr>
        <w:t>、</w:t>
      </w:r>
      <w:r>
        <w:rPr>
          <w:rFonts w:ascii="Arial" w:eastAsia="仿宋" w:hAnsi="Arial" w:cs="Arial"/>
          <w:sz w:val="28"/>
        </w:rPr>
        <w:t>01-026-1</w:t>
      </w:r>
      <w:r>
        <w:rPr>
          <w:rFonts w:ascii="Arial" w:eastAsia="仿宋" w:hAnsi="Arial" w:cs="Arial"/>
          <w:sz w:val="28"/>
        </w:rPr>
        <w:t>等二类居住用地、托幼用地、商业用地地块</w:t>
      </w:r>
      <w:r>
        <w:rPr>
          <w:rFonts w:ascii="Arial" w:eastAsia="仿宋" w:hAnsi="Arial" w:cs="Arial"/>
          <w:sz w:val="28"/>
        </w:rPr>
        <w:t>“</w:t>
      </w:r>
      <w:r>
        <w:rPr>
          <w:rFonts w:ascii="Arial" w:eastAsia="仿宋" w:hAnsi="Arial" w:cs="Arial"/>
          <w:sz w:val="28"/>
        </w:rPr>
        <w:t>多规合一</w:t>
      </w:r>
      <w:r>
        <w:rPr>
          <w:rFonts w:ascii="Arial" w:eastAsia="仿宋" w:hAnsi="Arial" w:cs="Arial"/>
          <w:sz w:val="28"/>
        </w:rPr>
        <w:t>”</w:t>
      </w:r>
      <w:r>
        <w:rPr>
          <w:rFonts w:ascii="Arial" w:eastAsia="仿宋" w:hAnsi="Arial" w:cs="Arial"/>
          <w:sz w:val="28"/>
        </w:rPr>
        <w:t>协同平台供地审核意见的函》（京</w:t>
      </w:r>
      <w:proofErr w:type="gramStart"/>
      <w:r>
        <w:rPr>
          <w:rFonts w:ascii="Arial" w:eastAsia="仿宋" w:hAnsi="Arial" w:cs="Arial"/>
          <w:sz w:val="28"/>
        </w:rPr>
        <w:t>规</w:t>
      </w:r>
      <w:proofErr w:type="gramEnd"/>
      <w:r>
        <w:rPr>
          <w:rFonts w:ascii="Arial" w:eastAsia="仿宋" w:hAnsi="Arial" w:cs="Arial"/>
          <w:sz w:val="28"/>
        </w:rPr>
        <w:t>自（顺）</w:t>
      </w:r>
      <w:proofErr w:type="gramStart"/>
      <w:r>
        <w:rPr>
          <w:rFonts w:ascii="Arial" w:eastAsia="仿宋" w:hAnsi="Arial" w:cs="Arial"/>
          <w:sz w:val="28"/>
        </w:rPr>
        <w:t>供审函</w:t>
      </w:r>
      <w:proofErr w:type="gramEnd"/>
      <w:r>
        <w:rPr>
          <w:rFonts w:ascii="Arial" w:eastAsia="仿宋" w:hAnsi="Arial" w:cs="Arial"/>
          <w:sz w:val="28"/>
        </w:rPr>
        <w:t>【</w:t>
      </w:r>
      <w:r>
        <w:rPr>
          <w:rFonts w:ascii="Arial" w:eastAsia="仿宋" w:hAnsi="Arial" w:cs="Arial"/>
          <w:sz w:val="28"/>
        </w:rPr>
        <w:t>2023</w:t>
      </w:r>
      <w:r>
        <w:rPr>
          <w:rFonts w:ascii="Arial" w:eastAsia="仿宋" w:hAnsi="Arial" w:cs="Arial"/>
          <w:sz w:val="28"/>
        </w:rPr>
        <w:t>】</w:t>
      </w:r>
      <w:r>
        <w:rPr>
          <w:rFonts w:ascii="Arial" w:eastAsia="仿宋" w:hAnsi="Arial" w:cs="Arial"/>
          <w:sz w:val="28"/>
        </w:rPr>
        <w:t>0004</w:t>
      </w:r>
      <w:r>
        <w:rPr>
          <w:rFonts w:ascii="Arial" w:eastAsia="仿宋" w:hAnsi="Arial" w:cs="Arial"/>
          <w:sz w:val="28"/>
        </w:rPr>
        <w:t>号），该项目合计应配建人防工程建筑面积不小于</w:t>
      </w:r>
      <w:r>
        <w:rPr>
          <w:rFonts w:ascii="Arial" w:eastAsia="仿宋" w:hAnsi="Arial" w:cs="Arial"/>
          <w:sz w:val="28"/>
        </w:rPr>
        <w:t>13674.6</w:t>
      </w:r>
      <w:r>
        <w:rPr>
          <w:rFonts w:ascii="Arial" w:eastAsia="仿宋" w:hAnsi="Arial" w:cs="Arial"/>
          <w:sz w:val="28"/>
        </w:rPr>
        <w:t>平方米，其中</w:t>
      </w:r>
      <w:r>
        <w:rPr>
          <w:rFonts w:ascii="Arial" w:eastAsia="仿宋" w:hAnsi="Arial" w:cs="Arial"/>
          <w:sz w:val="28"/>
        </w:rPr>
        <w:t xml:space="preserve"> 01-008 </w:t>
      </w:r>
      <w:r>
        <w:rPr>
          <w:rFonts w:ascii="Arial" w:eastAsia="仿宋" w:hAnsi="Arial" w:cs="Arial"/>
          <w:sz w:val="28"/>
        </w:rPr>
        <w:t>地块应配建不小于</w:t>
      </w:r>
      <w:r>
        <w:rPr>
          <w:rFonts w:ascii="Arial" w:eastAsia="仿宋" w:hAnsi="Arial" w:cs="Arial"/>
          <w:sz w:val="28"/>
        </w:rPr>
        <w:t>2000</w:t>
      </w:r>
      <w:r>
        <w:rPr>
          <w:rFonts w:ascii="Arial" w:eastAsia="仿宋" w:hAnsi="Arial" w:cs="Arial"/>
          <w:sz w:val="28"/>
        </w:rPr>
        <w:t>平方米二等人员掩蔽所工程；</w:t>
      </w:r>
      <w:r>
        <w:rPr>
          <w:rFonts w:ascii="Arial" w:eastAsia="仿宋" w:hAnsi="Arial" w:cs="Arial"/>
          <w:sz w:val="28"/>
        </w:rPr>
        <w:t xml:space="preserve"> 01-016 </w:t>
      </w:r>
      <w:r>
        <w:rPr>
          <w:rFonts w:ascii="Arial" w:eastAsia="仿宋" w:hAnsi="Arial" w:cs="Arial"/>
          <w:sz w:val="28"/>
        </w:rPr>
        <w:t>地块应配建不小于</w:t>
      </w:r>
      <w:r>
        <w:rPr>
          <w:rFonts w:ascii="Arial" w:eastAsia="仿宋" w:hAnsi="Arial" w:cs="Arial"/>
          <w:sz w:val="28"/>
        </w:rPr>
        <w:t xml:space="preserve"> 3536.3</w:t>
      </w:r>
      <w:r>
        <w:rPr>
          <w:rFonts w:ascii="Arial" w:eastAsia="仿宋" w:hAnsi="Arial" w:cs="Arial"/>
          <w:sz w:val="28"/>
        </w:rPr>
        <w:t>平方米二等人员掩蔽所工程；</w:t>
      </w:r>
      <w:r>
        <w:rPr>
          <w:rFonts w:ascii="Arial" w:eastAsia="仿宋" w:hAnsi="Arial" w:cs="Arial"/>
          <w:sz w:val="28"/>
        </w:rPr>
        <w:t xml:space="preserve"> 01-026-1</w:t>
      </w:r>
      <w:r>
        <w:rPr>
          <w:rFonts w:ascii="Arial" w:eastAsia="仿宋" w:hAnsi="Arial" w:cs="Arial"/>
          <w:sz w:val="28"/>
        </w:rPr>
        <w:t>地块应配建不小于</w:t>
      </w:r>
      <w:r>
        <w:rPr>
          <w:rFonts w:ascii="Arial" w:eastAsia="仿宋" w:hAnsi="Arial" w:cs="Arial"/>
          <w:sz w:val="28"/>
        </w:rPr>
        <w:t>1261.8</w:t>
      </w:r>
      <w:r>
        <w:rPr>
          <w:rFonts w:ascii="Arial" w:eastAsia="仿宋" w:hAnsi="Arial" w:cs="Arial"/>
          <w:sz w:val="28"/>
        </w:rPr>
        <w:t>平方米二等人员掩蔽所工程。将</w:t>
      </w:r>
      <w:r>
        <w:rPr>
          <w:rFonts w:ascii="Arial" w:eastAsia="仿宋" w:hAnsi="Arial" w:cs="Arial"/>
          <w:sz w:val="28"/>
        </w:rPr>
        <w:t xml:space="preserve"> 01-020</w:t>
      </w:r>
      <w:r>
        <w:rPr>
          <w:rFonts w:ascii="Arial" w:eastAsia="仿宋" w:hAnsi="Arial" w:cs="Arial"/>
          <w:sz w:val="28"/>
        </w:rPr>
        <w:t>地块统筹到</w:t>
      </w:r>
      <w:r>
        <w:rPr>
          <w:rFonts w:ascii="Arial" w:eastAsia="仿宋" w:hAnsi="Arial" w:cs="Arial"/>
          <w:sz w:val="28"/>
        </w:rPr>
        <w:t xml:space="preserve"> 01-026-1</w:t>
      </w:r>
      <w:r>
        <w:rPr>
          <w:rFonts w:ascii="Arial" w:eastAsia="仿宋" w:hAnsi="Arial" w:cs="Arial"/>
          <w:sz w:val="28"/>
        </w:rPr>
        <w:t>二等人员掩蔽所工程抗力等级为甲</w:t>
      </w:r>
      <w:r>
        <w:rPr>
          <w:rFonts w:ascii="Arial" w:eastAsia="仿宋" w:hAnsi="Arial" w:cs="Arial"/>
          <w:sz w:val="28"/>
        </w:rPr>
        <w:t>6</w:t>
      </w:r>
      <w:r>
        <w:rPr>
          <w:rFonts w:ascii="Arial" w:eastAsia="仿宋" w:hAnsi="Arial" w:cs="Arial"/>
          <w:sz w:val="28"/>
        </w:rPr>
        <w:t>级，防空专业队队员掩蔽部工程抗力等级为甲</w:t>
      </w:r>
      <w:r>
        <w:rPr>
          <w:rFonts w:ascii="Arial" w:eastAsia="仿宋" w:hAnsi="Arial" w:cs="Arial"/>
          <w:sz w:val="28"/>
        </w:rPr>
        <w:t>5</w:t>
      </w:r>
      <w:r>
        <w:rPr>
          <w:rFonts w:ascii="Arial" w:eastAsia="仿宋" w:hAnsi="Arial" w:cs="Arial"/>
          <w:sz w:val="28"/>
        </w:rPr>
        <w:t>级。</w:t>
      </w:r>
    </w:p>
    <w:p w14:paraId="7ADACA8E" w14:textId="77777777" w:rsidR="0062768B" w:rsidRDefault="00136729">
      <w:pPr>
        <w:adjustRightInd/>
        <w:spacing w:line="300" w:lineRule="auto"/>
        <w:ind w:firstLineChars="200" w:firstLine="560"/>
        <w:jc w:val="both"/>
        <w:textAlignment w:val="bottom"/>
        <w:rPr>
          <w:rFonts w:ascii="Arial" w:eastAsia="仿宋" w:hAnsi="Arial" w:cs="Arial"/>
          <w:sz w:val="28"/>
          <w:szCs w:val="28"/>
        </w:rPr>
      </w:pPr>
      <w:r>
        <w:rPr>
          <w:rFonts w:ascii="Arial" w:eastAsia="仿宋" w:hAnsi="Arial" w:cs="Arial"/>
          <w:sz w:val="28"/>
        </w:rPr>
        <w:t>（</w:t>
      </w:r>
      <w:r>
        <w:rPr>
          <w:rFonts w:ascii="Arial" w:eastAsia="仿宋" w:hAnsi="Arial" w:cs="Arial"/>
          <w:sz w:val="28"/>
        </w:rPr>
        <w:t>3</w:t>
      </w:r>
      <w:r>
        <w:rPr>
          <w:rFonts w:ascii="Arial" w:eastAsia="仿宋" w:hAnsi="Arial" w:cs="Arial"/>
          <w:sz w:val="28"/>
        </w:rPr>
        <w:t>）根据《北京市人民政府关于顺义区二〇二〇年度批次建设用地的批复》（</w:t>
      </w:r>
      <w:proofErr w:type="gramStart"/>
      <w:r>
        <w:rPr>
          <w:rFonts w:ascii="Arial" w:eastAsia="仿宋" w:hAnsi="Arial" w:cs="Arial"/>
          <w:sz w:val="28"/>
        </w:rPr>
        <w:t>京政地字</w:t>
      </w:r>
      <w:proofErr w:type="gramEnd"/>
      <w:r>
        <w:rPr>
          <w:rFonts w:ascii="Arial" w:eastAsia="仿宋" w:hAnsi="Arial" w:cs="Arial"/>
          <w:sz w:val="28"/>
        </w:rPr>
        <w:t>【</w:t>
      </w:r>
      <w:r>
        <w:rPr>
          <w:rFonts w:ascii="Arial" w:eastAsia="仿宋" w:hAnsi="Arial" w:cs="Arial"/>
          <w:sz w:val="28"/>
        </w:rPr>
        <w:t>2020</w:t>
      </w:r>
      <w:r>
        <w:rPr>
          <w:rFonts w:ascii="Arial" w:eastAsia="仿宋" w:hAnsi="Arial" w:cs="Arial"/>
          <w:sz w:val="28"/>
        </w:rPr>
        <w:t>】</w:t>
      </w:r>
      <w:r>
        <w:rPr>
          <w:rFonts w:ascii="Arial" w:eastAsia="仿宋" w:hAnsi="Arial" w:cs="Arial"/>
          <w:sz w:val="28"/>
        </w:rPr>
        <w:t>121</w:t>
      </w:r>
      <w:r>
        <w:rPr>
          <w:rFonts w:ascii="Arial" w:eastAsia="仿宋" w:hAnsi="Arial" w:cs="Arial"/>
          <w:sz w:val="28"/>
        </w:rPr>
        <w:t>号），北京中交城市开发有限公司为估价对象一级开发主体</w:t>
      </w:r>
      <w:r>
        <w:rPr>
          <w:rFonts w:ascii="Arial" w:eastAsia="仿宋" w:hAnsi="Arial" w:cs="Arial"/>
          <w:sz w:val="28"/>
          <w:szCs w:val="28"/>
        </w:rPr>
        <w:t>。</w:t>
      </w:r>
    </w:p>
    <w:p w14:paraId="3699B661"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4</w:t>
      </w:r>
      <w:r>
        <w:rPr>
          <w:rFonts w:ascii="Arial" w:eastAsia="仿宋" w:hAnsi="Arial" w:cs="Arial"/>
          <w:sz w:val="28"/>
        </w:rPr>
        <w:t>）根据《北京市人民政府关于更新出让国有建设用地使用权基准地价的通知》（京政发（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号）的要求，土地估价专业评估师以北京市地价动态监测成果公布的地价增长率为准，对基准地价中的熟地价进行期日修正。</w:t>
      </w:r>
    </w:p>
    <w:p w14:paraId="41F66667" w14:textId="77777777" w:rsidR="0062768B" w:rsidRDefault="00136729">
      <w:pPr>
        <w:adjustRightInd/>
        <w:spacing w:line="300" w:lineRule="auto"/>
        <w:ind w:firstLineChars="200" w:firstLine="560"/>
        <w:jc w:val="both"/>
        <w:textAlignment w:val="bottom"/>
        <w:rPr>
          <w:rFonts w:ascii="Arial" w:eastAsia="仿宋" w:hAnsi="Arial" w:cs="Arial"/>
          <w:sz w:val="28"/>
          <w:lang w:val="zh-CN"/>
        </w:rPr>
      </w:pPr>
      <w:r>
        <w:rPr>
          <w:rFonts w:ascii="Arial" w:eastAsia="仿宋" w:hAnsi="Arial" w:cs="Arial"/>
          <w:sz w:val="28"/>
        </w:rPr>
        <w:t>（</w:t>
      </w:r>
      <w:r>
        <w:rPr>
          <w:rFonts w:ascii="Arial" w:eastAsia="仿宋" w:hAnsi="Arial" w:cs="Arial"/>
          <w:sz w:val="28"/>
        </w:rPr>
        <w:t>5</w:t>
      </w:r>
      <w:r>
        <w:rPr>
          <w:rFonts w:ascii="Arial" w:eastAsia="仿宋" w:hAnsi="Arial" w:cs="Arial"/>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sz w:val="28"/>
        </w:rPr>
        <w:t>的征收率计税。</w:t>
      </w:r>
    </w:p>
    <w:p w14:paraId="24C35BFB"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6</w:t>
      </w:r>
      <w:r>
        <w:rPr>
          <w:rFonts w:ascii="Arial" w:eastAsia="仿宋"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75AC687F"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3.</w:t>
      </w:r>
      <w:r>
        <w:rPr>
          <w:rFonts w:ascii="Arial" w:eastAsia="仿宋" w:hAnsi="Arial" w:cs="Arial"/>
          <w:sz w:val="28"/>
        </w:rPr>
        <w:t>其他说明</w:t>
      </w:r>
    </w:p>
    <w:p w14:paraId="7231D8CE"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1</w:t>
      </w:r>
      <w:r>
        <w:rPr>
          <w:rFonts w:ascii="Arial" w:eastAsia="仿宋" w:hAnsi="Arial" w:cs="Arial"/>
          <w:sz w:val="28"/>
        </w:rPr>
        <w:t>）估价对象范围根据《国有建设用地使用权出让地价评估委托书》中确定。</w:t>
      </w:r>
    </w:p>
    <w:p w14:paraId="7D573CA9"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2</w:t>
      </w:r>
      <w:r>
        <w:rPr>
          <w:rFonts w:ascii="Arial" w:eastAsia="仿宋" w:hAnsi="Arial" w:cs="Arial"/>
          <w:sz w:val="28"/>
        </w:rPr>
        <w:t>）本评估报告仅为出让方通过集体决策确定土地出让底价提供参考依据，最终应缴纳的地价款以北京市规划和自然资源委员会公布结果为准。</w:t>
      </w:r>
    </w:p>
    <w:p w14:paraId="16BF19E8" w14:textId="77777777" w:rsidR="0062768B" w:rsidRDefault="00136729">
      <w:pPr>
        <w:snapToGrid w:val="0"/>
        <w:spacing w:line="300" w:lineRule="auto"/>
        <w:ind w:firstLineChars="200" w:firstLine="560"/>
        <w:jc w:val="both"/>
        <w:textAlignment w:val="bottom"/>
        <w:rPr>
          <w:rFonts w:ascii="Arial" w:eastAsia="仿宋_GB2312" w:hAnsi="Arial" w:cs="Arial"/>
          <w:sz w:val="28"/>
        </w:rPr>
      </w:pPr>
      <w:r>
        <w:rPr>
          <w:rFonts w:ascii="Arial" w:eastAsia="仿宋" w:hAnsi="Arial" w:cs="Arial"/>
          <w:sz w:val="28"/>
        </w:rPr>
        <w:t>（</w:t>
      </w:r>
      <w:r>
        <w:rPr>
          <w:rFonts w:ascii="Arial" w:eastAsia="仿宋" w:hAnsi="Arial" w:cs="Arial"/>
          <w:sz w:val="28"/>
        </w:rPr>
        <w:t>3</w:t>
      </w:r>
      <w:r>
        <w:rPr>
          <w:rFonts w:ascii="Arial" w:eastAsia="仿宋" w:hAnsi="Arial" w:cs="Arial"/>
          <w:sz w:val="28"/>
        </w:rPr>
        <w:t>）根据估价目的，此次评估在符合《城镇土地估价规程》（</w:t>
      </w:r>
      <w:r>
        <w:rPr>
          <w:rFonts w:ascii="Arial" w:eastAsia="仿宋" w:hAnsi="Arial" w:cs="Arial"/>
          <w:sz w:val="28"/>
        </w:rPr>
        <w:t>GB/T 18508-2014</w:t>
      </w:r>
      <w:r>
        <w:rPr>
          <w:rFonts w:ascii="Arial" w:eastAsia="仿宋" w:hAnsi="Arial" w:cs="Arial"/>
          <w:sz w:val="28"/>
        </w:rPr>
        <w:t>）和《国土资源部办公厅关于印发〈国有建设用地使用权出让地价评估技术规范〉的通知》（</w:t>
      </w:r>
      <w:proofErr w:type="gramStart"/>
      <w:r>
        <w:rPr>
          <w:rFonts w:ascii="Arial" w:eastAsia="仿宋" w:hAnsi="Arial" w:cs="Arial"/>
          <w:sz w:val="28"/>
        </w:rPr>
        <w:t>国土资厅发</w:t>
      </w:r>
      <w:proofErr w:type="gramEnd"/>
      <w:r>
        <w:rPr>
          <w:rFonts w:ascii="Arial" w:eastAsia="仿宋" w:hAnsi="Arial" w:cs="Arial"/>
          <w:sz w:val="28"/>
        </w:rPr>
        <w:t>（</w:t>
      </w:r>
      <w:r>
        <w:rPr>
          <w:rFonts w:ascii="Arial" w:eastAsia="仿宋" w:hAnsi="Arial" w:cs="Arial"/>
          <w:sz w:val="28"/>
        </w:rPr>
        <w:t>2018</w:t>
      </w:r>
      <w:r>
        <w:rPr>
          <w:rFonts w:ascii="Arial" w:eastAsia="仿宋" w:hAnsi="Arial" w:cs="Arial"/>
          <w:sz w:val="28"/>
        </w:rPr>
        <w:t>）</w:t>
      </w:r>
      <w:r>
        <w:rPr>
          <w:rFonts w:ascii="Arial" w:eastAsia="仿宋" w:hAnsi="Arial" w:cs="Arial"/>
          <w:sz w:val="28"/>
        </w:rPr>
        <w:t>4</w:t>
      </w:r>
      <w:r>
        <w:rPr>
          <w:rFonts w:ascii="Arial" w:eastAsia="仿宋" w:hAnsi="Arial" w:cs="Arial"/>
          <w:sz w:val="28"/>
        </w:rPr>
        <w:t>号）原则性要求的基础上，还需满足《北京市人民政府关于更新出让国有建设用地使用权基</w:t>
      </w:r>
      <w:r>
        <w:rPr>
          <w:rFonts w:ascii="Arial" w:eastAsia="仿宋" w:hAnsi="Arial" w:cs="Arial"/>
          <w:sz w:val="28"/>
        </w:rPr>
        <w:lastRenderedPageBreak/>
        <w:t>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号）、《关于印发北京市国有建设用地使用权出让地价评审暂行规定的通知》（京国土用（</w:t>
      </w:r>
      <w:r>
        <w:rPr>
          <w:rFonts w:ascii="Arial" w:eastAsia="仿宋" w:hAnsi="Arial" w:cs="Arial"/>
          <w:sz w:val="28"/>
        </w:rPr>
        <w:t>2015</w:t>
      </w:r>
      <w:r>
        <w:rPr>
          <w:rFonts w:ascii="Arial" w:eastAsia="仿宋" w:hAnsi="Arial" w:cs="Arial"/>
          <w:sz w:val="28"/>
        </w:rPr>
        <w:t>）</w:t>
      </w:r>
      <w:r>
        <w:rPr>
          <w:rFonts w:ascii="Arial" w:eastAsia="仿宋" w:hAnsi="Arial" w:cs="Arial"/>
          <w:sz w:val="28"/>
        </w:rPr>
        <w:t>87</w:t>
      </w:r>
      <w:r>
        <w:rPr>
          <w:rFonts w:ascii="Arial" w:eastAsia="仿宋" w:hAnsi="Arial" w:cs="Arial"/>
          <w:sz w:val="28"/>
        </w:rPr>
        <w:t>号）和《北京市国土资源局关于出让国有建设用地使用权基准地价应用有关问题的公告》的要求，</w:t>
      </w:r>
      <w:proofErr w:type="gramStart"/>
      <w:r>
        <w:rPr>
          <w:rFonts w:ascii="Arial" w:eastAsia="仿宋" w:hAnsi="Arial" w:cs="Arial"/>
          <w:sz w:val="28"/>
        </w:rPr>
        <w:t>故报告</w:t>
      </w:r>
      <w:proofErr w:type="gramEnd"/>
      <w:r>
        <w:rPr>
          <w:rFonts w:ascii="Arial" w:eastAsia="仿宋" w:hAnsi="Arial" w:cs="Arial"/>
          <w:sz w:val="28"/>
        </w:rPr>
        <w:t>格式和具体表述在《城镇土地估价规程》（</w:t>
      </w:r>
      <w:r>
        <w:rPr>
          <w:rFonts w:ascii="Arial" w:eastAsia="仿宋" w:hAnsi="Arial" w:cs="Arial"/>
          <w:sz w:val="28"/>
        </w:rPr>
        <w:t>GB/T 18508-2014</w:t>
      </w:r>
      <w:r>
        <w:rPr>
          <w:rFonts w:ascii="Arial" w:eastAsia="仿宋" w:hAnsi="Arial" w:cs="Arial"/>
          <w:sz w:val="28"/>
        </w:rPr>
        <w:t>）规范格式基础上，有所拓展和补充</w:t>
      </w:r>
      <w:r>
        <w:rPr>
          <w:rFonts w:ascii="Arial" w:eastAsia="仿宋_GB2312" w:hAnsi="Arial" w:cs="Arial"/>
          <w:sz w:val="28"/>
        </w:rPr>
        <w:t>。</w:t>
      </w:r>
    </w:p>
    <w:p w14:paraId="3C518C28" w14:textId="77777777" w:rsidR="0062768B" w:rsidRDefault="00136729">
      <w:pPr>
        <w:spacing w:line="300" w:lineRule="auto"/>
        <w:outlineLvl w:val="1"/>
        <w:rPr>
          <w:rFonts w:ascii="Arial" w:eastAsia="仿宋_GB2312" w:hAnsi="Arial" w:cs="Arial"/>
          <w:sz w:val="28"/>
        </w:rPr>
      </w:pPr>
      <w:bookmarkStart w:id="298" w:name="_Toc520261165"/>
      <w:bookmarkStart w:id="299" w:name="_Toc515457814"/>
      <w:bookmarkStart w:id="300" w:name="_Toc516488192"/>
      <w:r>
        <w:rPr>
          <w:rFonts w:ascii="Arial" w:eastAsia="仿宋_GB2312" w:hAnsi="Arial" w:cs="Arial"/>
          <w:b/>
          <w:sz w:val="28"/>
        </w:rPr>
        <w:br w:type="page"/>
      </w:r>
      <w:bookmarkStart w:id="301" w:name="_Toc132016750"/>
      <w:bookmarkStart w:id="302" w:name="_Toc138063021"/>
      <w:bookmarkStart w:id="303" w:name="_Toc132016633"/>
      <w:r>
        <w:rPr>
          <w:rFonts w:ascii="Arial" w:eastAsia="仿宋_GB2312" w:hAnsi="Arial" w:cs="Arial"/>
          <w:b/>
          <w:sz w:val="28"/>
        </w:rPr>
        <w:lastRenderedPageBreak/>
        <w:t>十一、土地估价专业评估师签字</w:t>
      </w:r>
      <w:bookmarkEnd w:id="295"/>
      <w:bookmarkEnd w:id="296"/>
      <w:bookmarkEnd w:id="297"/>
      <w:bookmarkEnd w:id="298"/>
      <w:bookmarkEnd w:id="299"/>
      <w:bookmarkEnd w:id="300"/>
      <w:bookmarkEnd w:id="301"/>
      <w:bookmarkEnd w:id="302"/>
      <w:bookmarkEnd w:id="30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62768B" w14:paraId="4351FC12" w14:textId="77777777">
        <w:trPr>
          <w:trHeight w:val="70"/>
          <w:jc w:val="center"/>
        </w:trPr>
        <w:tc>
          <w:tcPr>
            <w:tcW w:w="9299" w:type="dxa"/>
            <w:gridSpan w:val="3"/>
            <w:shd w:val="clear" w:color="auto" w:fill="auto"/>
            <w:vAlign w:val="center"/>
          </w:tcPr>
          <w:p w14:paraId="1F7AC12F" w14:textId="77777777" w:rsidR="0062768B" w:rsidRDefault="00136729">
            <w:pPr>
              <w:widowControl/>
              <w:adjustRightInd/>
              <w:spacing w:line="300" w:lineRule="auto"/>
              <w:jc w:val="both"/>
              <w:textAlignment w:val="auto"/>
              <w:rPr>
                <w:rFonts w:ascii="Arial" w:eastAsia="仿宋_GB2312" w:hAnsi="Arial" w:cs="Arial"/>
                <w:b/>
                <w:bCs/>
                <w:sz w:val="28"/>
                <w:szCs w:val="28"/>
              </w:rPr>
            </w:pPr>
            <w:r>
              <w:rPr>
                <w:rFonts w:ascii="Arial" w:eastAsia="仿宋_GB2312" w:hAnsi="Arial" w:cs="Arial"/>
                <w:b/>
                <w:bCs/>
                <w:sz w:val="28"/>
                <w:szCs w:val="28"/>
              </w:rPr>
              <w:t>土地</w:t>
            </w:r>
            <w:r>
              <w:rPr>
                <w:rFonts w:ascii="Arial" w:eastAsia="仿宋_GB2312" w:hAnsi="Arial" w:cs="Arial" w:hint="eastAsia"/>
                <w:b/>
                <w:bCs/>
                <w:sz w:val="28"/>
              </w:rPr>
              <w:t>估价</w:t>
            </w:r>
            <w:r>
              <w:rPr>
                <w:rFonts w:ascii="Arial" w:eastAsia="仿宋_GB2312" w:hAnsi="Arial" w:cs="Arial"/>
                <w:b/>
                <w:bCs/>
                <w:sz w:val="28"/>
              </w:rPr>
              <w:t>专业评估</w:t>
            </w:r>
            <w:r>
              <w:rPr>
                <w:rFonts w:ascii="Arial" w:eastAsia="仿宋_GB2312" w:hAnsi="Arial" w:cs="Arial" w:hint="eastAsia"/>
                <w:b/>
                <w:bCs/>
                <w:sz w:val="28"/>
              </w:rPr>
              <w:t>师</w:t>
            </w:r>
          </w:p>
        </w:tc>
      </w:tr>
      <w:tr w:rsidR="0062768B" w14:paraId="324B65F5" w14:textId="77777777">
        <w:trPr>
          <w:trHeight w:val="370"/>
          <w:jc w:val="center"/>
        </w:trPr>
        <w:tc>
          <w:tcPr>
            <w:tcW w:w="2603" w:type="dxa"/>
            <w:shd w:val="clear" w:color="auto" w:fill="auto"/>
            <w:vAlign w:val="center"/>
          </w:tcPr>
          <w:p w14:paraId="3B4009C5"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4031" w:type="dxa"/>
            <w:shd w:val="clear" w:color="auto" w:fill="auto"/>
            <w:vAlign w:val="center"/>
          </w:tcPr>
          <w:p w14:paraId="22C38C21"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资格证号</w:t>
            </w:r>
          </w:p>
        </w:tc>
        <w:tc>
          <w:tcPr>
            <w:tcW w:w="2665" w:type="dxa"/>
            <w:shd w:val="clear" w:color="auto" w:fill="auto"/>
            <w:vAlign w:val="center"/>
          </w:tcPr>
          <w:p w14:paraId="42E3A55B"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签名</w:t>
            </w:r>
          </w:p>
        </w:tc>
      </w:tr>
      <w:tr w:rsidR="0062768B" w14:paraId="0A47645C" w14:textId="77777777">
        <w:trPr>
          <w:trHeight w:hRule="exact" w:val="1134"/>
          <w:jc w:val="center"/>
        </w:trPr>
        <w:tc>
          <w:tcPr>
            <w:tcW w:w="2603" w:type="dxa"/>
            <w:shd w:val="clear" w:color="auto" w:fill="auto"/>
            <w:vAlign w:val="center"/>
          </w:tcPr>
          <w:p w14:paraId="11932FF0"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hint="eastAsia"/>
                <w:sz w:val="28"/>
                <w:szCs w:val="28"/>
              </w:rPr>
              <w:t>陈</w:t>
            </w:r>
            <w:r>
              <w:rPr>
                <w:rFonts w:ascii="Arial" w:eastAsia="仿宋_GB2312" w:hAnsi="Arial" w:cs="Arial" w:hint="eastAsia"/>
                <w:sz w:val="28"/>
                <w:szCs w:val="28"/>
              </w:rPr>
              <w:t xml:space="preserve">  </w:t>
            </w:r>
            <w:r>
              <w:rPr>
                <w:rFonts w:ascii="Arial" w:eastAsia="仿宋_GB2312" w:hAnsi="Arial" w:cs="Arial" w:hint="eastAsia"/>
                <w:sz w:val="28"/>
                <w:szCs w:val="28"/>
              </w:rPr>
              <w:t>颖</w:t>
            </w:r>
          </w:p>
        </w:tc>
        <w:tc>
          <w:tcPr>
            <w:tcW w:w="4031" w:type="dxa"/>
            <w:shd w:val="clear" w:color="auto" w:fill="auto"/>
            <w:vAlign w:val="center"/>
          </w:tcPr>
          <w:p w14:paraId="56A2CC0C"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2004110096</w:t>
            </w:r>
          </w:p>
        </w:tc>
        <w:tc>
          <w:tcPr>
            <w:tcW w:w="2665" w:type="dxa"/>
            <w:shd w:val="clear" w:color="auto" w:fill="auto"/>
            <w:vAlign w:val="center"/>
          </w:tcPr>
          <w:p w14:paraId="3E7ADB99" w14:textId="77777777" w:rsidR="0062768B" w:rsidRDefault="0062768B">
            <w:pPr>
              <w:widowControl/>
              <w:adjustRightInd/>
              <w:spacing w:line="300" w:lineRule="auto"/>
              <w:jc w:val="both"/>
              <w:textAlignment w:val="auto"/>
              <w:rPr>
                <w:rFonts w:ascii="Arial" w:eastAsia="仿宋_GB2312" w:hAnsi="Arial" w:cs="Arial"/>
                <w:sz w:val="28"/>
                <w:szCs w:val="28"/>
              </w:rPr>
            </w:pPr>
          </w:p>
        </w:tc>
      </w:tr>
      <w:tr w:rsidR="0062768B" w14:paraId="2CB6AB60" w14:textId="77777777">
        <w:trPr>
          <w:trHeight w:hRule="exact" w:val="1134"/>
          <w:jc w:val="center"/>
        </w:trPr>
        <w:tc>
          <w:tcPr>
            <w:tcW w:w="2603" w:type="dxa"/>
            <w:shd w:val="clear" w:color="auto" w:fill="auto"/>
            <w:vAlign w:val="center"/>
          </w:tcPr>
          <w:p w14:paraId="6FE1E6D9"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hint="eastAsia"/>
                <w:sz w:val="28"/>
                <w:szCs w:val="28"/>
              </w:rPr>
              <w:t>叶</w:t>
            </w:r>
            <w:r>
              <w:rPr>
                <w:rFonts w:ascii="Arial" w:eastAsia="仿宋_GB2312" w:hAnsi="Arial" w:cs="Arial" w:hint="eastAsia"/>
                <w:sz w:val="28"/>
                <w:szCs w:val="28"/>
              </w:rPr>
              <w:t xml:space="preserve">  </w:t>
            </w:r>
            <w:r>
              <w:rPr>
                <w:rFonts w:ascii="Arial" w:eastAsia="仿宋_GB2312" w:hAnsi="Arial" w:cs="Arial" w:hint="eastAsia"/>
                <w:sz w:val="28"/>
                <w:szCs w:val="28"/>
              </w:rPr>
              <w:t>凌</w:t>
            </w:r>
          </w:p>
        </w:tc>
        <w:tc>
          <w:tcPr>
            <w:tcW w:w="4031" w:type="dxa"/>
            <w:shd w:val="clear" w:color="auto" w:fill="auto"/>
            <w:vAlign w:val="center"/>
          </w:tcPr>
          <w:p w14:paraId="48621355"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94010078</w:t>
            </w:r>
          </w:p>
        </w:tc>
        <w:tc>
          <w:tcPr>
            <w:tcW w:w="2665" w:type="dxa"/>
            <w:shd w:val="clear" w:color="auto" w:fill="auto"/>
            <w:vAlign w:val="center"/>
          </w:tcPr>
          <w:p w14:paraId="758C917F" w14:textId="77777777" w:rsidR="0062768B" w:rsidRDefault="0062768B">
            <w:pPr>
              <w:widowControl/>
              <w:adjustRightInd/>
              <w:spacing w:line="300" w:lineRule="auto"/>
              <w:jc w:val="both"/>
              <w:textAlignment w:val="auto"/>
              <w:rPr>
                <w:rFonts w:ascii="Arial" w:eastAsia="仿宋_GB2312" w:hAnsi="Arial" w:cs="Arial"/>
                <w:sz w:val="28"/>
                <w:szCs w:val="28"/>
              </w:rPr>
            </w:pPr>
          </w:p>
        </w:tc>
      </w:tr>
      <w:tr w:rsidR="0062768B" w14:paraId="37E2D7CC" w14:textId="77777777">
        <w:trPr>
          <w:trHeight w:hRule="exact" w:val="1134"/>
          <w:jc w:val="center"/>
        </w:trPr>
        <w:tc>
          <w:tcPr>
            <w:tcW w:w="2603" w:type="dxa"/>
            <w:shd w:val="clear" w:color="auto" w:fill="auto"/>
            <w:vAlign w:val="center"/>
          </w:tcPr>
          <w:p w14:paraId="76D94DA0" w14:textId="77777777" w:rsidR="0062768B" w:rsidRDefault="00136729">
            <w:pPr>
              <w:widowControl/>
              <w:adjustRightInd/>
              <w:spacing w:line="300" w:lineRule="auto"/>
              <w:jc w:val="both"/>
              <w:textAlignment w:val="auto"/>
              <w:rPr>
                <w:rFonts w:ascii="Arial" w:eastAsia="仿宋_GB2312" w:hAnsi="Arial" w:cs="Arial"/>
                <w:sz w:val="28"/>
                <w:szCs w:val="28"/>
              </w:rPr>
            </w:pPr>
            <w:proofErr w:type="gramStart"/>
            <w:r>
              <w:rPr>
                <w:rFonts w:ascii="Arial" w:eastAsia="仿宋_GB2312" w:hAnsi="Arial" w:cs="Arial" w:hint="eastAsia"/>
                <w:sz w:val="28"/>
                <w:szCs w:val="28"/>
              </w:rPr>
              <w:t>魏伯欣</w:t>
            </w:r>
            <w:proofErr w:type="gramEnd"/>
          </w:p>
        </w:tc>
        <w:tc>
          <w:tcPr>
            <w:tcW w:w="4031" w:type="dxa"/>
            <w:shd w:val="clear" w:color="auto" w:fill="auto"/>
            <w:vAlign w:val="center"/>
          </w:tcPr>
          <w:p w14:paraId="0983E578"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2000110133</w:t>
            </w:r>
          </w:p>
        </w:tc>
        <w:tc>
          <w:tcPr>
            <w:tcW w:w="2665" w:type="dxa"/>
            <w:shd w:val="clear" w:color="auto" w:fill="auto"/>
            <w:vAlign w:val="center"/>
          </w:tcPr>
          <w:p w14:paraId="2406E744" w14:textId="77777777" w:rsidR="0062768B" w:rsidRDefault="0062768B">
            <w:pPr>
              <w:widowControl/>
              <w:adjustRightInd/>
              <w:spacing w:line="300" w:lineRule="auto"/>
              <w:jc w:val="both"/>
              <w:textAlignment w:val="auto"/>
              <w:rPr>
                <w:rFonts w:ascii="Arial" w:eastAsia="仿宋_GB2312" w:hAnsi="Arial" w:cs="Arial"/>
                <w:sz w:val="28"/>
                <w:szCs w:val="28"/>
              </w:rPr>
            </w:pPr>
          </w:p>
        </w:tc>
      </w:tr>
      <w:tr w:rsidR="0062768B" w14:paraId="2CD1BF6B" w14:textId="77777777">
        <w:trPr>
          <w:trHeight w:val="194"/>
          <w:jc w:val="center"/>
        </w:trPr>
        <w:tc>
          <w:tcPr>
            <w:tcW w:w="9299" w:type="dxa"/>
            <w:gridSpan w:val="3"/>
            <w:shd w:val="clear" w:color="auto" w:fill="auto"/>
            <w:vAlign w:val="center"/>
          </w:tcPr>
          <w:p w14:paraId="147D7A83" w14:textId="77777777" w:rsidR="0062768B" w:rsidRDefault="00136729">
            <w:pPr>
              <w:widowControl/>
              <w:adjustRightInd/>
              <w:spacing w:line="30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w:t>
            </w:r>
            <w:r>
              <w:rPr>
                <w:rFonts w:ascii="Arial" w:eastAsia="仿宋_GB2312" w:hAnsi="Arial" w:cs="Arial" w:hint="eastAsia"/>
                <w:b/>
                <w:bCs/>
                <w:sz w:val="28"/>
                <w:szCs w:val="28"/>
              </w:rPr>
              <w:t>评估</w:t>
            </w:r>
            <w:r>
              <w:rPr>
                <w:rFonts w:ascii="Arial" w:eastAsia="仿宋_GB2312" w:hAnsi="Arial" w:cs="Arial"/>
                <w:b/>
                <w:bCs/>
                <w:sz w:val="28"/>
                <w:szCs w:val="28"/>
              </w:rPr>
              <w:t>专业人员</w:t>
            </w:r>
            <w:r>
              <w:rPr>
                <w:rFonts w:ascii="Arial" w:eastAsia="仿宋_GB2312" w:hAnsi="Arial" w:cs="Arial"/>
                <w:b/>
                <w:bCs/>
                <w:sz w:val="28"/>
                <w:szCs w:val="28"/>
              </w:rPr>
              <w:t xml:space="preserve"> </w:t>
            </w:r>
          </w:p>
        </w:tc>
      </w:tr>
      <w:tr w:rsidR="0062768B" w14:paraId="7E86F57F" w14:textId="77777777">
        <w:trPr>
          <w:trHeight w:val="119"/>
          <w:jc w:val="center"/>
        </w:trPr>
        <w:tc>
          <w:tcPr>
            <w:tcW w:w="2603" w:type="dxa"/>
            <w:shd w:val="clear" w:color="auto" w:fill="auto"/>
            <w:vAlign w:val="center"/>
          </w:tcPr>
          <w:p w14:paraId="05A93ED2"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4031" w:type="dxa"/>
            <w:shd w:val="clear" w:color="auto" w:fill="auto"/>
            <w:vAlign w:val="center"/>
          </w:tcPr>
          <w:p w14:paraId="48DBB4B0"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65" w:type="dxa"/>
            <w:shd w:val="clear" w:color="auto" w:fill="auto"/>
            <w:vAlign w:val="center"/>
          </w:tcPr>
          <w:p w14:paraId="2FAF98D5"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签名</w:t>
            </w:r>
          </w:p>
        </w:tc>
      </w:tr>
      <w:tr w:rsidR="0062768B" w14:paraId="02FA5474" w14:textId="77777777">
        <w:trPr>
          <w:trHeight w:hRule="exact" w:val="1134"/>
          <w:jc w:val="center"/>
        </w:trPr>
        <w:tc>
          <w:tcPr>
            <w:tcW w:w="2603" w:type="dxa"/>
            <w:shd w:val="clear" w:color="auto" w:fill="auto"/>
            <w:vAlign w:val="center"/>
          </w:tcPr>
          <w:p w14:paraId="1A850C57"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4031" w:type="dxa"/>
            <w:shd w:val="clear" w:color="auto" w:fill="auto"/>
            <w:vAlign w:val="center"/>
          </w:tcPr>
          <w:p w14:paraId="7D371B2D"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65" w:type="dxa"/>
            <w:shd w:val="clear" w:color="auto" w:fill="auto"/>
            <w:vAlign w:val="center"/>
          </w:tcPr>
          <w:p w14:paraId="461A88AE" w14:textId="77777777" w:rsidR="0062768B" w:rsidRDefault="0062768B">
            <w:pPr>
              <w:widowControl/>
              <w:adjustRightInd/>
              <w:spacing w:line="300" w:lineRule="auto"/>
              <w:jc w:val="both"/>
              <w:textAlignment w:val="auto"/>
              <w:rPr>
                <w:rFonts w:ascii="Arial" w:eastAsia="仿宋_GB2312" w:hAnsi="Arial" w:cs="Arial"/>
                <w:sz w:val="28"/>
                <w:szCs w:val="28"/>
              </w:rPr>
            </w:pPr>
          </w:p>
        </w:tc>
      </w:tr>
    </w:tbl>
    <w:p w14:paraId="5886A66E" w14:textId="77777777" w:rsidR="0062768B" w:rsidRDefault="0062768B">
      <w:pPr>
        <w:spacing w:line="300" w:lineRule="auto"/>
        <w:rPr>
          <w:rFonts w:ascii="Arial" w:eastAsia="仿宋_GB2312" w:hAnsi="Arial" w:cs="Arial"/>
          <w:sz w:val="28"/>
        </w:rPr>
      </w:pPr>
    </w:p>
    <w:p w14:paraId="40AB9DF5" w14:textId="77777777" w:rsidR="0062768B" w:rsidRDefault="00136729">
      <w:pPr>
        <w:spacing w:line="300" w:lineRule="auto"/>
        <w:outlineLvl w:val="1"/>
        <w:rPr>
          <w:rFonts w:ascii="Arial" w:eastAsia="仿宋_GB2312" w:hAnsi="Arial" w:cs="Arial"/>
          <w:b/>
          <w:sz w:val="28"/>
        </w:rPr>
      </w:pPr>
      <w:bookmarkStart w:id="304" w:name="_Toc138063022"/>
      <w:bookmarkStart w:id="305" w:name="_Toc520261166"/>
      <w:bookmarkStart w:id="306" w:name="_Toc132016634"/>
      <w:bookmarkStart w:id="307" w:name="_Toc516488193"/>
      <w:bookmarkStart w:id="308" w:name="_Toc515457815"/>
      <w:bookmarkStart w:id="309" w:name="_Toc132016751"/>
      <w:r>
        <w:rPr>
          <w:rFonts w:ascii="Arial" w:eastAsia="仿宋_GB2312" w:hAnsi="Arial" w:cs="Arial"/>
          <w:b/>
          <w:sz w:val="28"/>
        </w:rPr>
        <w:t>十二、土地估价机构</w:t>
      </w:r>
      <w:bookmarkEnd w:id="304"/>
      <w:bookmarkEnd w:id="305"/>
      <w:bookmarkEnd w:id="306"/>
      <w:bookmarkEnd w:id="307"/>
      <w:bookmarkEnd w:id="308"/>
      <w:bookmarkEnd w:id="309"/>
    </w:p>
    <w:p w14:paraId="12D7A23D" w14:textId="77777777" w:rsidR="0062768B" w:rsidRDefault="00136729">
      <w:pPr>
        <w:spacing w:line="300" w:lineRule="auto"/>
        <w:rPr>
          <w:rFonts w:ascii="Arial" w:eastAsia="仿宋_GB2312" w:hAnsi="Arial" w:cs="Arial"/>
          <w:sz w:val="28"/>
        </w:rPr>
      </w:pPr>
      <w:r>
        <w:rPr>
          <w:rFonts w:ascii="Arial" w:eastAsia="仿宋_GB2312" w:hAnsi="Arial" w:cs="Arial"/>
          <w:sz w:val="28"/>
        </w:rPr>
        <w:t xml:space="preserve"> </w:t>
      </w:r>
    </w:p>
    <w:p w14:paraId="7577B6A7" w14:textId="77777777" w:rsidR="0062768B" w:rsidRDefault="00136729">
      <w:pPr>
        <w:spacing w:line="300" w:lineRule="auto"/>
        <w:rPr>
          <w:rFonts w:ascii="Arial" w:eastAsia="仿宋_GB2312" w:hAnsi="Arial" w:cs="Arial"/>
          <w:sz w:val="28"/>
        </w:rPr>
      </w:pPr>
      <w:r>
        <w:rPr>
          <w:rFonts w:ascii="Arial" w:eastAsia="仿宋_GB2312" w:hAnsi="Arial" w:cs="Arial"/>
          <w:sz w:val="28"/>
        </w:rPr>
        <w:t xml:space="preserve">                              </w:t>
      </w: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62768B" w14:paraId="02FF139C" w14:textId="77777777">
        <w:trPr>
          <w:jc w:val="right"/>
        </w:trPr>
        <w:tc>
          <w:tcPr>
            <w:tcW w:w="4445" w:type="dxa"/>
            <w:shd w:val="clear" w:color="auto" w:fill="auto"/>
          </w:tcPr>
          <w:p w14:paraId="0CA7233A" w14:textId="77777777" w:rsidR="0062768B" w:rsidRDefault="00136729">
            <w:pPr>
              <w:spacing w:line="30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62768B" w14:paraId="27C3B164" w14:textId="77777777">
        <w:trPr>
          <w:trHeight w:val="1431"/>
          <w:jc w:val="right"/>
        </w:trPr>
        <w:tc>
          <w:tcPr>
            <w:tcW w:w="4445" w:type="dxa"/>
            <w:shd w:val="clear" w:color="auto" w:fill="auto"/>
          </w:tcPr>
          <w:p w14:paraId="0E9FE93E" w14:textId="77777777" w:rsidR="0062768B" w:rsidRDefault="00136729">
            <w:pPr>
              <w:spacing w:line="300" w:lineRule="auto"/>
              <w:rPr>
                <w:rFonts w:ascii="Arial" w:eastAsia="仿宋_GB2312" w:hAnsi="Arial" w:cs="Arial"/>
                <w:sz w:val="28"/>
                <w:szCs w:val="21"/>
              </w:rPr>
            </w:pPr>
            <w:r>
              <w:rPr>
                <w:rFonts w:ascii="Arial" w:eastAsia="仿宋_GB2312" w:hAnsi="Arial" w:cs="Arial"/>
                <w:sz w:val="28"/>
                <w:szCs w:val="21"/>
              </w:rPr>
              <w:t>法定代表人：</w:t>
            </w:r>
          </w:p>
        </w:tc>
      </w:tr>
      <w:tr w:rsidR="0062768B" w14:paraId="53086B2D" w14:textId="77777777">
        <w:trPr>
          <w:cantSplit/>
          <w:jc w:val="right"/>
        </w:trPr>
        <w:tc>
          <w:tcPr>
            <w:tcW w:w="4445" w:type="dxa"/>
            <w:shd w:val="clear" w:color="auto" w:fill="auto"/>
          </w:tcPr>
          <w:p w14:paraId="197906D9" w14:textId="2EA8CD43" w:rsidR="0062768B" w:rsidRDefault="00791FE1">
            <w:pPr>
              <w:spacing w:line="300" w:lineRule="auto"/>
              <w:jc w:val="right"/>
              <w:rPr>
                <w:rFonts w:ascii="Arial" w:eastAsia="仿宋_GB2312" w:hAnsi="Arial" w:cs="Arial"/>
                <w:sz w:val="28"/>
                <w:szCs w:val="21"/>
              </w:rPr>
            </w:pPr>
            <w:r>
              <w:rPr>
                <w:rFonts w:ascii="Arial" w:eastAsia="仿宋_GB2312" w:hAnsi="Arial" w:cs="Arial" w:hint="eastAsia"/>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二三年六月二十七日</w:t>
            </w:r>
          </w:p>
        </w:tc>
      </w:tr>
    </w:tbl>
    <w:p w14:paraId="05048DF8" w14:textId="77777777" w:rsidR="0062768B" w:rsidRDefault="0062768B">
      <w:pPr>
        <w:spacing w:line="300" w:lineRule="auto"/>
        <w:rPr>
          <w:rFonts w:ascii="Arial" w:eastAsia="仿宋_GB2312" w:hAnsi="Arial" w:cs="Arial"/>
          <w:b/>
          <w:sz w:val="28"/>
        </w:rPr>
      </w:pPr>
    </w:p>
    <w:p w14:paraId="1AC716CC" w14:textId="77777777" w:rsidR="0062768B" w:rsidRDefault="00136729">
      <w:pPr>
        <w:spacing w:line="300" w:lineRule="auto"/>
        <w:jc w:val="center"/>
        <w:outlineLvl w:val="0"/>
        <w:rPr>
          <w:rFonts w:ascii="Arial" w:hAnsi="Arial" w:cs="Arial"/>
          <w:b/>
          <w:sz w:val="32"/>
        </w:rPr>
      </w:pPr>
      <w:r>
        <w:rPr>
          <w:rFonts w:ascii="Arial" w:eastAsia="仿宋_GB2312" w:hAnsi="Arial" w:cs="Arial"/>
          <w:sz w:val="28"/>
        </w:rPr>
        <w:br w:type="page"/>
      </w:r>
      <w:bookmarkStart w:id="310" w:name="_Toc416783586"/>
      <w:bookmarkStart w:id="311" w:name="_Toc516488194"/>
      <w:bookmarkStart w:id="312" w:name="_Toc515457816"/>
      <w:bookmarkStart w:id="313" w:name="_Toc132016752"/>
      <w:bookmarkStart w:id="314" w:name="_Toc416783682"/>
      <w:bookmarkStart w:id="315" w:name="_Toc132016635"/>
      <w:bookmarkStart w:id="316" w:name="_Toc469066164"/>
      <w:bookmarkStart w:id="317" w:name="_Toc138063023"/>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估价对象描述及土地价格影响因素分析</w:t>
      </w:r>
      <w:bookmarkEnd w:id="310"/>
      <w:bookmarkEnd w:id="311"/>
      <w:bookmarkEnd w:id="312"/>
      <w:bookmarkEnd w:id="313"/>
      <w:bookmarkEnd w:id="314"/>
      <w:bookmarkEnd w:id="315"/>
      <w:bookmarkEnd w:id="316"/>
      <w:bookmarkEnd w:id="317"/>
    </w:p>
    <w:p w14:paraId="62C25052" w14:textId="77777777" w:rsidR="0062768B" w:rsidRDefault="0062768B">
      <w:bookmarkStart w:id="318" w:name="_Toc416783587"/>
      <w:bookmarkStart w:id="319" w:name="_Toc416783683"/>
      <w:bookmarkStart w:id="320" w:name="_Toc516488195"/>
      <w:bookmarkStart w:id="321" w:name="_Toc515457817"/>
      <w:bookmarkStart w:id="322" w:name="_Toc469066165"/>
    </w:p>
    <w:p w14:paraId="53904D2E" w14:textId="77777777" w:rsidR="0062768B" w:rsidRDefault="00136729">
      <w:pPr>
        <w:spacing w:line="300" w:lineRule="auto"/>
        <w:outlineLvl w:val="1"/>
        <w:rPr>
          <w:rFonts w:ascii="Arial" w:eastAsia="仿宋_GB2312" w:hAnsi="Arial" w:cs="Arial"/>
          <w:b/>
          <w:sz w:val="28"/>
        </w:rPr>
      </w:pPr>
      <w:bookmarkStart w:id="323" w:name="_Toc132016753"/>
      <w:bookmarkStart w:id="324" w:name="_Toc138063024"/>
      <w:bookmarkStart w:id="325" w:name="_Toc132016636"/>
      <w:r>
        <w:rPr>
          <w:rFonts w:ascii="Arial" w:eastAsia="仿宋_GB2312" w:hAnsi="Arial" w:cs="Arial"/>
          <w:b/>
          <w:sz w:val="28"/>
        </w:rPr>
        <w:t>一、估价对象描述</w:t>
      </w:r>
      <w:bookmarkEnd w:id="318"/>
      <w:bookmarkEnd w:id="319"/>
      <w:bookmarkEnd w:id="320"/>
      <w:bookmarkEnd w:id="321"/>
      <w:bookmarkEnd w:id="322"/>
      <w:bookmarkEnd w:id="323"/>
      <w:bookmarkEnd w:id="324"/>
      <w:bookmarkEnd w:id="325"/>
    </w:p>
    <w:p w14:paraId="61EDAD0F" w14:textId="77777777" w:rsidR="0062768B" w:rsidRDefault="00136729">
      <w:pPr>
        <w:adjustRightInd/>
        <w:spacing w:line="300" w:lineRule="auto"/>
        <w:ind w:firstLineChars="200" w:firstLine="560"/>
        <w:jc w:val="both"/>
        <w:rPr>
          <w:rFonts w:ascii="Arial" w:eastAsia="仿宋" w:hAnsi="Arial" w:cs="Arial"/>
          <w:sz w:val="28"/>
        </w:rPr>
      </w:pPr>
      <w:bookmarkStart w:id="326" w:name="_Toc469066166"/>
      <w:bookmarkStart w:id="327" w:name="_Toc416783690"/>
      <w:bookmarkStart w:id="328" w:name="_Toc416783594"/>
      <w:bookmarkStart w:id="329" w:name="_Toc515457818"/>
      <w:bookmarkStart w:id="330" w:name="_Toc516488196"/>
      <w:r>
        <w:rPr>
          <w:rFonts w:ascii="Arial" w:eastAsia="仿宋" w:hAnsi="Arial" w:cs="Arial"/>
          <w:sz w:val="28"/>
        </w:rPr>
        <w:t>（一）土地登记状况</w:t>
      </w:r>
    </w:p>
    <w:p w14:paraId="7614FFFF"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bCs/>
          <w:sz w:val="28"/>
        </w:rPr>
        <w:t>土地来源：</w:t>
      </w:r>
      <w:r>
        <w:rPr>
          <w:rFonts w:ascii="Arial" w:eastAsia="仿宋" w:hAnsi="Arial" w:cs="Arial"/>
          <w:sz w:val="28"/>
        </w:rPr>
        <w:t>估价对象为北京市顺义区高丽营镇夏县营村</w:t>
      </w:r>
      <w:r>
        <w:rPr>
          <w:rFonts w:ascii="Arial" w:eastAsia="仿宋" w:hAnsi="Arial" w:cs="Arial"/>
          <w:sz w:val="28"/>
        </w:rPr>
        <w:t>01-008</w:t>
      </w:r>
      <w:r>
        <w:rPr>
          <w:rFonts w:ascii="Arial" w:eastAsia="仿宋" w:hAnsi="Arial" w:cs="Arial"/>
          <w:sz w:val="28"/>
        </w:rPr>
        <w:t>等</w:t>
      </w:r>
      <w:r>
        <w:rPr>
          <w:rFonts w:ascii="Arial" w:eastAsia="仿宋" w:hAnsi="Arial" w:cs="Arial"/>
          <w:sz w:val="28"/>
          <w:szCs w:val="28"/>
        </w:rPr>
        <w:t>地块</w:t>
      </w:r>
      <w:r>
        <w:rPr>
          <w:rFonts w:ascii="Arial" w:eastAsia="仿宋" w:hAnsi="Arial" w:cs="Arial"/>
          <w:bCs/>
          <w:sz w:val="28"/>
        </w:rPr>
        <w:t>，估价对象于</w:t>
      </w:r>
      <w:r>
        <w:rPr>
          <w:rFonts w:ascii="Arial" w:eastAsia="仿宋" w:hAnsi="Arial" w:cs="Arial"/>
          <w:sz w:val="28"/>
          <w:szCs w:val="28"/>
        </w:rPr>
        <w:t>2020</w:t>
      </w:r>
      <w:r>
        <w:rPr>
          <w:rFonts w:ascii="Arial" w:eastAsia="仿宋" w:hAnsi="Arial" w:cs="Arial"/>
          <w:spacing w:val="-6"/>
          <w:sz w:val="28"/>
        </w:rPr>
        <w:t>年</w:t>
      </w:r>
      <w:r>
        <w:rPr>
          <w:rFonts w:ascii="Arial" w:eastAsia="仿宋" w:hAnsi="Arial" w:cs="Arial"/>
          <w:sz w:val="28"/>
          <w:szCs w:val="28"/>
        </w:rPr>
        <w:t>12</w:t>
      </w:r>
      <w:r>
        <w:rPr>
          <w:rFonts w:ascii="Arial" w:eastAsia="仿宋" w:hAnsi="Arial" w:cs="Arial"/>
          <w:spacing w:val="-6"/>
          <w:sz w:val="28"/>
        </w:rPr>
        <w:t>月</w:t>
      </w:r>
      <w:r>
        <w:rPr>
          <w:rFonts w:ascii="Arial" w:eastAsia="仿宋" w:hAnsi="Arial" w:cs="Arial"/>
          <w:sz w:val="28"/>
          <w:szCs w:val="28"/>
        </w:rPr>
        <w:t>29</w:t>
      </w:r>
      <w:r>
        <w:rPr>
          <w:rFonts w:ascii="Arial" w:eastAsia="仿宋" w:hAnsi="Arial" w:cs="Arial"/>
          <w:spacing w:val="-6"/>
          <w:sz w:val="28"/>
        </w:rPr>
        <w:t>日取得《北京市人民政府关于顺义区二〇二〇年度批次建设用地的批复》（</w:t>
      </w:r>
      <w:proofErr w:type="gramStart"/>
      <w:r>
        <w:rPr>
          <w:rFonts w:ascii="Arial" w:eastAsia="仿宋" w:hAnsi="Arial" w:cs="Arial"/>
          <w:spacing w:val="-6"/>
          <w:sz w:val="28"/>
        </w:rPr>
        <w:t>京政地字</w:t>
      </w:r>
      <w:proofErr w:type="gramEnd"/>
      <w:r>
        <w:rPr>
          <w:rFonts w:ascii="Arial" w:eastAsia="仿宋" w:hAnsi="Arial" w:cs="Arial"/>
          <w:spacing w:val="-6"/>
          <w:sz w:val="28"/>
        </w:rPr>
        <w:t>【</w:t>
      </w:r>
      <w:r>
        <w:rPr>
          <w:rFonts w:ascii="Arial" w:eastAsia="仿宋" w:hAnsi="Arial" w:cs="Arial"/>
          <w:spacing w:val="-6"/>
          <w:sz w:val="28"/>
        </w:rPr>
        <w:t>2020</w:t>
      </w:r>
      <w:r>
        <w:rPr>
          <w:rFonts w:ascii="Arial" w:eastAsia="仿宋" w:hAnsi="Arial" w:cs="Arial"/>
          <w:spacing w:val="-6"/>
          <w:sz w:val="28"/>
        </w:rPr>
        <w:t>】</w:t>
      </w:r>
      <w:r>
        <w:rPr>
          <w:rFonts w:ascii="Arial" w:eastAsia="仿宋" w:hAnsi="Arial" w:cs="Arial"/>
          <w:spacing w:val="-6"/>
          <w:sz w:val="28"/>
        </w:rPr>
        <w:t>121</w:t>
      </w:r>
      <w:r>
        <w:rPr>
          <w:rFonts w:ascii="Arial" w:eastAsia="仿宋" w:hAnsi="Arial" w:cs="Arial"/>
          <w:spacing w:val="-6"/>
          <w:sz w:val="28"/>
        </w:rPr>
        <w:t>号），由农用地转为建设用地；</w:t>
      </w:r>
      <w:r>
        <w:rPr>
          <w:rFonts w:ascii="Arial" w:eastAsia="仿宋" w:hAnsi="Arial" w:cs="Arial"/>
          <w:sz w:val="28"/>
        </w:rPr>
        <w:t>于</w:t>
      </w:r>
      <w:r>
        <w:rPr>
          <w:rFonts w:ascii="Arial" w:eastAsia="仿宋" w:hAnsi="Arial" w:cs="Arial"/>
          <w:spacing w:val="-6"/>
          <w:sz w:val="28"/>
        </w:rPr>
        <w:t>2021</w:t>
      </w:r>
      <w:r>
        <w:rPr>
          <w:rFonts w:ascii="Arial" w:eastAsia="仿宋" w:hAnsi="Arial" w:cs="Arial"/>
          <w:sz w:val="28"/>
        </w:rPr>
        <w:t>年</w:t>
      </w:r>
      <w:r>
        <w:rPr>
          <w:rFonts w:ascii="Arial" w:eastAsia="仿宋" w:hAnsi="Arial" w:cs="Arial"/>
          <w:spacing w:val="-6"/>
          <w:sz w:val="28"/>
        </w:rPr>
        <w:t>9</w:t>
      </w:r>
      <w:r>
        <w:rPr>
          <w:rFonts w:ascii="Arial" w:eastAsia="仿宋" w:hAnsi="Arial" w:cs="Arial"/>
          <w:sz w:val="28"/>
        </w:rPr>
        <w:t>月</w:t>
      </w:r>
      <w:r>
        <w:rPr>
          <w:rFonts w:ascii="Arial" w:eastAsia="仿宋" w:hAnsi="Arial" w:cs="Arial"/>
          <w:spacing w:val="-6"/>
          <w:sz w:val="28"/>
        </w:rPr>
        <w:t>26</w:t>
      </w:r>
      <w:r>
        <w:rPr>
          <w:rFonts w:ascii="Arial" w:eastAsia="仿宋" w:hAnsi="Arial" w:cs="Arial"/>
          <w:sz w:val="28"/>
        </w:rPr>
        <w:t>日取得《北京市规划和自然资源委员会顺义分局关于顺义区高丽营镇夏县营村棚户区改造土地开发项目</w:t>
      </w:r>
      <w:r>
        <w:rPr>
          <w:rFonts w:ascii="Arial" w:eastAsia="仿宋" w:hAnsi="Arial" w:cs="Arial"/>
          <w:sz w:val="28"/>
        </w:rPr>
        <w:t>01-008</w:t>
      </w:r>
      <w:r>
        <w:rPr>
          <w:rFonts w:ascii="Arial" w:eastAsia="仿宋" w:hAnsi="Arial" w:cs="Arial"/>
          <w:sz w:val="28"/>
        </w:rPr>
        <w:t>、</w:t>
      </w:r>
      <w:r>
        <w:rPr>
          <w:rFonts w:ascii="Arial" w:eastAsia="仿宋" w:hAnsi="Arial" w:cs="Arial"/>
          <w:sz w:val="28"/>
        </w:rPr>
        <w:t>01-015-1</w:t>
      </w:r>
      <w:r>
        <w:rPr>
          <w:rFonts w:ascii="Arial" w:eastAsia="仿宋" w:hAnsi="Arial" w:cs="Arial"/>
          <w:sz w:val="28"/>
        </w:rPr>
        <w:t>、</w:t>
      </w:r>
      <w:r>
        <w:rPr>
          <w:rFonts w:ascii="Arial" w:eastAsia="仿宋" w:hAnsi="Arial" w:cs="Arial"/>
          <w:sz w:val="28"/>
        </w:rPr>
        <w:t>01-015-2</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01-020</w:t>
      </w:r>
      <w:r>
        <w:rPr>
          <w:rFonts w:ascii="Arial" w:eastAsia="仿宋" w:hAnsi="Arial" w:cs="Arial"/>
          <w:sz w:val="28"/>
        </w:rPr>
        <w:t>、</w:t>
      </w:r>
      <w:r>
        <w:rPr>
          <w:rFonts w:ascii="Arial" w:eastAsia="仿宋" w:hAnsi="Arial" w:cs="Arial"/>
          <w:sz w:val="28"/>
        </w:rPr>
        <w:t>01-025</w:t>
      </w:r>
      <w:r>
        <w:rPr>
          <w:rFonts w:ascii="Arial" w:eastAsia="仿宋" w:hAnsi="Arial" w:cs="Arial"/>
          <w:sz w:val="28"/>
        </w:rPr>
        <w:t>、</w:t>
      </w:r>
      <w:r>
        <w:rPr>
          <w:rFonts w:ascii="Arial" w:eastAsia="仿宋" w:hAnsi="Arial" w:cs="Arial"/>
          <w:sz w:val="28"/>
        </w:rPr>
        <w:t>01-026-1</w:t>
      </w:r>
      <w:r>
        <w:rPr>
          <w:rFonts w:ascii="Arial" w:eastAsia="仿宋" w:hAnsi="Arial" w:cs="Arial"/>
          <w:sz w:val="28"/>
        </w:rPr>
        <w:t>等二类居住用地、托幼用地、商业用地地块</w:t>
      </w:r>
      <w:r>
        <w:rPr>
          <w:rFonts w:ascii="Arial" w:eastAsia="仿宋" w:hAnsi="Arial" w:cs="Arial"/>
          <w:sz w:val="28"/>
        </w:rPr>
        <w:t>“</w:t>
      </w:r>
      <w:r>
        <w:rPr>
          <w:rFonts w:ascii="Arial" w:eastAsia="仿宋" w:hAnsi="Arial" w:cs="Arial"/>
          <w:sz w:val="28"/>
        </w:rPr>
        <w:t>多规合一</w:t>
      </w:r>
      <w:r>
        <w:rPr>
          <w:rFonts w:ascii="Arial" w:eastAsia="仿宋" w:hAnsi="Arial" w:cs="Arial"/>
          <w:sz w:val="28"/>
        </w:rPr>
        <w:t>”</w:t>
      </w:r>
      <w:r>
        <w:rPr>
          <w:rFonts w:ascii="Arial" w:eastAsia="仿宋" w:hAnsi="Arial" w:cs="Arial"/>
          <w:sz w:val="28"/>
        </w:rPr>
        <w:t>协同平台供地审核意见的函》（京</w:t>
      </w:r>
      <w:proofErr w:type="gramStart"/>
      <w:r>
        <w:rPr>
          <w:rFonts w:ascii="Arial" w:eastAsia="仿宋" w:hAnsi="Arial" w:cs="Arial"/>
          <w:sz w:val="28"/>
        </w:rPr>
        <w:t>规</w:t>
      </w:r>
      <w:proofErr w:type="gramEnd"/>
      <w:r>
        <w:rPr>
          <w:rFonts w:ascii="Arial" w:eastAsia="仿宋" w:hAnsi="Arial" w:cs="Arial"/>
          <w:sz w:val="28"/>
        </w:rPr>
        <w:t>自（顺）</w:t>
      </w:r>
      <w:proofErr w:type="gramStart"/>
      <w:r>
        <w:rPr>
          <w:rFonts w:ascii="Arial" w:eastAsia="仿宋" w:hAnsi="Arial" w:cs="Arial"/>
          <w:sz w:val="28"/>
        </w:rPr>
        <w:t>供审函</w:t>
      </w:r>
      <w:proofErr w:type="gramEnd"/>
      <w:r>
        <w:rPr>
          <w:rFonts w:ascii="Arial" w:eastAsia="仿宋" w:hAnsi="Arial" w:cs="Arial"/>
          <w:sz w:val="28"/>
        </w:rPr>
        <w:t>【</w:t>
      </w:r>
      <w:r>
        <w:rPr>
          <w:rFonts w:ascii="Arial" w:eastAsia="仿宋" w:hAnsi="Arial" w:cs="Arial"/>
          <w:sz w:val="28"/>
        </w:rPr>
        <w:t>2023</w:t>
      </w:r>
      <w:r>
        <w:rPr>
          <w:rFonts w:ascii="Arial" w:eastAsia="仿宋" w:hAnsi="Arial" w:cs="Arial"/>
          <w:sz w:val="28"/>
        </w:rPr>
        <w:t>】</w:t>
      </w:r>
      <w:r>
        <w:rPr>
          <w:rFonts w:ascii="Arial" w:eastAsia="仿宋" w:hAnsi="Arial" w:cs="Arial"/>
          <w:sz w:val="28"/>
        </w:rPr>
        <w:t>0004</w:t>
      </w:r>
      <w:r>
        <w:rPr>
          <w:rFonts w:ascii="Arial" w:eastAsia="仿宋" w:hAnsi="Arial" w:cs="Arial"/>
          <w:sz w:val="28"/>
        </w:rPr>
        <w:t>号），明确了用地性质、建设用地规模及相关建筑技术指标。估价对象为拟出让用地，截至估价期日，估价对象尚未办理登记手续。</w:t>
      </w:r>
    </w:p>
    <w:p w14:paraId="1EADDAE4"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坐落：北京市顺义区高丽营镇夏县营村</w:t>
      </w:r>
    </w:p>
    <w:p w14:paraId="0EB31D0C"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土地面积：</w:t>
      </w:r>
      <w:r>
        <w:rPr>
          <w:rFonts w:ascii="Arial" w:eastAsia="仿宋" w:hAnsi="Arial" w:cs="Arial"/>
          <w:spacing w:val="-6"/>
          <w:sz w:val="28"/>
        </w:rPr>
        <w:t>60990.43</w:t>
      </w:r>
      <w:r>
        <w:rPr>
          <w:rFonts w:ascii="Arial" w:eastAsia="仿宋" w:hAnsi="Arial" w:cs="Arial"/>
          <w:sz w:val="28"/>
        </w:rPr>
        <w:t>平方米</w:t>
      </w:r>
    </w:p>
    <w:p w14:paraId="086DFC07"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估价对象现状四至：东至</w:t>
      </w:r>
      <w:proofErr w:type="gramStart"/>
      <w:r>
        <w:rPr>
          <w:rFonts w:ascii="Arial" w:eastAsia="仿宋" w:hAnsi="Arial" w:cs="Arial"/>
          <w:sz w:val="28"/>
        </w:rPr>
        <w:t>火寺路</w:t>
      </w:r>
      <w:proofErr w:type="gramEnd"/>
      <w:r>
        <w:rPr>
          <w:rFonts w:ascii="Arial" w:eastAsia="仿宋" w:hAnsi="Arial" w:cs="Arial"/>
          <w:sz w:val="28"/>
        </w:rPr>
        <w:t>，</w:t>
      </w:r>
      <w:proofErr w:type="gramStart"/>
      <w:r>
        <w:rPr>
          <w:rFonts w:ascii="Arial" w:eastAsia="仿宋" w:hAnsi="Arial" w:cs="Arial"/>
          <w:sz w:val="28"/>
        </w:rPr>
        <w:t>西至喜行路</w:t>
      </w:r>
      <w:proofErr w:type="gramEnd"/>
      <w:r>
        <w:rPr>
          <w:rFonts w:ascii="Arial" w:eastAsia="仿宋" w:hAnsi="Arial" w:cs="Arial"/>
          <w:sz w:val="28"/>
        </w:rPr>
        <w:t>，南</w:t>
      </w:r>
      <w:proofErr w:type="gramStart"/>
      <w:r>
        <w:rPr>
          <w:rFonts w:ascii="Arial" w:eastAsia="仿宋" w:hAnsi="Arial" w:cs="Arial"/>
          <w:sz w:val="28"/>
        </w:rPr>
        <w:t>至丽喜花园</w:t>
      </w:r>
      <w:proofErr w:type="gramEnd"/>
      <w:r>
        <w:rPr>
          <w:rFonts w:ascii="Arial" w:eastAsia="仿宋" w:hAnsi="Arial" w:cs="Arial"/>
          <w:sz w:val="28"/>
        </w:rPr>
        <w:t>，北至</w:t>
      </w:r>
      <w:proofErr w:type="gramStart"/>
      <w:r>
        <w:rPr>
          <w:rFonts w:ascii="Arial" w:eastAsia="仿宋" w:hAnsi="Arial" w:cs="Arial"/>
          <w:sz w:val="28"/>
        </w:rPr>
        <w:t>鑫</w:t>
      </w:r>
      <w:proofErr w:type="gramEnd"/>
      <w:r>
        <w:rPr>
          <w:rFonts w:ascii="Arial" w:eastAsia="仿宋" w:hAnsi="Arial" w:cs="Arial"/>
          <w:sz w:val="28"/>
        </w:rPr>
        <w:t>鼎街</w:t>
      </w:r>
    </w:p>
    <w:p w14:paraId="7E6A4186"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土地级别：根据《北京市人民政府关于更新出让国有建设用地使用权基准地价的通知》（京政发（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号）的规定，估价对象属北京市基准地价住宅类九级</w:t>
      </w:r>
      <w:r>
        <w:rPr>
          <w:rFonts w:ascii="Arial" w:eastAsia="仿宋" w:hAnsi="Arial" w:cs="Arial"/>
          <w:sz w:val="28"/>
        </w:rPr>
        <w:t>IX-</w:t>
      </w:r>
      <w:r>
        <w:rPr>
          <w:rFonts w:ascii="Arial" w:eastAsia="仿宋" w:hAnsi="Arial" w:cs="Arial"/>
          <w:sz w:val="28"/>
        </w:rPr>
        <w:t>顺</w:t>
      </w:r>
      <w:r>
        <w:rPr>
          <w:rFonts w:ascii="Arial" w:eastAsia="仿宋" w:hAnsi="Arial" w:cs="Arial"/>
          <w:sz w:val="28"/>
        </w:rPr>
        <w:t>5</w:t>
      </w:r>
      <w:r>
        <w:rPr>
          <w:rFonts w:ascii="Arial" w:eastAsia="仿宋" w:hAnsi="Arial" w:cs="Arial"/>
          <w:sz w:val="28"/>
        </w:rPr>
        <w:t>区片、</w:t>
      </w:r>
      <w:proofErr w:type="gramStart"/>
      <w:r>
        <w:rPr>
          <w:rFonts w:ascii="Arial" w:eastAsia="仿宋" w:hAnsi="Arial" w:cs="Arial"/>
          <w:sz w:val="28"/>
        </w:rPr>
        <w:t>商服类九级</w:t>
      </w:r>
      <w:proofErr w:type="gramEnd"/>
      <w:r>
        <w:rPr>
          <w:rFonts w:ascii="Arial" w:eastAsia="仿宋" w:hAnsi="Arial" w:cs="Arial"/>
          <w:sz w:val="28"/>
        </w:rPr>
        <w:t>IX-</w:t>
      </w:r>
      <w:r>
        <w:rPr>
          <w:rFonts w:ascii="Arial" w:eastAsia="仿宋" w:hAnsi="Arial" w:cs="Arial"/>
          <w:sz w:val="28"/>
        </w:rPr>
        <w:t>顺</w:t>
      </w:r>
      <w:r>
        <w:rPr>
          <w:rFonts w:ascii="Arial" w:eastAsia="仿宋" w:hAnsi="Arial" w:cs="Arial"/>
          <w:sz w:val="28"/>
        </w:rPr>
        <w:t>5</w:t>
      </w:r>
      <w:r>
        <w:rPr>
          <w:rFonts w:ascii="Arial" w:eastAsia="仿宋" w:hAnsi="Arial" w:cs="Arial"/>
          <w:sz w:val="28"/>
        </w:rPr>
        <w:t>区片、公共服务类九级</w:t>
      </w:r>
      <w:r>
        <w:rPr>
          <w:rFonts w:ascii="Arial" w:eastAsia="仿宋" w:hAnsi="Arial" w:cs="Arial"/>
          <w:sz w:val="28"/>
        </w:rPr>
        <w:t>IX-</w:t>
      </w:r>
      <w:r>
        <w:rPr>
          <w:rFonts w:ascii="Arial" w:eastAsia="仿宋" w:hAnsi="Arial" w:cs="Arial"/>
          <w:sz w:val="28"/>
        </w:rPr>
        <w:t>顺</w:t>
      </w:r>
      <w:r>
        <w:rPr>
          <w:rFonts w:ascii="Arial" w:eastAsia="仿宋" w:hAnsi="Arial" w:cs="Arial"/>
          <w:sz w:val="28"/>
        </w:rPr>
        <w:t>5</w:t>
      </w:r>
      <w:r>
        <w:rPr>
          <w:rFonts w:ascii="Arial" w:eastAsia="仿宋" w:hAnsi="Arial" w:cs="Arial"/>
          <w:sz w:val="28"/>
        </w:rPr>
        <w:t>区片。</w:t>
      </w:r>
    </w:p>
    <w:p w14:paraId="4D60BF98"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（二）土地权利状况</w:t>
      </w:r>
    </w:p>
    <w:p w14:paraId="13A30542"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估价对象为国有土地，土地所有权为国家所有，根据《北京市人民政府关于顺义区二〇二〇年度批次建设用地的批复》（</w:t>
      </w:r>
      <w:proofErr w:type="gramStart"/>
      <w:r>
        <w:rPr>
          <w:rFonts w:ascii="Arial" w:eastAsia="仿宋" w:hAnsi="Arial" w:cs="Arial"/>
          <w:sz w:val="28"/>
        </w:rPr>
        <w:t>京政地字</w:t>
      </w:r>
      <w:proofErr w:type="gramEnd"/>
      <w:r>
        <w:rPr>
          <w:rFonts w:ascii="Arial" w:eastAsia="仿宋" w:hAnsi="Arial" w:cs="Arial"/>
          <w:sz w:val="28"/>
        </w:rPr>
        <w:t>【</w:t>
      </w:r>
      <w:r>
        <w:rPr>
          <w:rFonts w:ascii="Arial" w:eastAsia="仿宋" w:hAnsi="Arial" w:cs="Arial"/>
          <w:sz w:val="28"/>
        </w:rPr>
        <w:t>2020</w:t>
      </w:r>
      <w:r>
        <w:rPr>
          <w:rFonts w:ascii="Arial" w:eastAsia="仿宋" w:hAnsi="Arial" w:cs="Arial"/>
          <w:sz w:val="28"/>
        </w:rPr>
        <w:t>】</w:t>
      </w:r>
      <w:r>
        <w:rPr>
          <w:rFonts w:ascii="Arial" w:eastAsia="仿宋" w:hAnsi="Arial" w:cs="Arial"/>
          <w:sz w:val="28"/>
        </w:rPr>
        <w:t>121</w:t>
      </w:r>
      <w:r>
        <w:rPr>
          <w:rFonts w:ascii="Arial" w:eastAsia="仿宋" w:hAnsi="Arial" w:cs="Arial"/>
          <w:sz w:val="28"/>
        </w:rPr>
        <w:t>号），</w:t>
      </w:r>
      <w:r>
        <w:rPr>
          <w:rFonts w:ascii="Arial" w:eastAsia="仿宋" w:hAnsi="Arial" w:cs="Arial"/>
          <w:sz w:val="28"/>
          <w:szCs w:val="28"/>
        </w:rPr>
        <w:t>同意</w:t>
      </w:r>
      <w:r>
        <w:rPr>
          <w:rFonts w:ascii="Arial" w:eastAsia="仿宋" w:hAnsi="Arial" w:cs="Arial"/>
          <w:sz w:val="28"/>
        </w:rPr>
        <w:t>北京中交城市开发有限公司</w:t>
      </w:r>
      <w:r>
        <w:rPr>
          <w:rFonts w:ascii="Arial" w:eastAsia="仿宋" w:hAnsi="Arial" w:cs="Arial"/>
          <w:sz w:val="28"/>
          <w:szCs w:val="28"/>
        </w:rPr>
        <w:t>实施</w:t>
      </w:r>
      <w:r>
        <w:rPr>
          <w:rFonts w:ascii="Arial" w:eastAsia="仿宋" w:hAnsi="Arial" w:cs="Arial"/>
          <w:sz w:val="28"/>
        </w:rPr>
        <w:t>顺义</w:t>
      </w:r>
      <w:r>
        <w:rPr>
          <w:rFonts w:ascii="Arial" w:eastAsia="仿宋" w:hAnsi="Arial" w:cs="Arial"/>
          <w:sz w:val="28"/>
          <w:szCs w:val="28"/>
        </w:rPr>
        <w:t>区高丽营镇夏县营村棚户区</w:t>
      </w:r>
      <w:r>
        <w:rPr>
          <w:rFonts w:ascii="Arial" w:eastAsia="仿宋" w:hAnsi="Arial" w:cs="Arial"/>
          <w:sz w:val="28"/>
        </w:rPr>
        <w:t>改造土地开发项目。</w:t>
      </w:r>
    </w:p>
    <w:p w14:paraId="700D830D"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土地估价专业评估师根据委托估价方所提供的资料复印件，未发现有抵押、租赁的登记信息，本次评估设定估价对象不存在抵押、租赁等他项权利。</w:t>
      </w:r>
    </w:p>
    <w:p w14:paraId="51696DE7"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（三）土地利用状况</w:t>
      </w:r>
    </w:p>
    <w:p w14:paraId="54AA0B36" w14:textId="77777777" w:rsidR="0062768B" w:rsidRDefault="00136729">
      <w:pPr>
        <w:spacing w:line="300" w:lineRule="auto"/>
        <w:jc w:val="both"/>
        <w:rPr>
          <w:rFonts w:ascii="Arial" w:eastAsia="仿宋_GB2312" w:hAnsi="Arial" w:cs="Arial"/>
          <w:sz w:val="28"/>
        </w:rPr>
      </w:pPr>
      <w:r>
        <w:rPr>
          <w:noProof/>
        </w:rPr>
        <w:lastRenderedPageBreak/>
        <mc:AlternateContent>
          <mc:Choice Requires="wps">
            <w:drawing>
              <wp:anchor distT="0" distB="0" distL="114300" distR="114300" simplePos="0" relativeHeight="251665408" behindDoc="0" locked="0" layoutInCell="1" allowOverlap="1" wp14:anchorId="71F265A1" wp14:editId="7B31C904">
                <wp:simplePos x="0" y="0"/>
                <wp:positionH relativeFrom="column">
                  <wp:posOffset>2961640</wp:posOffset>
                </wp:positionH>
                <wp:positionV relativeFrom="paragraph">
                  <wp:posOffset>12700</wp:posOffset>
                </wp:positionV>
                <wp:extent cx="2436495" cy="1728470"/>
                <wp:effectExtent l="5080" t="4445" r="15875" b="19685"/>
                <wp:wrapNone/>
                <wp:docPr id="6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6495" cy="1728470"/>
                        </a:xfrm>
                        <a:prstGeom prst="rect">
                          <a:avLst/>
                        </a:prstGeom>
                        <a:solidFill>
                          <a:srgbClr val="FFFFFF"/>
                        </a:solidFill>
                        <a:ln w="9525">
                          <a:solidFill>
                            <a:srgbClr val="000000"/>
                          </a:solidFill>
                          <a:miter lim="800000"/>
                        </a:ln>
                      </wps:spPr>
                      <wps:txbx>
                        <w:txbxContent>
                          <w:p w14:paraId="5BB833A5" w14:textId="77777777" w:rsidR="00BA64ED" w:rsidRDefault="00BA64ED">
                            <w:r>
                              <w:rPr>
                                <w:noProof/>
                              </w:rPr>
                              <w:drawing>
                                <wp:inline distT="0" distB="0" distL="0" distR="0" wp14:anchorId="2D7D3F06" wp14:editId="38E79FDF">
                                  <wp:extent cx="2159000" cy="1627505"/>
                                  <wp:effectExtent l="0" t="0" r="12700" b="10795"/>
                                  <wp:docPr id="70" name="图片 70" descr="微信图片_202305061559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微信图片_20230506155925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159000" cy="162750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anchor>
            </w:drawing>
          </mc:Choice>
          <mc:Fallback>
            <w:pict>
              <v:shape id="_x0000_s1028" type="#_x0000_t202" style="position:absolute;left:0;text-align:left;margin-left:233.2pt;margin-top:1pt;width:191.85pt;height:136.1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">
                <v:textbox>
                  <w:txbxContent>
                    <w:p w14:paraId="5BB833A5" w14:textId="77777777" w:rsidR="00BA64ED" w:rsidRDefault="00BA64ED">
                      <w:r>
                        <w:rPr>
                          <w:noProof/>
                        </w:rPr>
                        <w:drawing>
                          <wp:inline distT="0" distB="0" distL="0" distR="0" wp14:anchorId="2D7D3F06" wp14:editId="38E79FDF">
                            <wp:extent cx="2159000" cy="1627505"/>
                            <wp:effectExtent l="0" t="0" r="12700" b="10795"/>
                            <wp:docPr id="70" name="图片 70" descr="微信图片_202305061559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微信图片_20230506155925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159000" cy="162750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FF98C13" wp14:editId="637F84D9">
                <wp:simplePos x="0" y="0"/>
                <wp:positionH relativeFrom="column">
                  <wp:posOffset>299085</wp:posOffset>
                </wp:positionH>
                <wp:positionV relativeFrom="paragraph">
                  <wp:posOffset>11430</wp:posOffset>
                </wp:positionV>
                <wp:extent cx="2352040" cy="1727835"/>
                <wp:effectExtent l="5080" t="5080" r="5080" b="19685"/>
                <wp:wrapNone/>
                <wp:docPr id="7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1727835"/>
                        </a:xfrm>
                        <a:prstGeom prst="rect">
                          <a:avLst/>
                        </a:prstGeom>
                        <a:solidFill>
                          <a:srgbClr val="FFFFFF"/>
                        </a:solidFill>
                        <a:ln w="9525">
                          <a:solidFill>
                            <a:srgbClr val="000000"/>
                          </a:solidFill>
                          <a:miter lim="800000"/>
                        </a:ln>
                      </wps:spPr>
                      <wps:txbx>
                        <w:txbxContent>
                          <w:p w14:paraId="1E5F68FD" w14:textId="77777777" w:rsidR="00BA64ED" w:rsidRDefault="00BA64ED">
                            <w:r>
                              <w:rPr>
                                <w:noProof/>
                              </w:rPr>
                              <w:drawing>
                                <wp:inline distT="0" distB="0" distL="0" distR="0" wp14:anchorId="28ED0DEC" wp14:editId="293BDD65">
                                  <wp:extent cx="2158365" cy="1626870"/>
                                  <wp:effectExtent l="0" t="0" r="13335" b="11430"/>
                                  <wp:docPr id="72" name="图片 72" descr="微信图片_20230506155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微信图片_2023050615592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58365" cy="16268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anchor>
            </w:drawing>
          </mc:Choice>
          <mc:Fallback>
            <w:pict>
              <v:shape id="_x0000_s1029" type="#_x0000_t202" style="position:absolute;left:0;text-align:left;margin-left:23.55pt;margin-top:.9pt;width:185.2pt;height:136.0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">
                <v:textbox style="mso-fit-shape-to-text:t">
                  <w:txbxContent>
                    <w:p w14:paraId="1E5F68FD" w14:textId="77777777" w:rsidR="00BA64ED" w:rsidRDefault="00BA64ED">
                      <w:r>
                        <w:rPr>
                          <w:noProof/>
                        </w:rPr>
                        <w:drawing>
                          <wp:inline distT="0" distB="0" distL="0" distR="0" wp14:anchorId="28ED0DEC" wp14:editId="293BDD65">
                            <wp:extent cx="2158365" cy="1626870"/>
                            <wp:effectExtent l="0" t="0" r="13335" b="11430"/>
                            <wp:docPr id="72" name="图片 72" descr="微信图片_20230506155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微信图片_2023050615592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58365" cy="1626870"/>
                                    </a:xfrm>
                                    <a:prstGeom prst="rect">
                                      <a:avLst/>
                                    </a:prstGeom>
                                    <a:noFill/>
                                    <a:ln>
                                      <a:noFill/>
                                    </a:ln>
                                  </pic:spPr>
                                </pic:pic>
                              </a:graphicData>
                            </a:graphic>
                          </wp:inline>
                        </w:drawing>
                      </w:r>
                    </w:p>
                  </w:txbxContent>
                </v:textbox>
              </v:shape>
            </w:pict>
          </mc:Fallback>
        </mc:AlternateContent>
      </w:r>
      <w:r>
        <w:rPr>
          <w:rFonts w:ascii="Arial" w:eastAsia="仿宋_GB2312" w:hAnsi="Arial" w:cs="Arial" w:hint="eastAsia"/>
          <w:sz w:val="28"/>
        </w:rPr>
        <w:t xml:space="preserve">     </w:t>
      </w:r>
    </w:p>
    <w:p w14:paraId="1A7CFDB9" w14:textId="77777777" w:rsidR="0062768B" w:rsidRDefault="0062768B">
      <w:pPr>
        <w:rPr>
          <w:szCs w:val="21"/>
        </w:rPr>
      </w:pPr>
    </w:p>
    <w:p w14:paraId="481E5349" w14:textId="77777777" w:rsidR="0062768B" w:rsidRDefault="0062768B">
      <w:pPr>
        <w:spacing w:line="300" w:lineRule="auto"/>
        <w:jc w:val="both"/>
        <w:rPr>
          <w:rFonts w:ascii="Arial" w:eastAsia="仿宋_GB2312" w:hAnsi="Arial" w:cs="Arial"/>
          <w:sz w:val="28"/>
        </w:rPr>
      </w:pPr>
    </w:p>
    <w:p w14:paraId="4E6DF062" w14:textId="77777777" w:rsidR="0062768B" w:rsidRDefault="0062768B">
      <w:pPr>
        <w:spacing w:line="300" w:lineRule="auto"/>
        <w:jc w:val="both"/>
        <w:rPr>
          <w:rFonts w:ascii="Arial" w:eastAsia="仿宋_GB2312" w:hAnsi="Arial" w:cs="Arial"/>
          <w:sz w:val="28"/>
        </w:rPr>
      </w:pPr>
    </w:p>
    <w:p w14:paraId="6AABC9C6" w14:textId="77777777" w:rsidR="0062768B" w:rsidRDefault="0062768B">
      <w:pPr>
        <w:spacing w:line="300" w:lineRule="auto"/>
        <w:jc w:val="both"/>
        <w:rPr>
          <w:rFonts w:ascii="Arial" w:eastAsia="仿宋_GB2312" w:hAnsi="Arial" w:cs="Arial"/>
          <w:sz w:val="28"/>
        </w:rPr>
      </w:pPr>
    </w:p>
    <w:p w14:paraId="5B689987" w14:textId="77777777" w:rsidR="0062768B" w:rsidRDefault="0062768B">
      <w:pPr>
        <w:spacing w:line="300" w:lineRule="auto"/>
        <w:jc w:val="both"/>
        <w:rPr>
          <w:rFonts w:ascii="Arial" w:eastAsia="仿宋_GB2312" w:hAnsi="Arial" w:cs="Arial"/>
          <w:sz w:val="28"/>
        </w:rPr>
      </w:pPr>
    </w:p>
    <w:p w14:paraId="56D6BFC3" w14:textId="77777777" w:rsidR="0062768B" w:rsidRDefault="0062768B">
      <w:pPr>
        <w:spacing w:line="300" w:lineRule="auto"/>
        <w:jc w:val="both"/>
        <w:rPr>
          <w:rFonts w:ascii="Arial" w:eastAsia="仿宋_GB2312" w:hAnsi="Arial" w:cs="Arial"/>
          <w:sz w:val="28"/>
        </w:rPr>
      </w:pPr>
    </w:p>
    <w:p w14:paraId="07876F04" w14:textId="77777777" w:rsidR="0062768B" w:rsidRDefault="00136729">
      <w:pPr>
        <w:adjustRightInd/>
        <w:spacing w:line="300" w:lineRule="auto"/>
        <w:ind w:firstLine="556"/>
        <w:jc w:val="both"/>
        <w:rPr>
          <w:rFonts w:ascii="Arial" w:eastAsia="仿宋" w:hAnsi="Arial" w:cs="Arial"/>
          <w:sz w:val="28"/>
        </w:rPr>
      </w:pPr>
      <w:r>
        <w:rPr>
          <w:rFonts w:ascii="Arial" w:eastAsia="仿宋" w:hAnsi="Arial" w:cs="Arial"/>
          <w:sz w:val="28"/>
          <w:szCs w:val="28"/>
        </w:rPr>
        <w:t>估价</w:t>
      </w:r>
      <w:proofErr w:type="gramStart"/>
      <w:r>
        <w:rPr>
          <w:rFonts w:ascii="Arial" w:eastAsia="仿宋" w:hAnsi="Arial" w:cs="Arial"/>
          <w:sz w:val="28"/>
          <w:szCs w:val="28"/>
        </w:rPr>
        <w:t>对象位</w:t>
      </w:r>
      <w:proofErr w:type="gramEnd"/>
      <w:r>
        <w:rPr>
          <w:rFonts w:ascii="Arial" w:eastAsia="仿宋" w:hAnsi="Arial" w:cs="Arial"/>
          <w:sz w:val="28"/>
        </w:rPr>
        <w:t>北京市顺义区高丽营镇夏县营村。</w:t>
      </w:r>
      <w:r>
        <w:rPr>
          <w:rFonts w:ascii="Arial" w:eastAsia="仿宋" w:hAnsi="Arial" w:cs="Arial"/>
          <w:sz w:val="28"/>
          <w:szCs w:val="28"/>
        </w:rPr>
        <w:t>根据《北京市规划和自然资源委员会顺义分局关于顺义区高丽营镇夏县营村棚户区改造土地开发项目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01-015-1</w:t>
      </w:r>
      <w:r>
        <w:rPr>
          <w:rFonts w:ascii="Arial" w:eastAsia="仿宋" w:hAnsi="Arial" w:cs="Arial"/>
          <w:sz w:val="28"/>
          <w:szCs w:val="28"/>
        </w:rPr>
        <w:t>、</w:t>
      </w:r>
      <w:r>
        <w:rPr>
          <w:rFonts w:ascii="Arial" w:eastAsia="仿宋" w:hAnsi="Arial" w:cs="Arial"/>
          <w:sz w:val="28"/>
          <w:szCs w:val="28"/>
        </w:rPr>
        <w:t>01-015-2</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w:t>
      </w:r>
      <w:r>
        <w:rPr>
          <w:rFonts w:ascii="Arial" w:eastAsia="仿宋" w:hAnsi="Arial" w:cs="Arial"/>
          <w:sz w:val="28"/>
          <w:szCs w:val="28"/>
        </w:rPr>
        <w:t>01-025</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等二类居住用地、托幼用地、商业用地地块</w:t>
      </w:r>
      <w:r>
        <w:rPr>
          <w:rFonts w:ascii="Arial" w:eastAsia="仿宋" w:hAnsi="Arial" w:cs="Arial"/>
          <w:sz w:val="28"/>
          <w:szCs w:val="28"/>
        </w:rPr>
        <w:t>“</w:t>
      </w:r>
      <w:r>
        <w:rPr>
          <w:rFonts w:ascii="Arial" w:eastAsia="仿宋" w:hAnsi="Arial" w:cs="Arial"/>
          <w:sz w:val="28"/>
          <w:szCs w:val="28"/>
        </w:rPr>
        <w:t>多规合一</w:t>
      </w:r>
      <w:r>
        <w:rPr>
          <w:rFonts w:ascii="Arial" w:eastAsia="仿宋" w:hAnsi="Arial" w:cs="Arial"/>
          <w:sz w:val="28"/>
          <w:szCs w:val="28"/>
        </w:rPr>
        <w:t>”</w:t>
      </w:r>
      <w:r>
        <w:rPr>
          <w:rFonts w:ascii="Arial" w:eastAsia="仿宋" w:hAnsi="Arial" w:cs="Arial"/>
          <w:sz w:val="28"/>
          <w:szCs w:val="28"/>
        </w:rPr>
        <w:t>协同平台供地审核意见的函》（京</w:t>
      </w:r>
      <w:proofErr w:type="gramStart"/>
      <w:r>
        <w:rPr>
          <w:rFonts w:ascii="Arial" w:eastAsia="仿宋" w:hAnsi="Arial" w:cs="Arial"/>
          <w:sz w:val="28"/>
          <w:szCs w:val="28"/>
        </w:rPr>
        <w:t>规</w:t>
      </w:r>
      <w:proofErr w:type="gramEnd"/>
      <w:r>
        <w:rPr>
          <w:rFonts w:ascii="Arial" w:eastAsia="仿宋" w:hAnsi="Arial" w:cs="Arial"/>
          <w:sz w:val="28"/>
          <w:szCs w:val="28"/>
        </w:rPr>
        <w:t>自（顺）</w:t>
      </w:r>
      <w:proofErr w:type="gramStart"/>
      <w:r>
        <w:rPr>
          <w:rFonts w:ascii="Arial" w:eastAsia="仿宋" w:hAnsi="Arial" w:cs="Arial"/>
          <w:sz w:val="28"/>
          <w:szCs w:val="28"/>
        </w:rPr>
        <w:t>供审函</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0004</w:t>
      </w:r>
      <w:r>
        <w:rPr>
          <w:rFonts w:ascii="Arial" w:eastAsia="仿宋" w:hAnsi="Arial" w:cs="Arial"/>
          <w:sz w:val="28"/>
          <w:szCs w:val="28"/>
        </w:rPr>
        <w:t>号）</w:t>
      </w:r>
      <w:r>
        <w:rPr>
          <w:rFonts w:ascii="Arial" w:eastAsia="仿宋" w:hAnsi="Arial" w:cs="Arial"/>
          <w:sz w:val="28"/>
        </w:rPr>
        <w:t>，本次估价对象</w:t>
      </w:r>
      <w:r>
        <w:rPr>
          <w:rFonts w:ascii="Arial" w:eastAsia="仿宋" w:hAnsi="Arial" w:cs="Arial"/>
          <w:sz w:val="28"/>
        </w:rPr>
        <w:t>01-008</w:t>
      </w:r>
      <w:r>
        <w:rPr>
          <w:rFonts w:ascii="Arial" w:eastAsia="仿宋" w:hAnsi="Arial" w:cs="Arial"/>
          <w:sz w:val="28"/>
        </w:rPr>
        <w:t>等地块共</w:t>
      </w:r>
      <w:r>
        <w:rPr>
          <w:rFonts w:ascii="Arial" w:eastAsia="仿宋" w:hAnsi="Arial" w:cs="Arial"/>
          <w:sz w:val="28"/>
        </w:rPr>
        <w:t>4</w:t>
      </w:r>
      <w:r>
        <w:rPr>
          <w:rFonts w:ascii="Arial" w:eastAsia="仿宋" w:hAnsi="Arial" w:cs="Arial"/>
          <w:sz w:val="28"/>
        </w:rPr>
        <w:t>宗地，用地规模合计为</w:t>
      </w:r>
      <w:r>
        <w:rPr>
          <w:rFonts w:ascii="Arial" w:eastAsia="仿宋" w:hAnsi="Arial" w:cs="Arial"/>
          <w:sz w:val="28"/>
        </w:rPr>
        <w:t>60990.43</w:t>
      </w:r>
      <w:r>
        <w:rPr>
          <w:rFonts w:ascii="Arial" w:eastAsia="仿宋" w:hAnsi="Arial" w:cs="Arial"/>
          <w:sz w:val="28"/>
        </w:rPr>
        <w:t>平方米，全部为建设用地，建筑规模合计为</w:t>
      </w:r>
      <w:r>
        <w:rPr>
          <w:rFonts w:ascii="Arial" w:eastAsia="仿宋" w:hAnsi="Arial" w:cs="Arial"/>
          <w:sz w:val="28"/>
        </w:rPr>
        <w:t>71508.52</w:t>
      </w:r>
      <w:r>
        <w:rPr>
          <w:rFonts w:ascii="Arial" w:eastAsia="仿宋" w:hAnsi="Arial" w:cs="Arial"/>
          <w:sz w:val="28"/>
        </w:rPr>
        <w:t>平方米。</w:t>
      </w:r>
      <w:r>
        <w:rPr>
          <w:rFonts w:ascii="Arial" w:eastAsia="仿宋" w:hAnsi="Arial" w:cs="Arial"/>
          <w:sz w:val="28"/>
          <w:szCs w:val="28"/>
        </w:rPr>
        <w:t>其中，估价对象</w:t>
      </w:r>
      <w:r>
        <w:rPr>
          <w:rFonts w:ascii="Arial" w:eastAsia="仿宋" w:hAnsi="Arial" w:cs="Arial"/>
          <w:sz w:val="28"/>
        </w:rPr>
        <w:t>01-008</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24804.85</w:t>
      </w:r>
      <w:r>
        <w:rPr>
          <w:rFonts w:ascii="Arial" w:eastAsia="仿宋" w:hAnsi="Arial" w:cs="Arial"/>
          <w:sz w:val="28"/>
        </w:rPr>
        <w:t>平方米，地上建筑规模为</w:t>
      </w:r>
      <w:r>
        <w:rPr>
          <w:rFonts w:ascii="Arial" w:eastAsia="仿宋" w:hAnsi="Arial" w:cs="Arial"/>
          <w:sz w:val="28"/>
        </w:rPr>
        <w:t>29765.82</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w:t>
      </w:r>
      <w:r>
        <w:rPr>
          <w:rFonts w:ascii="Arial" w:eastAsia="仿宋" w:hAnsi="Arial" w:cs="Arial"/>
          <w:sz w:val="28"/>
          <w:szCs w:val="28"/>
        </w:rPr>
        <w:t>估价对象</w:t>
      </w:r>
      <w:r>
        <w:rPr>
          <w:rFonts w:ascii="Arial" w:eastAsia="仿宋" w:hAnsi="Arial" w:cs="Arial"/>
          <w:sz w:val="28"/>
        </w:rPr>
        <w:t>01-016</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23103.85</w:t>
      </w:r>
      <w:r>
        <w:rPr>
          <w:rFonts w:ascii="Arial" w:eastAsia="仿宋" w:hAnsi="Arial" w:cs="Arial"/>
          <w:sz w:val="28"/>
        </w:rPr>
        <w:t>平方米，地上建筑规模为</w:t>
      </w:r>
      <w:r>
        <w:rPr>
          <w:rFonts w:ascii="Arial" w:eastAsia="仿宋" w:hAnsi="Arial" w:cs="Arial"/>
          <w:sz w:val="28"/>
        </w:rPr>
        <w:t>27724.62</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w:t>
      </w:r>
      <w:r>
        <w:rPr>
          <w:rFonts w:ascii="Arial" w:eastAsia="仿宋" w:hAnsi="Arial" w:cs="Arial"/>
          <w:sz w:val="28"/>
          <w:szCs w:val="28"/>
        </w:rPr>
        <w:t xml:space="preserve"> </w:t>
      </w:r>
      <w:r>
        <w:rPr>
          <w:rFonts w:ascii="Arial" w:eastAsia="仿宋" w:hAnsi="Arial" w:cs="Arial"/>
          <w:sz w:val="28"/>
          <w:szCs w:val="28"/>
        </w:rPr>
        <w:t>估价对象</w:t>
      </w:r>
      <w:r>
        <w:rPr>
          <w:rFonts w:ascii="Arial" w:eastAsia="仿宋" w:hAnsi="Arial" w:cs="Arial"/>
          <w:sz w:val="28"/>
          <w:szCs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8881.75</w:t>
      </w:r>
      <w:r>
        <w:rPr>
          <w:rFonts w:ascii="Arial" w:eastAsia="仿宋" w:hAnsi="Arial" w:cs="Arial"/>
          <w:sz w:val="28"/>
        </w:rPr>
        <w:t>平方米，地上建筑规模为</w:t>
      </w:r>
      <w:r>
        <w:rPr>
          <w:rFonts w:ascii="Arial" w:eastAsia="仿宋" w:hAnsi="Arial" w:cs="Arial"/>
          <w:sz w:val="28"/>
        </w:rPr>
        <w:t>10658.10</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；另有</w:t>
      </w:r>
      <w:r>
        <w:rPr>
          <w:rFonts w:ascii="Arial" w:eastAsia="仿宋" w:hAnsi="Arial" w:cs="Arial"/>
          <w:sz w:val="28"/>
          <w:szCs w:val="28"/>
        </w:rPr>
        <w:t>估价对象</w:t>
      </w:r>
      <w:r>
        <w:rPr>
          <w:rFonts w:ascii="Arial" w:eastAsia="仿宋" w:hAnsi="Arial" w:cs="Arial"/>
          <w:sz w:val="28"/>
        </w:rPr>
        <w:t>01-020</w:t>
      </w:r>
      <w:r>
        <w:rPr>
          <w:rFonts w:ascii="Arial" w:eastAsia="仿宋" w:hAnsi="Arial" w:cs="Arial"/>
          <w:sz w:val="28"/>
        </w:rPr>
        <w:t>地块（</w:t>
      </w:r>
      <w:r>
        <w:rPr>
          <w:rFonts w:ascii="Arial" w:eastAsia="仿宋" w:hAnsi="Arial" w:cs="Arial"/>
          <w:sz w:val="28"/>
        </w:rPr>
        <w:t>A334</w:t>
      </w:r>
      <w:r>
        <w:rPr>
          <w:rFonts w:ascii="Arial" w:eastAsia="仿宋" w:hAnsi="Arial" w:cs="Arial"/>
          <w:sz w:val="28"/>
        </w:rPr>
        <w:t>托幼用地，不出让）建设用地规模为</w:t>
      </w:r>
      <w:r>
        <w:rPr>
          <w:rFonts w:ascii="Arial" w:eastAsia="仿宋" w:hAnsi="Arial" w:cs="Arial"/>
          <w:sz w:val="28"/>
        </w:rPr>
        <w:t>4199.98</w:t>
      </w:r>
      <w:r>
        <w:rPr>
          <w:rFonts w:ascii="Arial" w:eastAsia="仿宋" w:hAnsi="Arial" w:cs="Arial"/>
          <w:sz w:val="28"/>
        </w:rPr>
        <w:t>平方米，地上建筑规模为</w:t>
      </w:r>
      <w:r>
        <w:rPr>
          <w:rFonts w:ascii="Arial" w:eastAsia="仿宋" w:hAnsi="Arial" w:cs="Arial"/>
          <w:sz w:val="28"/>
        </w:rPr>
        <w:t>3359.98</w:t>
      </w:r>
      <w:r>
        <w:rPr>
          <w:rFonts w:ascii="Arial" w:eastAsia="仿宋" w:hAnsi="Arial" w:cs="Arial"/>
          <w:sz w:val="28"/>
        </w:rPr>
        <w:t>平方米，容积率为</w:t>
      </w:r>
      <w:r>
        <w:rPr>
          <w:rFonts w:ascii="Arial" w:eastAsia="仿宋" w:hAnsi="Arial" w:cs="Arial"/>
          <w:sz w:val="28"/>
        </w:rPr>
        <w:t>0.8</w:t>
      </w:r>
      <w:r>
        <w:rPr>
          <w:rFonts w:ascii="Arial" w:eastAsia="仿宋" w:hAnsi="Arial" w:cs="Arial"/>
          <w:sz w:val="28"/>
        </w:rPr>
        <w:t>。根据《北京市人民政府关于更新出让国有建设用地使用权基准地价的通知》（京政发（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号）中的相关规定，本次评估</w:t>
      </w:r>
      <w:r>
        <w:rPr>
          <w:rFonts w:ascii="Arial" w:eastAsia="仿宋" w:hAnsi="Arial" w:cs="Arial"/>
          <w:sz w:val="28"/>
        </w:rPr>
        <w:t>01-008</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类居住用地）容积率为</w:t>
      </w:r>
      <w:r>
        <w:rPr>
          <w:rFonts w:ascii="Arial" w:eastAsia="仿宋" w:hAnsi="Arial" w:cs="Arial"/>
          <w:sz w:val="28"/>
        </w:rPr>
        <w:t>1.2</w:t>
      </w:r>
      <w:r>
        <w:rPr>
          <w:rFonts w:ascii="Arial" w:eastAsia="仿宋" w:hAnsi="Arial" w:cs="Arial"/>
          <w:sz w:val="28"/>
        </w:rPr>
        <w:t>。</w:t>
      </w:r>
    </w:p>
    <w:p w14:paraId="71BA9164"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本次拟出让建设用地规模为</w:t>
      </w:r>
      <w:r>
        <w:rPr>
          <w:rFonts w:ascii="Arial" w:eastAsia="仿宋" w:hAnsi="Arial" w:cs="Arial"/>
          <w:sz w:val="28"/>
        </w:rPr>
        <w:t>56790.45</w:t>
      </w:r>
      <w:r>
        <w:rPr>
          <w:rFonts w:ascii="Arial" w:eastAsia="仿宋" w:hAnsi="Arial" w:cs="Arial"/>
          <w:sz w:val="28"/>
        </w:rPr>
        <w:t>平方米，具体规划主要技术经济指标详见下表：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443"/>
        <w:gridCol w:w="1119"/>
        <w:gridCol w:w="1248"/>
        <w:gridCol w:w="1586"/>
        <w:gridCol w:w="862"/>
        <w:gridCol w:w="1671"/>
        <w:gridCol w:w="1294"/>
        <w:gridCol w:w="849"/>
      </w:tblGrid>
      <w:tr w:rsidR="0062768B" w14:paraId="2A15465A" w14:textId="77777777">
        <w:trPr>
          <w:cantSplit/>
          <w:jc w:val="center"/>
        </w:trPr>
        <w:tc>
          <w:tcPr>
            <w:tcW w:w="244" w:type="pct"/>
            <w:vAlign w:val="center"/>
          </w:tcPr>
          <w:p w14:paraId="1D689839"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序号</w:t>
            </w:r>
          </w:p>
        </w:tc>
        <w:tc>
          <w:tcPr>
            <w:tcW w:w="617" w:type="pct"/>
            <w:vAlign w:val="center"/>
          </w:tcPr>
          <w:p w14:paraId="50A495F4"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规划地块编号</w:t>
            </w:r>
          </w:p>
        </w:tc>
        <w:tc>
          <w:tcPr>
            <w:tcW w:w="688" w:type="pct"/>
            <w:vAlign w:val="center"/>
          </w:tcPr>
          <w:p w14:paraId="551983E9"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用地性质</w:t>
            </w:r>
          </w:p>
        </w:tc>
        <w:tc>
          <w:tcPr>
            <w:tcW w:w="874" w:type="pct"/>
            <w:vAlign w:val="center"/>
          </w:tcPr>
          <w:p w14:paraId="4EE66C6B"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建设用地规模</w:t>
            </w:r>
          </w:p>
          <w:p w14:paraId="78DA187D"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（平方米）</w:t>
            </w:r>
          </w:p>
        </w:tc>
        <w:tc>
          <w:tcPr>
            <w:tcW w:w="475" w:type="pct"/>
            <w:vAlign w:val="center"/>
          </w:tcPr>
          <w:p w14:paraId="61EA6885"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容积率</w:t>
            </w:r>
          </w:p>
        </w:tc>
        <w:tc>
          <w:tcPr>
            <w:tcW w:w="921" w:type="pct"/>
            <w:vAlign w:val="center"/>
          </w:tcPr>
          <w:p w14:paraId="78B8B2EB"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地上建筑规模</w:t>
            </w:r>
          </w:p>
          <w:p w14:paraId="60B4E432"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（平方米）</w:t>
            </w:r>
          </w:p>
        </w:tc>
        <w:tc>
          <w:tcPr>
            <w:tcW w:w="713" w:type="pct"/>
            <w:vAlign w:val="center"/>
          </w:tcPr>
          <w:p w14:paraId="16A331B3" w14:textId="77777777" w:rsidR="0062768B" w:rsidRDefault="00136729">
            <w:pPr>
              <w:widowControl/>
              <w:adjustRightInd/>
              <w:spacing w:line="240" w:lineRule="exact"/>
              <w:jc w:val="center"/>
              <w:textAlignment w:val="auto"/>
              <w:rPr>
                <w:rFonts w:ascii="Arial" w:eastAsia="仿宋" w:hAnsi="Arial" w:cs="Arial"/>
                <w:sz w:val="18"/>
                <w:szCs w:val="18"/>
              </w:rPr>
            </w:pPr>
            <w:r>
              <w:rPr>
                <w:rFonts w:ascii="Arial" w:eastAsia="仿宋" w:hAnsi="Arial" w:cs="Arial"/>
                <w:sz w:val="18"/>
                <w:szCs w:val="18"/>
              </w:rPr>
              <w:t>控制高度（</w:t>
            </w:r>
            <w:r>
              <w:rPr>
                <w:rFonts w:ascii="Arial" w:eastAsia="仿宋" w:hAnsi="Arial" w:cs="Arial"/>
                <w:sz w:val="18"/>
                <w:szCs w:val="18"/>
              </w:rPr>
              <w:t>m</w:t>
            </w:r>
            <w:r>
              <w:rPr>
                <w:rFonts w:ascii="Arial" w:eastAsia="仿宋" w:hAnsi="Arial" w:cs="Arial"/>
                <w:sz w:val="18"/>
                <w:szCs w:val="18"/>
              </w:rPr>
              <w:t>）</w:t>
            </w:r>
          </w:p>
        </w:tc>
        <w:tc>
          <w:tcPr>
            <w:tcW w:w="468" w:type="pct"/>
            <w:vAlign w:val="center"/>
          </w:tcPr>
          <w:p w14:paraId="0DB66A3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是否出让</w:t>
            </w:r>
          </w:p>
        </w:tc>
      </w:tr>
      <w:tr w:rsidR="0062768B" w14:paraId="4282AEC7" w14:textId="77777777">
        <w:trPr>
          <w:cantSplit/>
          <w:jc w:val="center"/>
        </w:trPr>
        <w:tc>
          <w:tcPr>
            <w:tcW w:w="244" w:type="pct"/>
            <w:vAlign w:val="center"/>
          </w:tcPr>
          <w:p w14:paraId="0D38AF09"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w:t>
            </w:r>
          </w:p>
        </w:tc>
        <w:tc>
          <w:tcPr>
            <w:tcW w:w="617" w:type="pct"/>
            <w:vAlign w:val="center"/>
          </w:tcPr>
          <w:p w14:paraId="529F928F"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01-008</w:t>
            </w:r>
          </w:p>
        </w:tc>
        <w:tc>
          <w:tcPr>
            <w:tcW w:w="688" w:type="pct"/>
            <w:vMerge w:val="restart"/>
            <w:vAlign w:val="center"/>
          </w:tcPr>
          <w:p w14:paraId="4EC64AD2"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p>
        </w:tc>
        <w:tc>
          <w:tcPr>
            <w:tcW w:w="874" w:type="pct"/>
            <w:vAlign w:val="center"/>
          </w:tcPr>
          <w:p w14:paraId="28313015"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24804.85</w:t>
            </w:r>
          </w:p>
        </w:tc>
        <w:tc>
          <w:tcPr>
            <w:tcW w:w="475" w:type="pct"/>
            <w:vMerge w:val="restart"/>
            <w:vAlign w:val="center"/>
          </w:tcPr>
          <w:p w14:paraId="020E6EA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1.2</w:t>
            </w:r>
          </w:p>
        </w:tc>
        <w:tc>
          <w:tcPr>
            <w:tcW w:w="921" w:type="pct"/>
            <w:vAlign w:val="center"/>
          </w:tcPr>
          <w:p w14:paraId="7EB781AF"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29765.82</w:t>
            </w:r>
          </w:p>
        </w:tc>
        <w:tc>
          <w:tcPr>
            <w:tcW w:w="713" w:type="pct"/>
            <w:vMerge w:val="restart"/>
            <w:vAlign w:val="center"/>
          </w:tcPr>
          <w:p w14:paraId="60F71D4C"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30</w:t>
            </w:r>
          </w:p>
        </w:tc>
        <w:tc>
          <w:tcPr>
            <w:tcW w:w="468" w:type="pct"/>
            <w:vMerge w:val="restart"/>
            <w:vAlign w:val="center"/>
          </w:tcPr>
          <w:p w14:paraId="032BCDCC"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出让</w:t>
            </w:r>
          </w:p>
        </w:tc>
      </w:tr>
      <w:tr w:rsidR="0062768B" w14:paraId="4C51AB38" w14:textId="77777777">
        <w:trPr>
          <w:cantSplit/>
          <w:jc w:val="center"/>
        </w:trPr>
        <w:tc>
          <w:tcPr>
            <w:tcW w:w="244" w:type="pct"/>
            <w:vAlign w:val="center"/>
          </w:tcPr>
          <w:p w14:paraId="2A77CD75"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w:t>
            </w:r>
          </w:p>
        </w:tc>
        <w:tc>
          <w:tcPr>
            <w:tcW w:w="617" w:type="pct"/>
            <w:vAlign w:val="center"/>
          </w:tcPr>
          <w:p w14:paraId="5111BEB8"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01-016</w:t>
            </w:r>
          </w:p>
        </w:tc>
        <w:tc>
          <w:tcPr>
            <w:tcW w:w="688" w:type="pct"/>
            <w:vMerge/>
            <w:vAlign w:val="center"/>
          </w:tcPr>
          <w:p w14:paraId="30CE820B" w14:textId="77777777" w:rsidR="0062768B" w:rsidRDefault="0062768B">
            <w:pPr>
              <w:adjustRightInd/>
              <w:spacing w:line="240" w:lineRule="exact"/>
              <w:jc w:val="center"/>
              <w:rPr>
                <w:rFonts w:ascii="Arial" w:eastAsia="仿宋" w:hAnsi="Arial" w:cs="Arial"/>
                <w:sz w:val="18"/>
                <w:szCs w:val="18"/>
              </w:rPr>
            </w:pPr>
          </w:p>
        </w:tc>
        <w:tc>
          <w:tcPr>
            <w:tcW w:w="874" w:type="pct"/>
            <w:vAlign w:val="center"/>
          </w:tcPr>
          <w:p w14:paraId="7D5FBABB"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23103.85</w:t>
            </w:r>
          </w:p>
        </w:tc>
        <w:tc>
          <w:tcPr>
            <w:tcW w:w="475" w:type="pct"/>
            <w:vMerge/>
            <w:vAlign w:val="center"/>
          </w:tcPr>
          <w:p w14:paraId="5C8B96DC" w14:textId="77777777" w:rsidR="0062768B" w:rsidRDefault="0062768B">
            <w:pPr>
              <w:adjustRightInd/>
              <w:spacing w:line="240" w:lineRule="exact"/>
              <w:jc w:val="center"/>
              <w:rPr>
                <w:rFonts w:ascii="Arial" w:eastAsia="仿宋" w:hAnsi="Arial" w:cs="Arial"/>
                <w:sz w:val="18"/>
                <w:szCs w:val="18"/>
              </w:rPr>
            </w:pPr>
          </w:p>
        </w:tc>
        <w:tc>
          <w:tcPr>
            <w:tcW w:w="921" w:type="pct"/>
            <w:vAlign w:val="center"/>
          </w:tcPr>
          <w:p w14:paraId="72276ABB"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27724.62</w:t>
            </w:r>
          </w:p>
        </w:tc>
        <w:tc>
          <w:tcPr>
            <w:tcW w:w="713" w:type="pct"/>
            <w:vMerge/>
            <w:vAlign w:val="center"/>
          </w:tcPr>
          <w:p w14:paraId="6D368EF4" w14:textId="77777777" w:rsidR="0062768B" w:rsidRDefault="0062768B">
            <w:pPr>
              <w:adjustRightInd/>
              <w:spacing w:line="240" w:lineRule="exact"/>
              <w:jc w:val="center"/>
              <w:rPr>
                <w:rFonts w:ascii="Arial" w:eastAsia="仿宋" w:hAnsi="Arial" w:cs="Arial"/>
                <w:sz w:val="18"/>
                <w:szCs w:val="18"/>
              </w:rPr>
            </w:pPr>
          </w:p>
        </w:tc>
        <w:tc>
          <w:tcPr>
            <w:tcW w:w="468" w:type="pct"/>
            <w:vMerge/>
            <w:vAlign w:val="center"/>
          </w:tcPr>
          <w:p w14:paraId="61170CC4" w14:textId="77777777" w:rsidR="0062768B" w:rsidRDefault="0062768B">
            <w:pPr>
              <w:adjustRightInd/>
              <w:spacing w:line="240" w:lineRule="exact"/>
              <w:jc w:val="center"/>
              <w:rPr>
                <w:rFonts w:ascii="Arial" w:eastAsia="仿宋" w:hAnsi="Arial" w:cs="Arial"/>
                <w:sz w:val="18"/>
                <w:szCs w:val="18"/>
              </w:rPr>
            </w:pPr>
          </w:p>
        </w:tc>
      </w:tr>
      <w:tr w:rsidR="0062768B" w14:paraId="7667AFCA" w14:textId="77777777">
        <w:trPr>
          <w:cantSplit/>
          <w:jc w:val="center"/>
        </w:trPr>
        <w:tc>
          <w:tcPr>
            <w:tcW w:w="244" w:type="pct"/>
            <w:vAlign w:val="center"/>
          </w:tcPr>
          <w:p w14:paraId="74227262"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3</w:t>
            </w:r>
          </w:p>
        </w:tc>
        <w:tc>
          <w:tcPr>
            <w:tcW w:w="617" w:type="pct"/>
            <w:vAlign w:val="center"/>
          </w:tcPr>
          <w:p w14:paraId="688B2125"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01-026-1</w:t>
            </w:r>
          </w:p>
        </w:tc>
        <w:tc>
          <w:tcPr>
            <w:tcW w:w="688" w:type="pct"/>
            <w:vMerge/>
            <w:vAlign w:val="center"/>
          </w:tcPr>
          <w:p w14:paraId="3C8378E9" w14:textId="77777777" w:rsidR="0062768B" w:rsidRDefault="0062768B">
            <w:pPr>
              <w:adjustRightInd/>
              <w:spacing w:line="240" w:lineRule="exact"/>
              <w:jc w:val="center"/>
              <w:rPr>
                <w:rFonts w:ascii="Arial" w:eastAsia="仿宋" w:hAnsi="Arial" w:cs="Arial"/>
                <w:sz w:val="18"/>
                <w:szCs w:val="18"/>
              </w:rPr>
            </w:pPr>
          </w:p>
        </w:tc>
        <w:tc>
          <w:tcPr>
            <w:tcW w:w="874" w:type="pct"/>
            <w:vAlign w:val="center"/>
          </w:tcPr>
          <w:p w14:paraId="1AC24EC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8881.75</w:t>
            </w:r>
          </w:p>
        </w:tc>
        <w:tc>
          <w:tcPr>
            <w:tcW w:w="475" w:type="pct"/>
            <w:vMerge/>
            <w:vAlign w:val="center"/>
          </w:tcPr>
          <w:p w14:paraId="2B54CA63" w14:textId="77777777" w:rsidR="0062768B" w:rsidRDefault="0062768B">
            <w:pPr>
              <w:adjustRightInd/>
              <w:spacing w:line="240" w:lineRule="exact"/>
              <w:jc w:val="center"/>
              <w:rPr>
                <w:rFonts w:ascii="Arial" w:eastAsia="仿宋" w:hAnsi="Arial" w:cs="Arial"/>
                <w:sz w:val="18"/>
                <w:szCs w:val="18"/>
              </w:rPr>
            </w:pPr>
          </w:p>
        </w:tc>
        <w:tc>
          <w:tcPr>
            <w:tcW w:w="921" w:type="pct"/>
            <w:vAlign w:val="center"/>
          </w:tcPr>
          <w:p w14:paraId="6EE5043D"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10658.10</w:t>
            </w:r>
          </w:p>
        </w:tc>
        <w:tc>
          <w:tcPr>
            <w:tcW w:w="713" w:type="pct"/>
            <w:vMerge/>
            <w:vAlign w:val="center"/>
          </w:tcPr>
          <w:p w14:paraId="62E094EA" w14:textId="77777777" w:rsidR="0062768B" w:rsidRDefault="0062768B">
            <w:pPr>
              <w:adjustRightInd/>
              <w:spacing w:line="240" w:lineRule="exact"/>
              <w:jc w:val="center"/>
              <w:rPr>
                <w:rFonts w:ascii="Arial" w:eastAsia="仿宋" w:hAnsi="Arial" w:cs="Arial"/>
                <w:sz w:val="18"/>
                <w:szCs w:val="18"/>
              </w:rPr>
            </w:pPr>
          </w:p>
        </w:tc>
        <w:tc>
          <w:tcPr>
            <w:tcW w:w="468" w:type="pct"/>
            <w:vMerge/>
            <w:vAlign w:val="center"/>
          </w:tcPr>
          <w:p w14:paraId="5CBDBF7B" w14:textId="77777777" w:rsidR="0062768B" w:rsidRDefault="0062768B">
            <w:pPr>
              <w:adjustRightInd/>
              <w:spacing w:line="240" w:lineRule="exact"/>
              <w:jc w:val="center"/>
              <w:rPr>
                <w:rFonts w:ascii="Arial" w:eastAsia="仿宋" w:hAnsi="Arial" w:cs="Arial"/>
                <w:sz w:val="18"/>
                <w:szCs w:val="18"/>
              </w:rPr>
            </w:pPr>
          </w:p>
        </w:tc>
      </w:tr>
      <w:tr w:rsidR="0062768B" w14:paraId="76E4AED3" w14:textId="77777777">
        <w:trPr>
          <w:cantSplit/>
          <w:jc w:val="center"/>
        </w:trPr>
        <w:tc>
          <w:tcPr>
            <w:tcW w:w="1549" w:type="pct"/>
            <w:gridSpan w:val="3"/>
            <w:vAlign w:val="center"/>
          </w:tcPr>
          <w:p w14:paraId="02CFDDFC"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合计</w:t>
            </w:r>
          </w:p>
        </w:tc>
        <w:tc>
          <w:tcPr>
            <w:tcW w:w="874" w:type="pct"/>
            <w:vAlign w:val="center"/>
          </w:tcPr>
          <w:p w14:paraId="7B83BAED"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56790.45</w:t>
            </w:r>
          </w:p>
        </w:tc>
        <w:tc>
          <w:tcPr>
            <w:tcW w:w="475" w:type="pct"/>
            <w:vAlign w:val="center"/>
          </w:tcPr>
          <w:p w14:paraId="07A700A7"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1.2</w:t>
            </w:r>
          </w:p>
        </w:tc>
        <w:tc>
          <w:tcPr>
            <w:tcW w:w="921" w:type="pct"/>
            <w:vAlign w:val="center"/>
          </w:tcPr>
          <w:p w14:paraId="2CD0B619"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68148.54</w:t>
            </w:r>
          </w:p>
        </w:tc>
        <w:tc>
          <w:tcPr>
            <w:tcW w:w="1181" w:type="pct"/>
            <w:gridSpan w:val="2"/>
            <w:vAlign w:val="center"/>
          </w:tcPr>
          <w:p w14:paraId="5DE6B618"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w:t>
            </w:r>
          </w:p>
        </w:tc>
      </w:tr>
    </w:tbl>
    <w:p w14:paraId="3E13DB60" w14:textId="77777777" w:rsidR="0062768B" w:rsidRDefault="0062768B">
      <w:pPr>
        <w:adjustRightInd/>
        <w:spacing w:line="240" w:lineRule="exact"/>
        <w:ind w:firstLineChars="200" w:firstLine="360"/>
        <w:jc w:val="both"/>
        <w:rPr>
          <w:rFonts w:ascii="Arial" w:eastAsia="仿宋_GB2312" w:hAnsi="Arial" w:cs="Arial"/>
          <w:sz w:val="18"/>
          <w:szCs w:val="18"/>
        </w:rPr>
      </w:pPr>
    </w:p>
    <w:p w14:paraId="1AD3BC22"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rPr>
        <w:t>估价对象所在宗地实际开发程度为</w:t>
      </w:r>
      <w:proofErr w:type="gramStart"/>
      <w:r>
        <w:rPr>
          <w:rFonts w:ascii="仿宋_GB2312" w:eastAsia="仿宋_GB2312" w:hAnsi="Arial" w:hint="eastAsia"/>
          <w:sz w:val="28"/>
        </w:rPr>
        <w:t>“</w:t>
      </w:r>
      <w:proofErr w:type="gramEnd"/>
      <w:r>
        <w:rPr>
          <w:rFonts w:ascii="Arial" w:eastAsia="仿宋_GB2312" w:hAnsi="Arial" w:cs="Arial"/>
          <w:sz w:val="28"/>
        </w:rPr>
        <w:t>“</w:t>
      </w:r>
      <w:r>
        <w:rPr>
          <w:rFonts w:ascii="仿宋_GB2312" w:eastAsia="仿宋_GB2312" w:hAnsi="Arial" w:hint="eastAsia"/>
          <w:sz w:val="28"/>
        </w:rPr>
        <w:t>六通”（通路、通上水（自来水、</w:t>
      </w:r>
      <w:r>
        <w:rPr>
          <w:rFonts w:ascii="仿宋_GB2312" w:eastAsia="仿宋_GB2312" w:hAnsi="Arial" w:hint="eastAsia"/>
          <w:sz w:val="28"/>
        </w:rPr>
        <w:lastRenderedPageBreak/>
        <w:t>中水）、通下水（雨水、污水）、通电（管沟、电缆）、通燃气、通热力）</w:t>
      </w:r>
      <w:r>
        <w:rPr>
          <w:rFonts w:ascii="Arial" w:eastAsia="仿宋_GB2312" w:hAnsi="Arial" w:cs="Arial"/>
          <w:sz w:val="28"/>
          <w:szCs w:val="28"/>
        </w:rPr>
        <w:t>。</w:t>
      </w:r>
    </w:p>
    <w:p w14:paraId="47E5180D"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根据土地估价专业评估师现场勘查，估价对象周边</w:t>
      </w:r>
      <w:r>
        <w:rPr>
          <w:rFonts w:ascii="Arial" w:eastAsia="仿宋_GB2312" w:hAnsi="Arial" w:cs="Arial"/>
          <w:sz w:val="28"/>
          <w:szCs w:val="28"/>
        </w:rPr>
        <w:t>4</w:t>
      </w:r>
      <w:r>
        <w:rPr>
          <w:rFonts w:ascii="Arial" w:eastAsia="仿宋_GB2312" w:hAnsi="Arial" w:cs="Arial" w:hint="eastAsia"/>
          <w:sz w:val="28"/>
          <w:szCs w:val="28"/>
        </w:rPr>
        <w:t>公里范围内有观承望溪、富力首开·金禧璞瑅等类似物业，交房装修标准以精装修为主。因此，本次估价设定估价对象交房装修标准为精装修。</w:t>
      </w:r>
    </w:p>
    <w:p w14:paraId="3AD8914D"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（四）土地开发成本</w:t>
      </w:r>
    </w:p>
    <w:p w14:paraId="214B0400" w14:textId="25B573C9" w:rsidR="0062768B" w:rsidRDefault="00136729">
      <w:pPr>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rPr>
        <w:t>根据</w:t>
      </w:r>
      <w:r w:rsidR="00791FE1">
        <w:rPr>
          <w:rFonts w:ascii="Arial" w:eastAsia="仿宋_GB2312" w:hAnsi="Arial" w:cs="Arial" w:hint="eastAsia"/>
          <w:sz w:val="28"/>
        </w:rPr>
        <w:t>《北京市顺义区人民政府关于顺义区高丽营镇夏县营村棚户区改造土地开发项目</w:t>
      </w:r>
      <w:r w:rsidR="00791FE1">
        <w:rPr>
          <w:rFonts w:ascii="Arial" w:eastAsia="仿宋_GB2312" w:hAnsi="Arial" w:cs="Arial" w:hint="eastAsia"/>
          <w:sz w:val="28"/>
        </w:rPr>
        <w:t>01-008</w:t>
      </w:r>
      <w:r w:rsidR="00791FE1">
        <w:rPr>
          <w:rFonts w:ascii="Arial" w:eastAsia="仿宋_GB2312" w:hAnsi="Arial" w:cs="Arial" w:hint="eastAsia"/>
          <w:sz w:val="28"/>
        </w:rPr>
        <w:t>、</w:t>
      </w:r>
      <w:r w:rsidR="00791FE1">
        <w:rPr>
          <w:rFonts w:ascii="Arial" w:eastAsia="仿宋_GB2312" w:hAnsi="Arial" w:cs="Arial" w:hint="eastAsia"/>
          <w:sz w:val="28"/>
        </w:rPr>
        <w:t>01-016</w:t>
      </w:r>
      <w:r w:rsidR="00791FE1">
        <w:rPr>
          <w:rFonts w:ascii="Arial" w:eastAsia="仿宋_GB2312" w:hAnsi="Arial" w:cs="Arial" w:hint="eastAsia"/>
          <w:sz w:val="28"/>
        </w:rPr>
        <w:t>、</w:t>
      </w:r>
      <w:r w:rsidR="00791FE1">
        <w:rPr>
          <w:rFonts w:ascii="Arial" w:eastAsia="仿宋_GB2312" w:hAnsi="Arial" w:cs="Arial" w:hint="eastAsia"/>
          <w:sz w:val="28"/>
        </w:rPr>
        <w:t>01-026-1</w:t>
      </w:r>
      <w:r w:rsidR="00791FE1">
        <w:rPr>
          <w:rFonts w:ascii="Arial" w:eastAsia="仿宋_GB2312" w:hAnsi="Arial" w:cs="Arial" w:hint="eastAsia"/>
          <w:sz w:val="28"/>
        </w:rPr>
        <w:t>、</w:t>
      </w:r>
      <w:r w:rsidR="00791FE1">
        <w:rPr>
          <w:rFonts w:ascii="Arial" w:eastAsia="仿宋_GB2312" w:hAnsi="Arial" w:cs="Arial" w:hint="eastAsia"/>
          <w:sz w:val="28"/>
        </w:rPr>
        <w:t>01-020</w:t>
      </w:r>
      <w:r w:rsidR="00791FE1">
        <w:rPr>
          <w:rFonts w:ascii="Arial" w:eastAsia="仿宋_GB2312" w:hAnsi="Arial" w:cs="Arial" w:hint="eastAsia"/>
          <w:sz w:val="28"/>
        </w:rPr>
        <w:t>地块提请地价审核有关事宜的函》（</w:t>
      </w:r>
      <w:proofErr w:type="gramStart"/>
      <w:r w:rsidR="00791FE1">
        <w:rPr>
          <w:rFonts w:ascii="Arial" w:eastAsia="仿宋_GB2312" w:hAnsi="Arial" w:cs="Arial" w:hint="eastAsia"/>
          <w:sz w:val="28"/>
        </w:rPr>
        <w:t>顺政函</w:t>
      </w:r>
      <w:proofErr w:type="gramEnd"/>
      <w:r w:rsidR="00791FE1">
        <w:rPr>
          <w:rFonts w:ascii="Arial" w:eastAsia="仿宋_GB2312" w:hAnsi="Arial" w:cs="Arial" w:hint="eastAsia"/>
          <w:sz w:val="28"/>
        </w:rPr>
        <w:t>【</w:t>
      </w:r>
      <w:r w:rsidR="00791FE1">
        <w:rPr>
          <w:rFonts w:ascii="Arial" w:eastAsia="仿宋_GB2312" w:hAnsi="Arial" w:cs="Arial" w:hint="eastAsia"/>
          <w:sz w:val="28"/>
        </w:rPr>
        <w:t>2023</w:t>
      </w:r>
      <w:r w:rsidR="00791FE1">
        <w:rPr>
          <w:rFonts w:ascii="Arial" w:eastAsia="仿宋_GB2312" w:hAnsi="Arial" w:cs="Arial" w:hint="eastAsia"/>
          <w:sz w:val="28"/>
        </w:rPr>
        <w:t>】</w:t>
      </w:r>
      <w:r w:rsidR="00791FE1">
        <w:rPr>
          <w:rFonts w:ascii="Arial" w:eastAsia="仿宋_GB2312" w:hAnsi="Arial" w:cs="Arial" w:hint="eastAsia"/>
          <w:sz w:val="28"/>
        </w:rPr>
        <w:t>151</w:t>
      </w:r>
      <w:r w:rsidR="00791FE1">
        <w:rPr>
          <w:rFonts w:ascii="Arial" w:eastAsia="仿宋_GB2312" w:hAnsi="Arial" w:cs="Arial" w:hint="eastAsia"/>
          <w:sz w:val="28"/>
        </w:rPr>
        <w:t>号）</w:t>
      </w:r>
      <w:r>
        <w:rPr>
          <w:rFonts w:ascii="Arial" w:eastAsia="仿宋_GB2312" w:hAnsi="Arial" w:cs="Arial" w:hint="eastAsia"/>
          <w:sz w:val="28"/>
        </w:rPr>
        <w:t>复印件，估价对象供地条件为宗地外</w:t>
      </w:r>
      <w:r>
        <w:rPr>
          <w:rFonts w:ascii="Arial" w:eastAsia="仿宋_GB2312" w:hAnsi="Arial" w:cs="Arial"/>
          <w:sz w:val="28"/>
        </w:rPr>
        <w:t>“</w:t>
      </w:r>
      <w:r>
        <w:rPr>
          <w:rFonts w:ascii="Arial" w:eastAsia="仿宋_GB2312" w:hAnsi="Arial" w:cs="Arial"/>
          <w:sz w:val="28"/>
        </w:rPr>
        <w:t>六通</w:t>
      </w:r>
      <w:r>
        <w:rPr>
          <w:rFonts w:ascii="Arial" w:eastAsia="仿宋_GB2312" w:hAnsi="Arial" w:cs="Arial"/>
          <w:sz w:val="28"/>
        </w:rPr>
        <w:t>”</w:t>
      </w:r>
      <w:r w:rsidR="00835791">
        <w:rPr>
          <w:rFonts w:ascii="Arial" w:eastAsia="仿宋_GB2312" w:hAnsi="Arial" w:cs="Arial"/>
          <w:sz w:val="28"/>
        </w:rPr>
        <w:t>（通路、通上水（自来水、中水）、通下水（雨水、污水）、通电、通燃气、通热力）</w:t>
      </w:r>
      <w:r>
        <w:rPr>
          <w:rFonts w:ascii="仿宋_GB2312" w:eastAsia="仿宋_GB2312" w:hAnsi="Arial" w:hint="eastAsia"/>
          <w:sz w:val="28"/>
        </w:rPr>
        <w:t>、宗地红线内场地平整</w:t>
      </w:r>
      <w:r>
        <w:rPr>
          <w:rFonts w:ascii="Arial" w:eastAsia="仿宋_GB2312" w:hAnsi="Arial" w:cs="Arial" w:hint="eastAsia"/>
          <w:sz w:val="28"/>
        </w:rPr>
        <w:t>，土地开发成本为</w:t>
      </w:r>
      <w:r w:rsidR="00550FB0">
        <w:rPr>
          <w:rFonts w:ascii="Arial" w:eastAsia="仿宋_GB2312" w:hAnsi="Arial" w:cs="Arial" w:hint="eastAsia"/>
          <w:sz w:val="28"/>
        </w:rPr>
        <w:t>78853.6400</w:t>
      </w:r>
      <w:r>
        <w:rPr>
          <w:rFonts w:ascii="Arial" w:eastAsia="仿宋_GB2312" w:hAnsi="Arial" w:cs="Arial" w:hint="eastAsia"/>
          <w:sz w:val="28"/>
        </w:rPr>
        <w:t>万元。</w:t>
      </w:r>
    </w:p>
    <w:p w14:paraId="55E54359" w14:textId="77777777" w:rsidR="0062768B" w:rsidRDefault="0062768B"/>
    <w:p w14:paraId="575594E2" w14:textId="77777777" w:rsidR="0062768B" w:rsidRDefault="00136729">
      <w:pPr>
        <w:spacing w:line="300" w:lineRule="auto"/>
        <w:outlineLvl w:val="1"/>
        <w:rPr>
          <w:rFonts w:ascii="Arial" w:eastAsia="仿宋_GB2312" w:hAnsi="Arial" w:cs="Arial"/>
          <w:b/>
          <w:sz w:val="28"/>
        </w:rPr>
      </w:pPr>
      <w:bookmarkStart w:id="331" w:name="_Toc132016754"/>
      <w:bookmarkStart w:id="332" w:name="_Toc132016637"/>
      <w:bookmarkStart w:id="333" w:name="_Toc138063025"/>
      <w:r>
        <w:rPr>
          <w:rFonts w:ascii="Arial" w:eastAsia="仿宋_GB2312" w:hAnsi="Arial" w:cs="Arial"/>
          <w:b/>
          <w:sz w:val="28"/>
        </w:rPr>
        <w:t>二、地价影响因素分析</w:t>
      </w:r>
      <w:bookmarkEnd w:id="326"/>
      <w:bookmarkEnd w:id="327"/>
      <w:bookmarkEnd w:id="328"/>
      <w:bookmarkEnd w:id="329"/>
      <w:bookmarkEnd w:id="330"/>
      <w:bookmarkEnd w:id="331"/>
      <w:bookmarkEnd w:id="332"/>
      <w:bookmarkEnd w:id="333"/>
    </w:p>
    <w:p w14:paraId="093D7CFE" w14:textId="77777777" w:rsidR="0062768B" w:rsidRDefault="00136729">
      <w:pPr>
        <w:adjustRightInd/>
        <w:spacing w:line="300" w:lineRule="auto"/>
        <w:jc w:val="both"/>
        <w:rPr>
          <w:rFonts w:ascii="仿宋_GB2312" w:eastAsia="仿宋_GB2312" w:hAnsi="Arial"/>
          <w:sz w:val="28"/>
        </w:rPr>
      </w:pPr>
      <w:bookmarkStart w:id="334" w:name="_Toc416783599"/>
      <w:bookmarkStart w:id="335" w:name="_Toc416783695"/>
      <w:bookmarkStart w:id="336" w:name="_Toc469066168"/>
      <w:bookmarkStart w:id="337" w:name="_Toc515457822"/>
      <w:bookmarkStart w:id="338" w:name="_Toc516488204"/>
      <w:bookmarkStart w:id="339" w:name="_Toc132016638"/>
      <w:bookmarkStart w:id="340" w:name="_Toc132016755"/>
      <w:r>
        <w:rPr>
          <w:rFonts w:ascii="仿宋_GB2312" w:eastAsia="仿宋_GB2312" w:hAnsi="Arial" w:hint="eastAsia"/>
          <w:sz w:val="28"/>
        </w:rPr>
        <w:t>（一）一般因素</w:t>
      </w:r>
    </w:p>
    <w:p w14:paraId="16F0DC6A" w14:textId="77777777" w:rsidR="0062768B" w:rsidRDefault="00136729">
      <w:pPr>
        <w:adjustRightInd/>
        <w:spacing w:line="300" w:lineRule="auto"/>
        <w:ind w:firstLineChars="200" w:firstLine="560"/>
        <w:jc w:val="both"/>
        <w:rPr>
          <w:rFonts w:ascii="仿宋_GB2312" w:eastAsia="仿宋_GB2312"/>
          <w:bCs/>
          <w:sz w:val="28"/>
          <w:szCs w:val="28"/>
        </w:rPr>
      </w:pPr>
      <w:r>
        <w:rPr>
          <w:rFonts w:ascii="Arial" w:eastAsia="仿宋_GB2312" w:hAnsi="Arial" w:hint="eastAsia"/>
          <w:bCs/>
          <w:sz w:val="28"/>
          <w:szCs w:val="28"/>
        </w:rPr>
        <w:t>1</w:t>
      </w:r>
      <w:r>
        <w:rPr>
          <w:rFonts w:ascii="仿宋_GB2312" w:eastAsia="仿宋_GB2312" w:hint="eastAsia"/>
          <w:bCs/>
          <w:sz w:val="28"/>
          <w:szCs w:val="28"/>
        </w:rPr>
        <w:t>.城市资源状况</w:t>
      </w:r>
    </w:p>
    <w:p w14:paraId="31449491" w14:textId="77777777" w:rsidR="0062768B" w:rsidRDefault="00136729">
      <w:pPr>
        <w:adjustRightInd/>
        <w:spacing w:line="300" w:lineRule="auto"/>
        <w:ind w:firstLineChars="200" w:firstLine="560"/>
        <w:jc w:val="both"/>
        <w:outlineLvl w:val="0"/>
        <w:rPr>
          <w:rFonts w:ascii="Arial" w:eastAsia="仿宋_GB2312" w:hAnsi="Arial"/>
          <w:bCs/>
          <w:sz w:val="28"/>
          <w:szCs w:val="28"/>
        </w:rPr>
      </w:pPr>
      <w:r>
        <w:rPr>
          <w:rFonts w:ascii="Arial" w:eastAsia="仿宋_GB2312" w:hAnsi="Arial" w:hint="eastAsia"/>
          <w:bCs/>
          <w:sz w:val="28"/>
          <w:szCs w:val="28"/>
        </w:rPr>
        <w:t>北京市位于北纬</w:t>
      </w:r>
      <w:r>
        <w:rPr>
          <w:rFonts w:ascii="Arial" w:eastAsia="仿宋_GB2312" w:hAnsi="Arial" w:hint="eastAsia"/>
          <w:bCs/>
          <w:sz w:val="28"/>
          <w:szCs w:val="28"/>
        </w:rPr>
        <w:t>39</w:t>
      </w:r>
      <w:r>
        <w:rPr>
          <w:rFonts w:ascii="Arial" w:eastAsia="仿宋_GB2312" w:hAnsi="Arial" w:hint="eastAsia"/>
          <w:bCs/>
          <w:sz w:val="28"/>
          <w:szCs w:val="28"/>
        </w:rPr>
        <w:t>度</w:t>
      </w:r>
      <w:r>
        <w:rPr>
          <w:rFonts w:ascii="Arial" w:eastAsia="仿宋_GB2312" w:hAnsi="Arial" w:hint="eastAsia"/>
          <w:bCs/>
          <w:sz w:val="28"/>
          <w:szCs w:val="28"/>
        </w:rPr>
        <w:t>56</w:t>
      </w:r>
      <w:r>
        <w:rPr>
          <w:rFonts w:ascii="Arial" w:eastAsia="仿宋_GB2312" w:hAnsi="Arial" w:hint="eastAsia"/>
          <w:bCs/>
          <w:sz w:val="28"/>
          <w:szCs w:val="28"/>
        </w:rPr>
        <w:t>分，东经</w:t>
      </w:r>
      <w:r>
        <w:rPr>
          <w:rFonts w:ascii="Arial" w:eastAsia="仿宋_GB2312" w:hAnsi="Arial" w:hint="eastAsia"/>
          <w:bCs/>
          <w:sz w:val="28"/>
          <w:szCs w:val="28"/>
        </w:rPr>
        <w:t>116</w:t>
      </w:r>
      <w:r>
        <w:rPr>
          <w:rFonts w:ascii="Arial" w:eastAsia="仿宋_GB2312" w:hAnsi="Arial" w:hint="eastAsia"/>
          <w:bCs/>
          <w:sz w:val="28"/>
          <w:szCs w:val="28"/>
        </w:rPr>
        <w:t>度</w:t>
      </w:r>
      <w:r>
        <w:rPr>
          <w:rFonts w:ascii="Arial" w:eastAsia="仿宋_GB2312" w:hAnsi="Arial" w:hint="eastAsia"/>
          <w:bCs/>
          <w:sz w:val="28"/>
          <w:szCs w:val="28"/>
        </w:rPr>
        <w:t>20</w:t>
      </w:r>
      <w:r>
        <w:rPr>
          <w:rFonts w:ascii="Arial" w:eastAsia="仿宋_GB2312" w:hAnsi="Arial" w:hint="eastAsia"/>
          <w:bCs/>
          <w:sz w:val="28"/>
          <w:szCs w:val="28"/>
        </w:rPr>
        <w:t>分，地处华北大平原的北部，北京市土地面积</w:t>
      </w:r>
      <w:r>
        <w:rPr>
          <w:rFonts w:ascii="Arial" w:eastAsia="仿宋_GB2312" w:hAnsi="Arial" w:hint="eastAsia"/>
          <w:bCs/>
          <w:sz w:val="28"/>
          <w:szCs w:val="28"/>
        </w:rPr>
        <w:t>16410.54</w:t>
      </w:r>
      <w:r>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Pr>
          <w:rFonts w:ascii="Arial" w:eastAsia="仿宋_GB2312" w:hAnsi="Arial" w:hint="eastAsia"/>
          <w:bCs/>
          <w:sz w:val="28"/>
          <w:szCs w:val="28"/>
        </w:rPr>
        <w:t>16</w:t>
      </w:r>
      <w:r>
        <w:rPr>
          <w:rFonts w:ascii="Arial" w:eastAsia="仿宋_GB2312" w:hAnsi="Arial" w:hint="eastAsia"/>
          <w:bCs/>
          <w:sz w:val="28"/>
          <w:szCs w:val="28"/>
        </w:rPr>
        <w:t>区格局，即东城、西城、海淀、朝阳、丰台、顺义、昌平、通州、门头沟、石景山、房山、大兴、怀柔、平谷、密云、延庆。</w:t>
      </w:r>
    </w:p>
    <w:p w14:paraId="2F045226" w14:textId="77777777" w:rsidR="0062768B" w:rsidRDefault="00136729">
      <w:pPr>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截至</w:t>
      </w:r>
      <w:r>
        <w:rPr>
          <w:rFonts w:ascii="Arial" w:eastAsia="仿宋_GB2312" w:hAnsi="Arial" w:cs="Arial"/>
          <w:bCs/>
          <w:sz w:val="28"/>
          <w:szCs w:val="28"/>
        </w:rPr>
        <w:t>2022</w:t>
      </w:r>
      <w:r>
        <w:rPr>
          <w:rFonts w:ascii="Arial" w:eastAsia="仿宋_GB2312" w:hAnsi="Arial" w:cs="Arial" w:hint="eastAsia"/>
          <w:bCs/>
          <w:sz w:val="28"/>
          <w:szCs w:val="28"/>
        </w:rPr>
        <w:t>年年末，北京市常住人口为</w:t>
      </w:r>
      <w:r>
        <w:rPr>
          <w:rFonts w:ascii="Arial" w:eastAsia="仿宋_GB2312" w:hAnsi="Arial" w:cs="Arial"/>
          <w:bCs/>
          <w:sz w:val="28"/>
          <w:szCs w:val="28"/>
        </w:rPr>
        <w:t>2184.3</w:t>
      </w:r>
      <w:r>
        <w:rPr>
          <w:rFonts w:ascii="Arial" w:eastAsia="仿宋_GB2312" w:hAnsi="Arial" w:cs="Arial" w:hint="eastAsia"/>
          <w:bCs/>
          <w:sz w:val="28"/>
          <w:szCs w:val="28"/>
        </w:rPr>
        <w:t>万人，从年龄构成看，</w:t>
      </w:r>
      <w:r>
        <w:rPr>
          <w:rFonts w:ascii="Arial" w:eastAsia="仿宋_GB2312" w:hAnsi="Arial" w:cs="Arial"/>
          <w:bCs/>
          <w:sz w:val="28"/>
          <w:szCs w:val="28"/>
        </w:rPr>
        <w:t>0-14</w:t>
      </w:r>
      <w:r>
        <w:rPr>
          <w:rFonts w:ascii="Arial" w:eastAsia="仿宋_GB2312" w:hAnsi="Arial" w:cs="Arial" w:hint="eastAsia"/>
          <w:bCs/>
          <w:sz w:val="28"/>
          <w:szCs w:val="28"/>
        </w:rPr>
        <w:t>岁常住人口</w:t>
      </w:r>
      <w:r>
        <w:rPr>
          <w:rFonts w:ascii="Arial" w:eastAsia="仿宋_GB2312" w:hAnsi="Arial" w:cs="Arial"/>
          <w:bCs/>
          <w:sz w:val="28"/>
          <w:szCs w:val="28"/>
        </w:rPr>
        <w:t>264</w:t>
      </w:r>
      <w:r>
        <w:rPr>
          <w:rFonts w:ascii="Arial" w:eastAsia="仿宋_GB2312" w:hAnsi="Arial" w:cs="Arial" w:hint="eastAsia"/>
          <w:bCs/>
          <w:sz w:val="28"/>
          <w:szCs w:val="28"/>
        </w:rPr>
        <w:t>万人，占全市常住人口的比重为</w:t>
      </w:r>
      <w:r>
        <w:rPr>
          <w:rFonts w:ascii="Arial" w:eastAsia="仿宋_GB2312" w:hAnsi="Arial" w:cs="Arial"/>
          <w:bCs/>
          <w:sz w:val="28"/>
          <w:szCs w:val="28"/>
        </w:rPr>
        <w:t>12.1%</w:t>
      </w:r>
      <w:r>
        <w:rPr>
          <w:rFonts w:ascii="Arial" w:eastAsia="仿宋_GB2312" w:hAnsi="Arial" w:cs="Arial" w:hint="eastAsia"/>
          <w:bCs/>
          <w:sz w:val="28"/>
          <w:szCs w:val="28"/>
        </w:rPr>
        <w:t>；</w:t>
      </w:r>
      <w:r>
        <w:rPr>
          <w:rFonts w:ascii="Arial" w:eastAsia="仿宋_GB2312" w:hAnsi="Arial" w:cs="Arial"/>
          <w:bCs/>
          <w:sz w:val="28"/>
          <w:szCs w:val="28"/>
        </w:rPr>
        <w:t>15-59</w:t>
      </w:r>
      <w:r>
        <w:rPr>
          <w:rFonts w:ascii="Arial" w:eastAsia="仿宋_GB2312" w:hAnsi="Arial" w:cs="Arial" w:hint="eastAsia"/>
          <w:bCs/>
          <w:sz w:val="28"/>
          <w:szCs w:val="28"/>
        </w:rPr>
        <w:t>岁常住人口</w:t>
      </w:r>
      <w:r>
        <w:rPr>
          <w:rFonts w:ascii="Arial" w:eastAsia="仿宋_GB2312" w:hAnsi="Arial" w:cs="Arial"/>
          <w:bCs/>
          <w:sz w:val="28"/>
          <w:szCs w:val="28"/>
        </w:rPr>
        <w:t>1455.2</w:t>
      </w:r>
      <w:r>
        <w:rPr>
          <w:rFonts w:ascii="Arial" w:eastAsia="仿宋_GB2312" w:hAnsi="Arial" w:cs="Arial" w:hint="eastAsia"/>
          <w:bCs/>
          <w:sz w:val="28"/>
          <w:szCs w:val="28"/>
        </w:rPr>
        <w:t>万人，占</w:t>
      </w:r>
      <w:r>
        <w:rPr>
          <w:rFonts w:ascii="Arial" w:eastAsia="仿宋_GB2312" w:hAnsi="Arial" w:cs="Arial"/>
          <w:bCs/>
          <w:sz w:val="28"/>
          <w:szCs w:val="28"/>
        </w:rPr>
        <w:t>66.6%</w:t>
      </w:r>
      <w:r>
        <w:rPr>
          <w:rFonts w:ascii="Arial" w:eastAsia="仿宋_GB2312" w:hAnsi="Arial" w:cs="Arial" w:hint="eastAsia"/>
          <w:bCs/>
          <w:sz w:val="28"/>
          <w:szCs w:val="28"/>
        </w:rPr>
        <w:t>；</w:t>
      </w:r>
      <w:r>
        <w:rPr>
          <w:rFonts w:ascii="Arial" w:eastAsia="仿宋_GB2312" w:hAnsi="Arial" w:cs="Arial"/>
          <w:bCs/>
          <w:sz w:val="28"/>
          <w:szCs w:val="28"/>
        </w:rPr>
        <w:t>60</w:t>
      </w:r>
      <w:r>
        <w:rPr>
          <w:rFonts w:ascii="Arial" w:eastAsia="仿宋_GB2312" w:hAnsi="Arial" w:cs="Arial" w:hint="eastAsia"/>
          <w:bCs/>
          <w:sz w:val="28"/>
          <w:szCs w:val="28"/>
        </w:rPr>
        <w:t>岁及以上常住人口</w:t>
      </w:r>
      <w:r>
        <w:rPr>
          <w:rFonts w:ascii="Arial" w:eastAsia="仿宋_GB2312" w:hAnsi="Arial" w:cs="Arial"/>
          <w:bCs/>
          <w:sz w:val="28"/>
          <w:szCs w:val="28"/>
        </w:rPr>
        <w:t>465.1</w:t>
      </w:r>
      <w:r>
        <w:rPr>
          <w:rFonts w:ascii="Arial" w:eastAsia="仿宋_GB2312" w:hAnsi="Arial" w:cs="Arial" w:hint="eastAsia"/>
          <w:bCs/>
          <w:sz w:val="28"/>
          <w:szCs w:val="28"/>
        </w:rPr>
        <w:t>万人，占</w:t>
      </w:r>
      <w:r>
        <w:rPr>
          <w:rFonts w:ascii="Arial" w:eastAsia="仿宋_GB2312" w:hAnsi="Arial" w:cs="Arial"/>
          <w:bCs/>
          <w:sz w:val="28"/>
          <w:szCs w:val="28"/>
        </w:rPr>
        <w:t>21.3%</w:t>
      </w:r>
      <w:r>
        <w:rPr>
          <w:rFonts w:ascii="Arial" w:eastAsia="仿宋_GB2312" w:hAnsi="Arial" w:cs="Arial" w:hint="eastAsia"/>
          <w:bCs/>
          <w:sz w:val="28"/>
          <w:szCs w:val="28"/>
        </w:rPr>
        <w:t>。</w:t>
      </w:r>
    </w:p>
    <w:p w14:paraId="53D03C9E" w14:textId="77777777" w:rsidR="0062768B" w:rsidRDefault="0062768B">
      <w:pPr>
        <w:overflowPunct w:val="0"/>
        <w:spacing w:line="360" w:lineRule="auto"/>
        <w:jc w:val="center"/>
        <w:rPr>
          <w:rFonts w:ascii="Arial" w:eastAsia="仿宋_GB2312" w:hAnsi="Arial"/>
          <w:b/>
          <w:bCs/>
          <w:szCs w:val="24"/>
        </w:rPr>
      </w:pPr>
    </w:p>
    <w:p w14:paraId="76B257CE" w14:textId="77777777" w:rsidR="0062768B" w:rsidRDefault="0062768B">
      <w:pPr>
        <w:overflowPunct w:val="0"/>
        <w:spacing w:line="360" w:lineRule="auto"/>
        <w:jc w:val="center"/>
        <w:rPr>
          <w:rFonts w:ascii="Arial" w:eastAsia="仿宋_GB2312" w:hAnsi="Arial"/>
          <w:b/>
          <w:bCs/>
          <w:szCs w:val="24"/>
        </w:rPr>
      </w:pPr>
    </w:p>
    <w:p w14:paraId="32DF74F2" w14:textId="77777777" w:rsidR="0062768B" w:rsidRDefault="0062768B">
      <w:pPr>
        <w:overflowPunct w:val="0"/>
        <w:spacing w:line="360" w:lineRule="auto"/>
        <w:jc w:val="center"/>
        <w:rPr>
          <w:rFonts w:ascii="Arial" w:eastAsia="仿宋_GB2312" w:hAnsi="Arial"/>
          <w:b/>
          <w:bCs/>
          <w:szCs w:val="24"/>
        </w:rPr>
      </w:pPr>
    </w:p>
    <w:p w14:paraId="41962C2D" w14:textId="77777777" w:rsidR="0062768B" w:rsidRDefault="0062768B">
      <w:pPr>
        <w:overflowPunct w:val="0"/>
        <w:spacing w:line="360" w:lineRule="auto"/>
        <w:jc w:val="center"/>
        <w:rPr>
          <w:rFonts w:ascii="Arial" w:eastAsia="仿宋_GB2312" w:hAnsi="Arial"/>
          <w:b/>
          <w:bCs/>
          <w:szCs w:val="24"/>
        </w:rPr>
      </w:pPr>
    </w:p>
    <w:p w14:paraId="39298008" w14:textId="77777777" w:rsidR="0062768B" w:rsidRDefault="0062768B">
      <w:pPr>
        <w:overflowPunct w:val="0"/>
        <w:spacing w:line="360" w:lineRule="auto"/>
        <w:jc w:val="center"/>
        <w:rPr>
          <w:rFonts w:ascii="Arial" w:eastAsia="仿宋_GB2312" w:hAnsi="Arial"/>
          <w:b/>
          <w:bCs/>
          <w:szCs w:val="24"/>
        </w:rPr>
      </w:pPr>
    </w:p>
    <w:p w14:paraId="26D9179D" w14:textId="77777777" w:rsidR="0062768B" w:rsidRDefault="00136729">
      <w:pPr>
        <w:overflowPunct w:val="0"/>
        <w:spacing w:line="360" w:lineRule="auto"/>
        <w:jc w:val="center"/>
        <w:rPr>
          <w:rFonts w:ascii="Arial" w:eastAsia="仿宋_GB2312" w:hAnsi="Arial"/>
          <w:b/>
          <w:bCs/>
          <w:szCs w:val="24"/>
        </w:rPr>
      </w:pPr>
      <w:r>
        <w:rPr>
          <w:rFonts w:ascii="Arial" w:eastAsia="仿宋_GB2312" w:hAnsi="Arial"/>
          <w:b/>
          <w:bCs/>
          <w:szCs w:val="24"/>
        </w:rPr>
        <w:t>2018-2022</w:t>
      </w:r>
      <w:r>
        <w:rPr>
          <w:rFonts w:ascii="Arial" w:eastAsia="仿宋_GB2312" w:hAnsi="Arial" w:hint="eastAsia"/>
          <w:b/>
          <w:bCs/>
          <w:szCs w:val="24"/>
        </w:rPr>
        <w:t>年常住人口增量及增长速度</w:t>
      </w:r>
    </w:p>
    <w:p w14:paraId="716B9762" w14:textId="77777777" w:rsidR="0062768B" w:rsidRDefault="00136729">
      <w:pPr>
        <w:widowControl/>
        <w:adjustRightInd/>
        <w:spacing w:line="375" w:lineRule="atLeast"/>
        <w:jc w:val="center"/>
        <w:textAlignment w:val="auto"/>
        <w:rPr>
          <w:rFonts w:ascii="宋体" w:hAnsi="宋体" w:cs="宋体"/>
          <w:sz w:val="21"/>
          <w:szCs w:val="21"/>
        </w:rPr>
      </w:pPr>
      <w:r>
        <w:rPr>
          <w:noProof/>
        </w:rPr>
        <w:lastRenderedPageBreak/>
        <w:drawing>
          <wp:inline distT="0" distB="0" distL="0" distR="0" wp14:anchorId="2E1871C5" wp14:editId="7AD14C7C">
            <wp:extent cx="5911850" cy="2541270"/>
            <wp:effectExtent l="0" t="0" r="12700" b="11430"/>
            <wp:docPr id="73" name="图表 1"/>
            <wp:cNvGraphicFramePr/>
            <a:graphic xmlns:a="http://schemas.openxmlformats.org/drawingml/2006/main">
              <a:graphicData uri="http://schemas.openxmlformats.org/drawingml/2006/picture">
                <pic:pic xmlns:pic="http://schemas.openxmlformats.org/drawingml/2006/picture">
                  <pic:nvPicPr>
                    <pic:cNvPr id="73" name="图表 1"/>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11850" cy="2541270"/>
                    </a:xfrm>
                    <a:prstGeom prst="rect">
                      <a:avLst/>
                    </a:prstGeom>
                    <a:noFill/>
                    <a:ln>
                      <a:noFill/>
                    </a:ln>
                  </pic:spPr>
                </pic:pic>
              </a:graphicData>
            </a:graphic>
          </wp:inline>
        </w:drawing>
      </w:r>
    </w:p>
    <w:p w14:paraId="479B7107" w14:textId="77777777" w:rsidR="0062768B" w:rsidRDefault="0062768B">
      <w:pPr>
        <w:adjustRightInd/>
        <w:spacing w:line="300" w:lineRule="auto"/>
        <w:ind w:firstLineChars="200" w:firstLine="560"/>
        <w:jc w:val="both"/>
        <w:rPr>
          <w:rFonts w:ascii="Arial" w:eastAsia="仿宋_GB2312" w:hAnsi="Arial" w:cs="Arial"/>
          <w:bCs/>
          <w:sz w:val="28"/>
          <w:szCs w:val="28"/>
        </w:rPr>
      </w:pPr>
    </w:p>
    <w:p w14:paraId="314BFF12" w14:textId="77777777" w:rsidR="0062768B" w:rsidRDefault="00136729">
      <w:pPr>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2.</w:t>
      </w:r>
      <w:r>
        <w:rPr>
          <w:rFonts w:ascii="Arial" w:eastAsia="仿宋_GB2312" w:hAnsi="Arial" w:cs="Arial"/>
          <w:bCs/>
          <w:sz w:val="28"/>
          <w:szCs w:val="28"/>
        </w:rPr>
        <w:t>房地产市场状况</w:t>
      </w:r>
      <w:r>
        <w:rPr>
          <w:rFonts w:ascii="Arial" w:eastAsia="仿宋_GB2312" w:hAnsi="Arial" w:cs="Arial" w:hint="eastAsia"/>
          <w:bCs/>
          <w:sz w:val="28"/>
          <w:szCs w:val="28"/>
        </w:rPr>
        <w:t>（住宅）</w:t>
      </w:r>
    </w:p>
    <w:p w14:paraId="4B853419"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bCs/>
          <w:sz w:val="28"/>
          <w:szCs w:val="28"/>
        </w:rPr>
        <w:t>（</w:t>
      </w:r>
      <w:r>
        <w:rPr>
          <w:rFonts w:ascii="Arial" w:eastAsia="仿宋_GB2312" w:hAnsi="Arial" w:cs="Arial"/>
          <w:bCs/>
          <w:sz w:val="28"/>
          <w:szCs w:val="28"/>
        </w:rPr>
        <w:t>1</w:t>
      </w:r>
      <w:r>
        <w:rPr>
          <w:rFonts w:ascii="Arial" w:eastAsia="仿宋_GB2312" w:hAnsi="Arial" w:cs="Arial"/>
          <w:bCs/>
          <w:sz w:val="28"/>
          <w:szCs w:val="28"/>
        </w:rPr>
        <w:t>）土地市场</w:t>
      </w:r>
    </w:p>
    <w:p w14:paraId="502C85C3" w14:textId="77777777" w:rsidR="0062768B" w:rsidRDefault="00136729">
      <w:pPr>
        <w:widowControl/>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）土地供求情况</w:t>
      </w:r>
    </w:p>
    <w:p w14:paraId="57146C25" w14:textId="77777777" w:rsidR="0062768B" w:rsidRDefault="00136729">
      <w:pPr>
        <w:widowControl/>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年北京集中供地制度继续优化完善，定期发布</w:t>
      </w:r>
      <w:proofErr w:type="gramStart"/>
      <w:r>
        <w:rPr>
          <w:rFonts w:ascii="Arial" w:eastAsia="仿宋_GB2312" w:hAnsi="Arial" w:hint="eastAsia"/>
          <w:bCs/>
          <w:sz w:val="28"/>
          <w:szCs w:val="28"/>
        </w:rPr>
        <w:t>拟供应</w:t>
      </w:r>
      <w:proofErr w:type="gramEnd"/>
      <w:r>
        <w:rPr>
          <w:rFonts w:ascii="Arial" w:eastAsia="仿宋_GB2312" w:hAnsi="Arial" w:hint="eastAsia"/>
          <w:bCs/>
          <w:sz w:val="28"/>
          <w:szCs w:val="28"/>
        </w:rPr>
        <w:t>商品住宅用地清单，采取“多频少量”的方式推进清单地块出让，以常态化的方式保持供地节奏。一季度，北京宅地整体供求节奏较慢，且受去年集中供地节奏影响，用球规模同比均大幅回落。从供应端来看，</w:t>
      </w:r>
      <w:r>
        <w:rPr>
          <w:rFonts w:ascii="Arial" w:eastAsia="仿宋_GB2312" w:hAnsi="Arial" w:hint="eastAsia"/>
          <w:bCs/>
          <w:sz w:val="28"/>
          <w:szCs w:val="28"/>
        </w:rPr>
        <w:t>2023</w:t>
      </w:r>
      <w:r>
        <w:rPr>
          <w:rFonts w:ascii="Arial" w:eastAsia="仿宋_GB2312" w:hAnsi="Arial" w:hint="eastAsia"/>
          <w:bCs/>
          <w:sz w:val="28"/>
          <w:szCs w:val="28"/>
        </w:rPr>
        <w:t>年一季度北京商品住宅用地共推出</w:t>
      </w:r>
      <w:r>
        <w:rPr>
          <w:rFonts w:ascii="Arial" w:eastAsia="仿宋_GB2312" w:hAnsi="Arial" w:hint="eastAsia"/>
          <w:bCs/>
          <w:sz w:val="28"/>
          <w:szCs w:val="28"/>
        </w:rPr>
        <w:t>6</w:t>
      </w:r>
      <w:r>
        <w:rPr>
          <w:rFonts w:ascii="Arial" w:eastAsia="仿宋_GB2312" w:hAnsi="Arial" w:hint="eastAsia"/>
          <w:bCs/>
          <w:sz w:val="28"/>
          <w:szCs w:val="28"/>
        </w:rPr>
        <w:t>宗，累计供应</w:t>
      </w:r>
      <w:proofErr w:type="gramStart"/>
      <w:r>
        <w:rPr>
          <w:rFonts w:ascii="Arial" w:eastAsia="仿宋_GB2312" w:hAnsi="Arial" w:hint="eastAsia"/>
          <w:bCs/>
          <w:sz w:val="28"/>
          <w:szCs w:val="28"/>
        </w:rPr>
        <w:t>规划建面</w:t>
      </w:r>
      <w:proofErr w:type="gramEnd"/>
      <w:r>
        <w:rPr>
          <w:rFonts w:ascii="Arial" w:eastAsia="仿宋_GB2312" w:hAnsi="Arial" w:hint="eastAsia"/>
          <w:bCs/>
          <w:sz w:val="28"/>
          <w:szCs w:val="28"/>
        </w:rPr>
        <w:t>44.78</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，同比下降</w:t>
      </w:r>
      <w:r>
        <w:rPr>
          <w:rFonts w:ascii="Arial" w:eastAsia="仿宋_GB2312" w:hAnsi="Arial" w:hint="eastAsia"/>
          <w:bCs/>
          <w:sz w:val="28"/>
          <w:szCs w:val="28"/>
        </w:rPr>
        <w:t>74%</w:t>
      </w:r>
      <w:r>
        <w:rPr>
          <w:rFonts w:ascii="Arial" w:eastAsia="仿宋_GB2312" w:hAnsi="Arial" w:hint="eastAsia"/>
          <w:bCs/>
          <w:sz w:val="28"/>
          <w:szCs w:val="28"/>
        </w:rPr>
        <w:t>；从需求端来看，一季度北京累计成交</w:t>
      </w:r>
      <w:r>
        <w:rPr>
          <w:rFonts w:ascii="Arial" w:eastAsia="仿宋_GB2312" w:hAnsi="Arial" w:hint="eastAsia"/>
          <w:bCs/>
          <w:sz w:val="28"/>
          <w:szCs w:val="28"/>
        </w:rPr>
        <w:t>8</w:t>
      </w:r>
      <w:r>
        <w:rPr>
          <w:rFonts w:ascii="Arial" w:eastAsia="仿宋_GB2312" w:hAnsi="Arial" w:hint="eastAsia"/>
          <w:bCs/>
          <w:sz w:val="28"/>
          <w:szCs w:val="28"/>
        </w:rPr>
        <w:t>宗商品住宅用地，成交</w:t>
      </w:r>
      <w:proofErr w:type="gramStart"/>
      <w:r>
        <w:rPr>
          <w:rFonts w:ascii="Arial" w:eastAsia="仿宋_GB2312" w:hAnsi="Arial" w:hint="eastAsia"/>
          <w:bCs/>
          <w:sz w:val="28"/>
          <w:szCs w:val="28"/>
        </w:rPr>
        <w:t>规划建面</w:t>
      </w:r>
      <w:proofErr w:type="gramEnd"/>
      <w:r>
        <w:rPr>
          <w:rFonts w:ascii="Arial" w:eastAsia="仿宋_GB2312" w:hAnsi="Arial" w:hint="eastAsia"/>
          <w:bCs/>
          <w:sz w:val="28"/>
          <w:szCs w:val="28"/>
        </w:rPr>
        <w:t>67.66</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，同比下降</w:t>
      </w:r>
      <w:r>
        <w:rPr>
          <w:rFonts w:ascii="Arial" w:eastAsia="仿宋_GB2312" w:hAnsi="Arial" w:hint="eastAsia"/>
          <w:bCs/>
          <w:sz w:val="28"/>
          <w:szCs w:val="28"/>
        </w:rPr>
        <w:t>58%</w:t>
      </w:r>
      <w:r>
        <w:rPr>
          <w:rFonts w:ascii="Arial" w:eastAsia="仿宋_GB2312" w:hAnsi="Arial" w:hint="eastAsia"/>
          <w:bCs/>
          <w:sz w:val="28"/>
          <w:szCs w:val="28"/>
        </w:rPr>
        <w:t>。</w:t>
      </w:r>
      <w:r>
        <w:rPr>
          <w:rFonts w:ascii="Arial" w:eastAsia="仿宋_GB2312" w:hAnsi="Arial" w:hint="eastAsia"/>
          <w:bCs/>
          <w:sz w:val="28"/>
          <w:szCs w:val="28"/>
        </w:rPr>
        <w:t xml:space="preserve"> </w:t>
      </w:r>
    </w:p>
    <w:p w14:paraId="4585AD45" w14:textId="77777777" w:rsidR="0062768B" w:rsidRDefault="00136729">
      <w:pPr>
        <w:widowControl/>
        <w:overflowPunct w:val="0"/>
        <w:adjustRightInd/>
        <w:spacing w:line="480" w:lineRule="auto"/>
        <w:jc w:val="center"/>
        <w:textAlignment w:val="auto"/>
        <w:rPr>
          <w:rFonts w:ascii="Arial" w:hAnsi="Arial"/>
          <w:sz w:val="21"/>
          <w:szCs w:val="21"/>
        </w:rPr>
      </w:pPr>
      <w:r>
        <w:rPr>
          <w:noProof/>
        </w:rPr>
        <w:drawing>
          <wp:inline distT="0" distB="0" distL="0" distR="0" wp14:anchorId="4A701A8C" wp14:editId="49B73D1B">
            <wp:extent cx="5901055" cy="1924685"/>
            <wp:effectExtent l="0" t="0" r="4445" b="18415"/>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01055" cy="1924685"/>
                    </a:xfrm>
                    <a:prstGeom prst="rect">
                      <a:avLst/>
                    </a:prstGeom>
                    <a:noFill/>
                    <a:ln>
                      <a:noFill/>
                    </a:ln>
                  </pic:spPr>
                </pic:pic>
              </a:graphicData>
            </a:graphic>
          </wp:inline>
        </w:drawing>
      </w:r>
    </w:p>
    <w:p w14:paraId="34550423" w14:textId="77777777" w:rsidR="0062768B" w:rsidRDefault="00136729">
      <w:pPr>
        <w:widowControl/>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w:t>
      </w:r>
      <w:r>
        <w:rPr>
          <w:rFonts w:ascii="Arial" w:eastAsia="仿宋_GB2312" w:hAnsi="Arial" w:hint="eastAsia"/>
          <w:bCs/>
          <w:sz w:val="28"/>
          <w:szCs w:val="28"/>
        </w:rPr>
        <w:t>）土地成交价格</w:t>
      </w:r>
    </w:p>
    <w:p w14:paraId="3C8C84E9"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年一季度，北京宅地整体成交楼面均价</w:t>
      </w:r>
      <w:r>
        <w:rPr>
          <w:rFonts w:ascii="Arial" w:eastAsia="仿宋_GB2312" w:hAnsi="Arial" w:hint="eastAsia"/>
          <w:bCs/>
          <w:sz w:val="28"/>
          <w:szCs w:val="28"/>
        </w:rPr>
        <w:t>25433</w:t>
      </w:r>
      <w:r>
        <w:rPr>
          <w:rFonts w:ascii="Arial" w:eastAsia="仿宋_GB2312" w:hAnsi="Arial" w:hint="eastAsia"/>
          <w:bCs/>
          <w:sz w:val="28"/>
          <w:szCs w:val="28"/>
        </w:rPr>
        <w:t>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，受去年同期丰台、朝阳等地块高楼面价基数影响，同比结构下降</w:t>
      </w:r>
      <w:r>
        <w:rPr>
          <w:rFonts w:ascii="Arial" w:eastAsia="仿宋_GB2312" w:hAnsi="Arial" w:hint="eastAsia"/>
          <w:bCs/>
          <w:sz w:val="28"/>
          <w:szCs w:val="28"/>
        </w:rPr>
        <w:t>15%</w:t>
      </w:r>
      <w:r>
        <w:rPr>
          <w:rFonts w:ascii="Arial" w:eastAsia="仿宋_GB2312" w:hAnsi="Arial" w:hint="eastAsia"/>
          <w:bCs/>
          <w:sz w:val="28"/>
          <w:szCs w:val="28"/>
        </w:rPr>
        <w:t>。溢价率方面，受昌平朱辛庄地块、</w:t>
      </w:r>
      <w:proofErr w:type="gramStart"/>
      <w:r>
        <w:rPr>
          <w:rFonts w:ascii="Arial" w:eastAsia="仿宋_GB2312" w:hAnsi="Arial" w:hint="eastAsia"/>
          <w:bCs/>
          <w:sz w:val="28"/>
          <w:szCs w:val="28"/>
        </w:rPr>
        <w:t>昌平回</w:t>
      </w:r>
      <w:proofErr w:type="gramEnd"/>
      <w:r>
        <w:rPr>
          <w:rFonts w:ascii="Arial" w:eastAsia="仿宋_GB2312" w:hAnsi="Arial" w:hint="eastAsia"/>
          <w:bCs/>
          <w:sz w:val="28"/>
          <w:szCs w:val="28"/>
        </w:rPr>
        <w:t>龙观国际信息产业基地二期地块、石景山苹果</w:t>
      </w:r>
      <w:r>
        <w:rPr>
          <w:rFonts w:ascii="Arial" w:eastAsia="仿宋_GB2312" w:hAnsi="Arial" w:hint="eastAsia"/>
          <w:bCs/>
          <w:sz w:val="28"/>
          <w:szCs w:val="28"/>
        </w:rPr>
        <w:lastRenderedPageBreak/>
        <w:t>园地块以及朝阳小红门</w:t>
      </w:r>
      <w:proofErr w:type="gramStart"/>
      <w:r>
        <w:rPr>
          <w:rFonts w:ascii="Arial" w:eastAsia="仿宋_GB2312" w:hAnsi="Arial" w:hint="eastAsia"/>
          <w:bCs/>
          <w:sz w:val="28"/>
          <w:szCs w:val="28"/>
        </w:rPr>
        <w:t>地块高溢价带</w:t>
      </w:r>
      <w:proofErr w:type="gramEnd"/>
      <w:r>
        <w:rPr>
          <w:rFonts w:ascii="Arial" w:eastAsia="仿宋_GB2312" w:hAnsi="Arial" w:hint="eastAsia"/>
          <w:bCs/>
          <w:sz w:val="28"/>
          <w:szCs w:val="28"/>
        </w:rPr>
        <w:t>动，北京一季度宅地成交溢价率</w:t>
      </w:r>
      <w:r>
        <w:rPr>
          <w:rFonts w:ascii="Arial" w:eastAsia="仿宋_GB2312" w:hAnsi="Arial" w:hint="eastAsia"/>
          <w:bCs/>
          <w:sz w:val="28"/>
          <w:szCs w:val="28"/>
        </w:rPr>
        <w:t>4.5%</w:t>
      </w:r>
      <w:r>
        <w:rPr>
          <w:rFonts w:ascii="Arial" w:eastAsia="仿宋_GB2312" w:hAnsi="Arial" w:hint="eastAsia"/>
          <w:bCs/>
          <w:sz w:val="28"/>
          <w:szCs w:val="28"/>
        </w:rPr>
        <w:t>，同比提高</w:t>
      </w:r>
      <w:r>
        <w:rPr>
          <w:rFonts w:ascii="Arial" w:eastAsia="仿宋_GB2312" w:hAnsi="Arial" w:hint="eastAsia"/>
          <w:bCs/>
          <w:sz w:val="28"/>
          <w:szCs w:val="28"/>
        </w:rPr>
        <w:t>1.9</w:t>
      </w:r>
      <w:r>
        <w:rPr>
          <w:rFonts w:ascii="Arial" w:eastAsia="仿宋_GB2312" w:hAnsi="Arial" w:hint="eastAsia"/>
          <w:bCs/>
          <w:sz w:val="28"/>
          <w:szCs w:val="28"/>
        </w:rPr>
        <w:t>个百分点。但整体来看市场热度依然分化明显，成交的</w:t>
      </w:r>
      <w:r>
        <w:rPr>
          <w:rFonts w:ascii="Arial" w:eastAsia="仿宋_GB2312" w:hAnsi="Arial" w:hint="eastAsia"/>
          <w:bCs/>
          <w:sz w:val="28"/>
          <w:szCs w:val="28"/>
        </w:rPr>
        <w:t>8</w:t>
      </w:r>
      <w:r>
        <w:rPr>
          <w:rFonts w:ascii="Arial" w:eastAsia="仿宋_GB2312" w:hAnsi="Arial" w:hint="eastAsia"/>
          <w:bCs/>
          <w:sz w:val="28"/>
          <w:szCs w:val="28"/>
        </w:rPr>
        <w:t>宗地块中，</w:t>
      </w:r>
      <w:r>
        <w:rPr>
          <w:rFonts w:ascii="Arial" w:eastAsia="仿宋_GB2312" w:hAnsi="Arial" w:hint="eastAsia"/>
          <w:bCs/>
          <w:sz w:val="28"/>
          <w:szCs w:val="28"/>
        </w:rPr>
        <w:t>4</w:t>
      </w:r>
      <w:r>
        <w:rPr>
          <w:rFonts w:ascii="Arial" w:eastAsia="仿宋_GB2312" w:hAnsi="Arial" w:hint="eastAsia"/>
          <w:bCs/>
          <w:sz w:val="28"/>
          <w:szCs w:val="28"/>
        </w:rPr>
        <w:t>宗地块触及地价上限，溢价率</w:t>
      </w:r>
      <w:r>
        <w:rPr>
          <w:rFonts w:ascii="Arial" w:eastAsia="仿宋_GB2312" w:hAnsi="Arial" w:hint="eastAsia"/>
          <w:bCs/>
          <w:sz w:val="28"/>
          <w:szCs w:val="28"/>
        </w:rPr>
        <w:t>15%</w:t>
      </w:r>
      <w:r>
        <w:rPr>
          <w:rFonts w:ascii="Arial" w:eastAsia="仿宋_GB2312" w:hAnsi="Arial" w:hint="eastAsia"/>
          <w:bCs/>
          <w:sz w:val="28"/>
          <w:szCs w:val="28"/>
        </w:rPr>
        <w:t>，其中昌平朱辛庄地块吸引</w:t>
      </w:r>
      <w:r>
        <w:rPr>
          <w:rFonts w:ascii="Arial" w:eastAsia="仿宋_GB2312" w:hAnsi="Arial" w:hint="eastAsia"/>
          <w:bCs/>
          <w:sz w:val="28"/>
          <w:szCs w:val="28"/>
        </w:rPr>
        <w:t>42</w:t>
      </w:r>
      <w:r>
        <w:rPr>
          <w:rFonts w:ascii="Arial" w:eastAsia="仿宋_GB2312" w:hAnsi="Arial" w:hint="eastAsia"/>
          <w:bCs/>
          <w:sz w:val="28"/>
          <w:szCs w:val="28"/>
        </w:rPr>
        <w:t>家企业参与报名，摇号中签率仅</w:t>
      </w:r>
      <w:r>
        <w:rPr>
          <w:rFonts w:ascii="Arial" w:eastAsia="仿宋_GB2312" w:hAnsi="Arial" w:hint="eastAsia"/>
          <w:bCs/>
          <w:sz w:val="28"/>
          <w:szCs w:val="28"/>
        </w:rPr>
        <w:t>2.38%</w:t>
      </w:r>
      <w:r>
        <w:rPr>
          <w:rFonts w:ascii="Arial" w:eastAsia="仿宋_GB2312" w:hAnsi="Arial" w:hint="eastAsia"/>
          <w:bCs/>
          <w:sz w:val="28"/>
          <w:szCs w:val="28"/>
        </w:rPr>
        <w:t>，刷新了北京</w:t>
      </w:r>
      <w:proofErr w:type="gramStart"/>
      <w:r>
        <w:rPr>
          <w:rFonts w:ascii="Arial" w:eastAsia="仿宋_GB2312" w:hAnsi="Arial" w:hint="eastAsia"/>
          <w:bCs/>
          <w:sz w:val="28"/>
          <w:szCs w:val="28"/>
        </w:rPr>
        <w:t>土拍史</w:t>
      </w:r>
      <w:proofErr w:type="gramEnd"/>
      <w:r>
        <w:rPr>
          <w:rFonts w:ascii="Arial" w:eastAsia="仿宋_GB2312" w:hAnsi="Arial" w:hint="eastAsia"/>
          <w:bCs/>
          <w:sz w:val="28"/>
          <w:szCs w:val="28"/>
        </w:rPr>
        <w:t>上中签率新低纪录；而其他</w:t>
      </w:r>
      <w:r>
        <w:rPr>
          <w:rFonts w:ascii="Arial" w:eastAsia="仿宋_GB2312" w:hAnsi="Arial" w:hint="eastAsia"/>
          <w:bCs/>
          <w:sz w:val="28"/>
          <w:szCs w:val="28"/>
        </w:rPr>
        <w:t>4</w:t>
      </w:r>
      <w:r>
        <w:rPr>
          <w:rFonts w:ascii="Arial" w:eastAsia="仿宋_GB2312" w:hAnsi="Arial" w:hint="eastAsia"/>
          <w:bCs/>
          <w:sz w:val="28"/>
          <w:szCs w:val="28"/>
        </w:rPr>
        <w:t>宗地块均以底价成交。</w:t>
      </w:r>
    </w:p>
    <w:p w14:paraId="75D3C272"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3</w:t>
      </w:r>
      <w:r>
        <w:rPr>
          <w:rFonts w:ascii="Arial" w:eastAsia="仿宋_GB2312" w:hAnsi="Arial" w:hint="eastAsia"/>
          <w:bCs/>
          <w:sz w:val="28"/>
          <w:szCs w:val="28"/>
        </w:rPr>
        <w:t>）区域成交情况</w:t>
      </w:r>
    </w:p>
    <w:p w14:paraId="57D78D84"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年一季度，中心城区仅朝阳和石景山</w:t>
      </w:r>
      <w:proofErr w:type="gramStart"/>
      <w:r>
        <w:rPr>
          <w:rFonts w:ascii="Arial" w:eastAsia="仿宋_GB2312" w:hAnsi="Arial" w:hint="eastAsia"/>
          <w:bCs/>
          <w:sz w:val="28"/>
          <w:szCs w:val="28"/>
        </w:rPr>
        <w:t>各成交</w:t>
      </w:r>
      <w:proofErr w:type="gramEnd"/>
      <w:r>
        <w:rPr>
          <w:rFonts w:ascii="Arial" w:eastAsia="仿宋_GB2312" w:hAnsi="Arial" w:hint="eastAsia"/>
          <w:bCs/>
          <w:sz w:val="28"/>
          <w:szCs w:val="28"/>
        </w:rPr>
        <w:t>1</w:t>
      </w:r>
      <w:r>
        <w:rPr>
          <w:rFonts w:ascii="Arial" w:eastAsia="仿宋_GB2312" w:hAnsi="Arial" w:hint="eastAsia"/>
          <w:bCs/>
          <w:sz w:val="28"/>
          <w:szCs w:val="28"/>
        </w:rPr>
        <w:t>宗宅地，累计成交</w:t>
      </w:r>
      <w:proofErr w:type="gramStart"/>
      <w:r>
        <w:rPr>
          <w:rFonts w:ascii="Arial" w:eastAsia="仿宋_GB2312" w:hAnsi="Arial" w:hint="eastAsia"/>
          <w:bCs/>
          <w:sz w:val="28"/>
          <w:szCs w:val="28"/>
        </w:rPr>
        <w:t>规划建面</w:t>
      </w:r>
      <w:proofErr w:type="gramEnd"/>
      <w:r>
        <w:rPr>
          <w:rFonts w:ascii="Arial" w:eastAsia="仿宋_GB2312" w:hAnsi="Arial" w:hint="eastAsia"/>
          <w:bCs/>
          <w:sz w:val="28"/>
          <w:szCs w:val="28"/>
        </w:rPr>
        <w:t>9.05</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，占比</w:t>
      </w:r>
      <w:r>
        <w:rPr>
          <w:rFonts w:ascii="Arial" w:eastAsia="仿宋_GB2312" w:hAnsi="Arial" w:hint="eastAsia"/>
          <w:bCs/>
          <w:sz w:val="28"/>
          <w:szCs w:val="28"/>
        </w:rPr>
        <w:t>13%</w:t>
      </w:r>
      <w:r>
        <w:rPr>
          <w:rFonts w:ascii="Arial" w:eastAsia="仿宋_GB2312" w:hAnsi="Arial" w:hint="eastAsia"/>
          <w:bCs/>
          <w:sz w:val="28"/>
          <w:szCs w:val="28"/>
        </w:rPr>
        <w:t>，较上年同期下降</w:t>
      </w:r>
      <w:r>
        <w:rPr>
          <w:rFonts w:ascii="Arial" w:eastAsia="仿宋_GB2312" w:hAnsi="Arial" w:hint="eastAsia"/>
          <w:bCs/>
          <w:sz w:val="28"/>
          <w:szCs w:val="28"/>
        </w:rPr>
        <w:t>20</w:t>
      </w:r>
      <w:r>
        <w:rPr>
          <w:rFonts w:ascii="Arial" w:eastAsia="仿宋_GB2312" w:hAnsi="Arial" w:hint="eastAsia"/>
          <w:bCs/>
          <w:sz w:val="28"/>
          <w:szCs w:val="28"/>
        </w:rPr>
        <w:t>个百分点。近郊依然为宅地供求的主要区域，累计成交</w:t>
      </w:r>
      <w:r>
        <w:rPr>
          <w:rFonts w:ascii="Arial" w:eastAsia="仿宋_GB2312" w:hAnsi="Arial" w:hint="eastAsia"/>
          <w:bCs/>
          <w:sz w:val="28"/>
          <w:szCs w:val="28"/>
        </w:rPr>
        <w:t>58.61</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，占比为</w:t>
      </w:r>
      <w:r>
        <w:rPr>
          <w:rFonts w:ascii="Arial" w:eastAsia="仿宋_GB2312" w:hAnsi="Arial" w:hint="eastAsia"/>
          <w:bCs/>
          <w:sz w:val="28"/>
          <w:szCs w:val="28"/>
        </w:rPr>
        <w:t>87%</w:t>
      </w:r>
      <w:r>
        <w:rPr>
          <w:rFonts w:ascii="Arial" w:eastAsia="仿宋_GB2312" w:hAnsi="Arial" w:hint="eastAsia"/>
          <w:bCs/>
          <w:sz w:val="28"/>
          <w:szCs w:val="28"/>
        </w:rPr>
        <w:t>，较去年同期提升</w:t>
      </w:r>
      <w:r>
        <w:rPr>
          <w:rFonts w:ascii="Arial" w:eastAsia="仿宋_GB2312" w:hAnsi="Arial" w:hint="eastAsia"/>
          <w:bCs/>
          <w:sz w:val="28"/>
          <w:szCs w:val="28"/>
        </w:rPr>
        <w:t>27</w:t>
      </w:r>
      <w:r>
        <w:rPr>
          <w:rFonts w:ascii="Arial" w:eastAsia="仿宋_GB2312" w:hAnsi="Arial" w:hint="eastAsia"/>
          <w:bCs/>
          <w:sz w:val="28"/>
          <w:szCs w:val="28"/>
        </w:rPr>
        <w:t>个百分点；其中昌平、大兴为主力成交区域，成交规模分别为</w:t>
      </w:r>
      <w:r>
        <w:rPr>
          <w:rFonts w:ascii="Arial" w:eastAsia="仿宋_GB2312" w:hAnsi="Arial" w:hint="eastAsia"/>
          <w:bCs/>
          <w:sz w:val="28"/>
          <w:szCs w:val="28"/>
        </w:rPr>
        <w:t>24.69</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和</w:t>
      </w:r>
      <w:r>
        <w:rPr>
          <w:rFonts w:ascii="Arial" w:eastAsia="仿宋_GB2312" w:hAnsi="Arial" w:hint="eastAsia"/>
          <w:bCs/>
          <w:sz w:val="28"/>
          <w:szCs w:val="28"/>
        </w:rPr>
        <w:t>19.46</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，成交规模占比分别为</w:t>
      </w:r>
      <w:r>
        <w:rPr>
          <w:rFonts w:ascii="Arial" w:eastAsia="仿宋_GB2312" w:hAnsi="Arial" w:hint="eastAsia"/>
          <w:bCs/>
          <w:sz w:val="28"/>
          <w:szCs w:val="28"/>
        </w:rPr>
        <w:t>36%</w:t>
      </w:r>
      <w:r>
        <w:rPr>
          <w:rFonts w:ascii="Arial" w:eastAsia="仿宋_GB2312" w:hAnsi="Arial" w:hint="eastAsia"/>
          <w:bCs/>
          <w:sz w:val="28"/>
          <w:szCs w:val="28"/>
        </w:rPr>
        <w:t>和</w:t>
      </w:r>
      <w:r>
        <w:rPr>
          <w:rFonts w:ascii="Arial" w:eastAsia="仿宋_GB2312" w:hAnsi="Arial" w:hint="eastAsia"/>
          <w:bCs/>
          <w:sz w:val="28"/>
          <w:szCs w:val="28"/>
        </w:rPr>
        <w:t>29%</w:t>
      </w:r>
      <w:r>
        <w:rPr>
          <w:rFonts w:ascii="Arial" w:eastAsia="仿宋_GB2312" w:hAnsi="Arial" w:hint="eastAsia"/>
          <w:bCs/>
          <w:sz w:val="28"/>
          <w:szCs w:val="28"/>
        </w:rPr>
        <w:t>。</w:t>
      </w:r>
    </w:p>
    <w:p w14:paraId="035CF5C5" w14:textId="77777777" w:rsidR="0062768B" w:rsidRDefault="00136729">
      <w:pPr>
        <w:spacing w:line="360" w:lineRule="auto"/>
        <w:jc w:val="center"/>
        <w:rPr>
          <w:rFonts w:ascii="Arial" w:eastAsia="仿宋_GB2312" w:hAnsi="Arial"/>
          <w:bCs/>
          <w:sz w:val="28"/>
          <w:szCs w:val="28"/>
        </w:rPr>
      </w:pPr>
      <w:r>
        <w:rPr>
          <w:noProof/>
        </w:rPr>
        <w:drawing>
          <wp:inline distT="0" distB="0" distL="0" distR="0" wp14:anchorId="15B02341" wp14:editId="2145446A">
            <wp:extent cx="5911850" cy="2030730"/>
            <wp:effectExtent l="0" t="0" r="12700" b="7620"/>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11850" cy="2030730"/>
                    </a:xfrm>
                    <a:prstGeom prst="rect">
                      <a:avLst/>
                    </a:prstGeom>
                    <a:noFill/>
                    <a:ln>
                      <a:noFill/>
                    </a:ln>
                  </pic:spPr>
                </pic:pic>
              </a:graphicData>
            </a:graphic>
          </wp:inline>
        </w:drawing>
      </w:r>
    </w:p>
    <w:p w14:paraId="204D40DD"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成交楼面均价方面，中心城区楼面均价相对较高，朝阳、石景山成交楼面</w:t>
      </w:r>
      <w:proofErr w:type="gramStart"/>
      <w:r>
        <w:rPr>
          <w:rFonts w:ascii="Arial" w:eastAsia="仿宋_GB2312" w:hAnsi="Arial" w:hint="eastAsia"/>
          <w:bCs/>
          <w:sz w:val="28"/>
          <w:szCs w:val="28"/>
        </w:rPr>
        <w:t>均价均</w:t>
      </w:r>
      <w:proofErr w:type="gramEnd"/>
      <w:r>
        <w:rPr>
          <w:rFonts w:ascii="Arial" w:eastAsia="仿宋_GB2312" w:hAnsi="Arial" w:hint="eastAsia"/>
          <w:bCs/>
          <w:sz w:val="28"/>
          <w:szCs w:val="28"/>
        </w:rPr>
        <w:t>在</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以上；近郊区域成交楼面价多介于</w:t>
      </w:r>
      <w:r>
        <w:rPr>
          <w:rFonts w:ascii="Arial" w:eastAsia="仿宋_GB2312" w:hAnsi="Arial" w:hint="eastAsia"/>
          <w:bCs/>
          <w:sz w:val="28"/>
          <w:szCs w:val="28"/>
        </w:rPr>
        <w:t>1.5-3</w:t>
      </w:r>
      <w:r>
        <w:rPr>
          <w:rFonts w:ascii="Arial" w:eastAsia="仿宋_GB2312" w:hAnsi="Arial" w:hint="eastAsia"/>
          <w:bCs/>
          <w:sz w:val="28"/>
          <w:szCs w:val="28"/>
        </w:rPr>
        <w:t>万元之间，其中昌平地价相对较高，约为</w:t>
      </w:r>
      <w:r>
        <w:rPr>
          <w:rFonts w:ascii="Arial" w:eastAsia="仿宋_GB2312" w:hAnsi="Arial" w:hint="eastAsia"/>
          <w:bCs/>
          <w:sz w:val="28"/>
          <w:szCs w:val="28"/>
        </w:rPr>
        <w:t>3.0</w:t>
      </w:r>
      <w:r>
        <w:rPr>
          <w:rFonts w:ascii="Arial" w:eastAsia="仿宋_GB2312" w:hAnsi="Arial" w:hint="eastAsia"/>
          <w:bCs/>
          <w:sz w:val="28"/>
          <w:szCs w:val="28"/>
        </w:rPr>
        <w:t>万元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，房山成交楼面价约为</w:t>
      </w:r>
      <w:r>
        <w:rPr>
          <w:rFonts w:ascii="Arial" w:eastAsia="仿宋_GB2312" w:hAnsi="Arial" w:hint="eastAsia"/>
          <w:bCs/>
          <w:sz w:val="28"/>
          <w:szCs w:val="28"/>
        </w:rPr>
        <w:t>2.2</w:t>
      </w:r>
      <w:r>
        <w:rPr>
          <w:rFonts w:ascii="Arial" w:eastAsia="仿宋_GB2312" w:hAnsi="Arial" w:hint="eastAsia"/>
          <w:bCs/>
          <w:sz w:val="28"/>
          <w:szCs w:val="28"/>
        </w:rPr>
        <w:t>万元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；大兴、通州区域成交楼面价</w:t>
      </w:r>
      <w:r>
        <w:rPr>
          <w:rFonts w:ascii="Arial" w:eastAsia="仿宋_GB2312" w:hAnsi="Arial" w:hint="eastAsia"/>
          <w:bCs/>
          <w:sz w:val="28"/>
          <w:szCs w:val="28"/>
        </w:rPr>
        <w:t>1.6</w:t>
      </w:r>
      <w:r>
        <w:rPr>
          <w:rFonts w:ascii="Arial" w:eastAsia="仿宋_GB2312" w:hAnsi="Arial" w:hint="eastAsia"/>
          <w:bCs/>
          <w:sz w:val="28"/>
          <w:szCs w:val="28"/>
        </w:rPr>
        <w:t>万元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。从同比变化来看，房山成交楼面价上涨</w:t>
      </w:r>
      <w:r>
        <w:rPr>
          <w:rFonts w:ascii="Arial" w:eastAsia="仿宋_GB2312" w:hAnsi="Arial" w:hint="eastAsia"/>
          <w:bCs/>
          <w:sz w:val="28"/>
          <w:szCs w:val="28"/>
        </w:rPr>
        <w:t>39%</w:t>
      </w:r>
      <w:r>
        <w:rPr>
          <w:rFonts w:ascii="Arial" w:eastAsia="仿宋_GB2312" w:hAnsi="Arial" w:hint="eastAsia"/>
          <w:bCs/>
          <w:sz w:val="28"/>
          <w:szCs w:val="28"/>
        </w:rPr>
        <w:t>；朝阳成交</w:t>
      </w:r>
      <w:proofErr w:type="gramStart"/>
      <w:r>
        <w:rPr>
          <w:rFonts w:ascii="Arial" w:eastAsia="仿宋_GB2312" w:hAnsi="Arial" w:hint="eastAsia"/>
          <w:bCs/>
          <w:sz w:val="28"/>
          <w:szCs w:val="28"/>
        </w:rPr>
        <w:t>楼面价微涨</w:t>
      </w:r>
      <w:proofErr w:type="gramEnd"/>
      <w:r>
        <w:rPr>
          <w:rFonts w:ascii="Arial" w:eastAsia="仿宋_GB2312" w:hAnsi="Arial" w:hint="eastAsia"/>
          <w:bCs/>
          <w:sz w:val="28"/>
          <w:szCs w:val="28"/>
        </w:rPr>
        <w:t>2%</w:t>
      </w:r>
      <w:r>
        <w:rPr>
          <w:rFonts w:ascii="Arial" w:eastAsia="仿宋_GB2312" w:hAnsi="Arial" w:hint="eastAsia"/>
          <w:bCs/>
          <w:sz w:val="28"/>
          <w:szCs w:val="28"/>
        </w:rPr>
        <w:t>；昌平成交楼面价较去年持平；大兴、通州成交楼面价同比分别下降</w:t>
      </w:r>
      <w:r>
        <w:rPr>
          <w:rFonts w:ascii="Arial" w:eastAsia="仿宋_GB2312" w:hAnsi="Arial" w:hint="eastAsia"/>
          <w:bCs/>
          <w:sz w:val="28"/>
          <w:szCs w:val="28"/>
        </w:rPr>
        <w:t>36%</w:t>
      </w:r>
      <w:r>
        <w:rPr>
          <w:rFonts w:ascii="Arial" w:eastAsia="仿宋_GB2312" w:hAnsi="Arial" w:hint="eastAsia"/>
          <w:bCs/>
          <w:sz w:val="28"/>
          <w:szCs w:val="28"/>
        </w:rPr>
        <w:t>和</w:t>
      </w:r>
      <w:r>
        <w:rPr>
          <w:rFonts w:ascii="Arial" w:eastAsia="仿宋_GB2312" w:hAnsi="Arial" w:hint="eastAsia"/>
          <w:bCs/>
          <w:sz w:val="28"/>
          <w:szCs w:val="28"/>
        </w:rPr>
        <w:t>28%</w:t>
      </w:r>
      <w:r>
        <w:rPr>
          <w:rFonts w:ascii="Arial" w:eastAsia="仿宋_GB2312" w:hAnsi="Arial" w:hint="eastAsia"/>
          <w:bCs/>
          <w:sz w:val="28"/>
          <w:szCs w:val="28"/>
        </w:rPr>
        <w:t>。</w:t>
      </w:r>
      <w:r>
        <w:rPr>
          <w:rFonts w:ascii="Arial" w:eastAsia="仿宋_GB2312" w:hAnsi="Arial" w:hint="eastAsia"/>
          <w:bCs/>
          <w:sz w:val="28"/>
          <w:szCs w:val="28"/>
        </w:rPr>
        <w:t xml:space="preserve"> </w:t>
      </w:r>
    </w:p>
    <w:p w14:paraId="4EBE1DE6"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溢价率方面：从各个宅地竞拍情况来看，朝阳、石景山地块竞争较为激烈，</w:t>
      </w:r>
      <w:proofErr w:type="gramStart"/>
      <w:r>
        <w:rPr>
          <w:rFonts w:ascii="Arial" w:eastAsia="仿宋_GB2312" w:hAnsi="Arial" w:hint="eastAsia"/>
          <w:bCs/>
          <w:sz w:val="28"/>
          <w:szCs w:val="28"/>
        </w:rPr>
        <w:t>均触达</w:t>
      </w:r>
      <w:proofErr w:type="gramEnd"/>
      <w:r>
        <w:rPr>
          <w:rFonts w:ascii="Arial" w:eastAsia="仿宋_GB2312" w:hAnsi="Arial" w:hint="eastAsia"/>
          <w:bCs/>
          <w:sz w:val="28"/>
          <w:szCs w:val="28"/>
        </w:rPr>
        <w:t>地价上限；昌平优质地块竞争也较激烈，朱辛庄地块、回龙观国际信息产业基地二期地块均触顶摇号成交；而通州、大兴、房山地块均以底价成交。</w:t>
      </w:r>
    </w:p>
    <w:p w14:paraId="6E8DE28F" w14:textId="77777777" w:rsidR="0062768B" w:rsidRDefault="00136729">
      <w:pPr>
        <w:spacing w:line="360" w:lineRule="auto"/>
        <w:jc w:val="center"/>
        <w:rPr>
          <w:rFonts w:ascii="Arial" w:eastAsia="仿宋_GB2312" w:hAnsi="Arial"/>
          <w:bCs/>
          <w:sz w:val="28"/>
          <w:szCs w:val="28"/>
        </w:rPr>
      </w:pPr>
      <w:r>
        <w:rPr>
          <w:noProof/>
        </w:rPr>
        <w:lastRenderedPageBreak/>
        <w:drawing>
          <wp:inline distT="0" distB="0" distL="0" distR="0" wp14:anchorId="795E5B24" wp14:editId="33DB5C9B">
            <wp:extent cx="5911850" cy="1945640"/>
            <wp:effectExtent l="0" t="0" r="12700" b="16510"/>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11850" cy="1945640"/>
                    </a:xfrm>
                    <a:prstGeom prst="rect">
                      <a:avLst/>
                    </a:prstGeom>
                    <a:noFill/>
                    <a:ln>
                      <a:noFill/>
                    </a:ln>
                  </pic:spPr>
                </pic:pic>
              </a:graphicData>
            </a:graphic>
          </wp:inline>
        </w:drawing>
      </w:r>
    </w:p>
    <w:p w14:paraId="54397844"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4</w:t>
      </w:r>
      <w:r>
        <w:rPr>
          <w:rFonts w:ascii="Arial" w:eastAsia="仿宋_GB2312" w:hAnsi="Arial" w:cs="Arial" w:hint="eastAsia"/>
          <w:bCs/>
          <w:sz w:val="28"/>
          <w:szCs w:val="28"/>
        </w:rPr>
        <w:t>）供应计划</w:t>
      </w:r>
    </w:p>
    <w:p w14:paraId="3BC7AD55"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2</w:t>
      </w:r>
      <w:r>
        <w:rPr>
          <w:rFonts w:ascii="Arial" w:eastAsia="仿宋_GB2312" w:hAnsi="Arial" w:cs="Arial" w:hint="eastAsia"/>
          <w:bCs/>
          <w:sz w:val="28"/>
          <w:szCs w:val="28"/>
        </w:rPr>
        <w:t>月</w:t>
      </w:r>
      <w:r>
        <w:rPr>
          <w:rFonts w:ascii="Arial" w:eastAsia="仿宋_GB2312" w:hAnsi="Arial" w:cs="Arial" w:hint="eastAsia"/>
          <w:bCs/>
          <w:sz w:val="28"/>
          <w:szCs w:val="28"/>
        </w:rPr>
        <w:t>22</w:t>
      </w:r>
      <w:r>
        <w:rPr>
          <w:rFonts w:ascii="Arial" w:eastAsia="仿宋_GB2312" w:hAnsi="Arial" w:cs="Arial" w:hint="eastAsia"/>
          <w:bCs/>
          <w:sz w:val="28"/>
          <w:szCs w:val="28"/>
        </w:rPr>
        <w:t>日，北京</w:t>
      </w:r>
      <w:proofErr w:type="gramStart"/>
      <w:r>
        <w:rPr>
          <w:rFonts w:ascii="Arial" w:eastAsia="仿宋_GB2312" w:hAnsi="Arial" w:cs="Arial" w:hint="eastAsia"/>
          <w:bCs/>
          <w:sz w:val="28"/>
          <w:szCs w:val="28"/>
        </w:rPr>
        <w:t>规</w:t>
      </w:r>
      <w:proofErr w:type="gramEnd"/>
      <w:r>
        <w:rPr>
          <w:rFonts w:ascii="Arial" w:eastAsia="仿宋_GB2312" w:hAnsi="Arial" w:cs="Arial" w:hint="eastAsia"/>
          <w:bCs/>
          <w:sz w:val="28"/>
          <w:szCs w:val="28"/>
        </w:rPr>
        <w:t>自委、</w:t>
      </w:r>
      <w:proofErr w:type="gramStart"/>
      <w:r>
        <w:rPr>
          <w:rFonts w:ascii="Arial" w:eastAsia="仿宋_GB2312" w:hAnsi="Arial" w:cs="Arial" w:hint="eastAsia"/>
          <w:bCs/>
          <w:sz w:val="28"/>
          <w:szCs w:val="28"/>
        </w:rPr>
        <w:t>北京发改委</w:t>
      </w:r>
      <w:proofErr w:type="gramEnd"/>
      <w:r>
        <w:rPr>
          <w:rFonts w:ascii="Arial" w:eastAsia="仿宋_GB2312" w:hAnsi="Arial" w:cs="Arial" w:hint="eastAsia"/>
          <w:bCs/>
          <w:sz w:val="28"/>
          <w:szCs w:val="28"/>
        </w:rPr>
        <w:t>联合发布《北京市</w:t>
      </w:r>
      <w:r>
        <w:rPr>
          <w:rFonts w:ascii="Arial" w:eastAsia="仿宋_GB2312" w:hAnsi="Arial" w:cs="Arial" w:hint="eastAsia"/>
          <w:bCs/>
          <w:sz w:val="28"/>
          <w:szCs w:val="28"/>
        </w:rPr>
        <w:t>2023</w:t>
      </w:r>
      <w:r>
        <w:rPr>
          <w:rFonts w:ascii="Arial" w:eastAsia="仿宋_GB2312" w:hAnsi="Arial" w:cs="Arial" w:hint="eastAsia"/>
          <w:bCs/>
          <w:sz w:val="28"/>
          <w:szCs w:val="28"/>
        </w:rPr>
        <w:t>年度建设用地供应计划》。计划安排建设用地供应总量</w:t>
      </w:r>
      <w:r>
        <w:rPr>
          <w:rFonts w:ascii="Arial" w:eastAsia="仿宋_GB2312" w:hAnsi="Arial" w:cs="Arial" w:hint="eastAsia"/>
          <w:bCs/>
          <w:sz w:val="28"/>
          <w:szCs w:val="28"/>
        </w:rPr>
        <w:t>3190-3630</w:t>
      </w:r>
      <w:r>
        <w:rPr>
          <w:rFonts w:ascii="Arial" w:eastAsia="仿宋_GB2312" w:hAnsi="Arial" w:cs="Arial" w:hint="eastAsia"/>
          <w:bCs/>
          <w:sz w:val="28"/>
          <w:szCs w:val="28"/>
        </w:rPr>
        <w:t>公顷，与</w:t>
      </w:r>
      <w:r>
        <w:rPr>
          <w:rFonts w:ascii="Arial" w:eastAsia="仿宋_GB2312" w:hAnsi="Arial" w:cs="Arial" w:hint="eastAsia"/>
          <w:bCs/>
          <w:sz w:val="28"/>
          <w:szCs w:val="28"/>
        </w:rPr>
        <w:t>2022</w:t>
      </w:r>
      <w:r>
        <w:rPr>
          <w:rFonts w:ascii="Arial" w:eastAsia="仿宋_GB2312" w:hAnsi="Arial" w:cs="Arial" w:hint="eastAsia"/>
          <w:bCs/>
          <w:sz w:val="28"/>
          <w:szCs w:val="28"/>
        </w:rPr>
        <w:t>年基本持平。其中，住宅用地</w:t>
      </w:r>
      <w:r>
        <w:rPr>
          <w:rFonts w:ascii="Arial" w:eastAsia="仿宋_GB2312" w:hAnsi="Arial" w:cs="Arial" w:hint="eastAsia"/>
          <w:bCs/>
          <w:sz w:val="28"/>
          <w:szCs w:val="28"/>
        </w:rPr>
        <w:t>1060</w:t>
      </w:r>
      <w:r>
        <w:rPr>
          <w:rFonts w:ascii="Arial" w:eastAsia="仿宋_GB2312" w:hAnsi="Arial" w:cs="Arial" w:hint="eastAsia"/>
          <w:bCs/>
          <w:sz w:val="28"/>
          <w:szCs w:val="28"/>
        </w:rPr>
        <w:t>公顷（产权住宅用地</w:t>
      </w:r>
      <w:r>
        <w:rPr>
          <w:rFonts w:ascii="Arial" w:eastAsia="仿宋_GB2312" w:hAnsi="Arial" w:cs="Arial" w:hint="eastAsia"/>
          <w:bCs/>
          <w:sz w:val="28"/>
          <w:szCs w:val="28"/>
        </w:rPr>
        <w:t>800</w:t>
      </w:r>
      <w:r>
        <w:rPr>
          <w:rFonts w:ascii="Arial" w:eastAsia="仿宋_GB2312" w:hAnsi="Arial" w:cs="Arial" w:hint="eastAsia"/>
          <w:bCs/>
          <w:sz w:val="28"/>
          <w:szCs w:val="28"/>
        </w:rPr>
        <w:t>公顷，租赁住宅用地</w:t>
      </w:r>
      <w:r>
        <w:rPr>
          <w:rFonts w:ascii="Arial" w:eastAsia="仿宋_GB2312" w:hAnsi="Arial" w:cs="Arial" w:hint="eastAsia"/>
          <w:bCs/>
          <w:sz w:val="28"/>
          <w:szCs w:val="28"/>
        </w:rPr>
        <w:t>260</w:t>
      </w:r>
      <w:r>
        <w:rPr>
          <w:rFonts w:ascii="Arial" w:eastAsia="仿宋_GB2312" w:hAnsi="Arial" w:cs="Arial" w:hint="eastAsia"/>
          <w:bCs/>
          <w:sz w:val="28"/>
          <w:szCs w:val="28"/>
        </w:rPr>
        <w:t>公顷）。从各区供应计划来看，供地重点向城市副中心和多点地区倾斜，促进土地资源合理配置。中心城区、生态涵养区的供应比例均保持在</w:t>
      </w:r>
      <w:r>
        <w:rPr>
          <w:rFonts w:ascii="Arial" w:eastAsia="仿宋_GB2312" w:hAnsi="Arial" w:cs="Arial" w:hint="eastAsia"/>
          <w:bCs/>
          <w:sz w:val="28"/>
          <w:szCs w:val="28"/>
        </w:rPr>
        <w:t>20%</w:t>
      </w:r>
      <w:r>
        <w:rPr>
          <w:rFonts w:ascii="Arial" w:eastAsia="仿宋_GB2312" w:hAnsi="Arial" w:cs="Arial" w:hint="eastAsia"/>
          <w:bCs/>
          <w:sz w:val="28"/>
          <w:szCs w:val="28"/>
        </w:rPr>
        <w:t>左右，城市副中心和多点地区供应比率稳定在</w:t>
      </w:r>
      <w:r>
        <w:rPr>
          <w:rFonts w:ascii="Arial" w:eastAsia="仿宋_GB2312" w:hAnsi="Arial" w:cs="Arial" w:hint="eastAsia"/>
          <w:bCs/>
          <w:sz w:val="28"/>
          <w:szCs w:val="28"/>
        </w:rPr>
        <w:t>60%</w:t>
      </w:r>
      <w:r>
        <w:rPr>
          <w:rFonts w:ascii="Arial" w:eastAsia="仿宋_GB2312" w:hAnsi="Arial" w:cs="Arial" w:hint="eastAsia"/>
          <w:bCs/>
          <w:sz w:val="28"/>
          <w:szCs w:val="28"/>
        </w:rPr>
        <w:t>左右。</w:t>
      </w:r>
    </w:p>
    <w:p w14:paraId="76516D8B"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bCs/>
          <w:sz w:val="28"/>
          <w:szCs w:val="28"/>
        </w:rPr>
        <w:t>（</w:t>
      </w:r>
      <w:r>
        <w:rPr>
          <w:rFonts w:ascii="Arial" w:eastAsia="仿宋_GB2312" w:hAnsi="Arial" w:cs="Arial"/>
          <w:bCs/>
          <w:sz w:val="28"/>
          <w:szCs w:val="28"/>
        </w:rPr>
        <w:t>2</w:t>
      </w:r>
      <w:r>
        <w:rPr>
          <w:rFonts w:ascii="Arial" w:eastAsia="仿宋_GB2312" w:hAnsi="Arial" w:cs="Arial"/>
          <w:bCs/>
          <w:sz w:val="28"/>
          <w:szCs w:val="28"/>
        </w:rPr>
        <w:t>）商品房住宅市场</w:t>
      </w:r>
    </w:p>
    <w:p w14:paraId="2CE45B44"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）商品住宅供给状况</w:t>
      </w:r>
    </w:p>
    <w:p w14:paraId="4F8E1D96"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年一季度北京商品住宅（不含保障房）累计供应</w:t>
      </w:r>
      <w:r>
        <w:rPr>
          <w:rFonts w:ascii="Arial" w:eastAsia="仿宋_GB2312" w:hAnsi="Arial" w:hint="eastAsia"/>
          <w:bCs/>
          <w:sz w:val="28"/>
          <w:szCs w:val="28"/>
        </w:rPr>
        <w:t>131</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，连续三个季度下跌，同比止跌回升。受春节假期以及年后市场复苏不确定性影响，一季度北京新房供应</w:t>
      </w:r>
      <w:proofErr w:type="gramStart"/>
      <w:r>
        <w:rPr>
          <w:rFonts w:ascii="仿宋_GB2312" w:eastAsia="仿宋_GB2312" w:hAnsi="仿宋_GB2312" w:cs="仿宋_GB2312" w:hint="eastAsia"/>
          <w:bCs/>
          <w:sz w:val="28"/>
          <w:szCs w:val="28"/>
        </w:rPr>
        <w:t>节奏环</w:t>
      </w:r>
      <w:proofErr w:type="gramEnd"/>
      <w:r>
        <w:rPr>
          <w:rFonts w:ascii="仿宋_GB2312" w:eastAsia="仿宋_GB2312" w:hAnsi="仿宋_GB2312" w:cs="仿宋_GB2312" w:hint="eastAsia"/>
          <w:bCs/>
          <w:sz w:val="28"/>
          <w:szCs w:val="28"/>
        </w:rPr>
        <w:t>比继续微降；受去年低基数影响，供应量同比增长近四成。具体来看，</w:t>
      </w:r>
      <w:r>
        <w:rPr>
          <w:rFonts w:ascii="Arial" w:eastAsia="仿宋_GB2312" w:hAnsi="Arial" w:hint="eastAsia"/>
          <w:bCs/>
          <w:sz w:val="28"/>
          <w:szCs w:val="28"/>
        </w:rPr>
        <w:t>1</w:t>
      </w:r>
      <w:r>
        <w:rPr>
          <w:rFonts w:ascii="Arial" w:eastAsia="仿宋_GB2312" w:hAnsi="Arial" w:hint="eastAsia"/>
          <w:bCs/>
          <w:sz w:val="28"/>
          <w:szCs w:val="28"/>
        </w:rPr>
        <w:t>月新增供应规模仅</w:t>
      </w:r>
      <w:r>
        <w:rPr>
          <w:rFonts w:ascii="Arial" w:eastAsia="仿宋_GB2312" w:hAnsi="Arial" w:hint="eastAsia"/>
          <w:bCs/>
          <w:sz w:val="28"/>
          <w:szCs w:val="28"/>
        </w:rPr>
        <w:t>45</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，环比降幅近两成；</w:t>
      </w:r>
      <w:r>
        <w:rPr>
          <w:rFonts w:ascii="Arial" w:eastAsia="仿宋_GB2312" w:hAnsi="Arial" w:hint="eastAsia"/>
          <w:bCs/>
          <w:sz w:val="28"/>
          <w:szCs w:val="28"/>
        </w:rPr>
        <w:t>2</w:t>
      </w:r>
      <w:r>
        <w:rPr>
          <w:rFonts w:ascii="Arial" w:eastAsia="仿宋_GB2312" w:hAnsi="Arial" w:hint="eastAsia"/>
          <w:bCs/>
          <w:sz w:val="28"/>
          <w:szCs w:val="28"/>
        </w:rPr>
        <w:t>月供应规模创疫情以来新低，仅</w:t>
      </w:r>
      <w:r>
        <w:rPr>
          <w:rFonts w:ascii="Arial" w:eastAsia="仿宋_GB2312" w:hAnsi="Arial" w:hint="eastAsia"/>
          <w:bCs/>
          <w:sz w:val="28"/>
          <w:szCs w:val="28"/>
        </w:rPr>
        <w:t>10</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；随着楼市“小阳春”迹象持续显现，</w:t>
      </w:r>
      <w:r>
        <w:rPr>
          <w:rFonts w:ascii="Arial" w:eastAsia="仿宋_GB2312" w:hAnsi="Arial" w:hint="eastAsia"/>
          <w:bCs/>
          <w:sz w:val="28"/>
          <w:szCs w:val="28"/>
        </w:rPr>
        <w:t>3</w:t>
      </w:r>
      <w:r>
        <w:rPr>
          <w:rFonts w:ascii="Arial" w:eastAsia="仿宋_GB2312" w:hAnsi="Arial" w:hint="eastAsia"/>
          <w:bCs/>
          <w:sz w:val="28"/>
          <w:szCs w:val="28"/>
        </w:rPr>
        <w:t>月房企推盘意愿加强，新房供应触底反弹至</w:t>
      </w:r>
      <w:r>
        <w:rPr>
          <w:rFonts w:ascii="Arial" w:eastAsia="仿宋_GB2312" w:hAnsi="Arial" w:hint="eastAsia"/>
          <w:bCs/>
          <w:sz w:val="28"/>
          <w:szCs w:val="28"/>
        </w:rPr>
        <w:t>76</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。整体来看，一季度累计供应</w:t>
      </w:r>
      <w:r>
        <w:rPr>
          <w:rFonts w:ascii="Arial" w:eastAsia="仿宋_GB2312" w:hAnsi="Arial" w:hint="eastAsia"/>
          <w:bCs/>
          <w:sz w:val="28"/>
          <w:szCs w:val="28"/>
        </w:rPr>
        <w:t>131</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，为近三年季度供应低点，仅高于</w:t>
      </w:r>
      <w:r>
        <w:rPr>
          <w:rFonts w:ascii="Arial" w:eastAsia="仿宋_GB2312" w:hAnsi="Arial" w:hint="eastAsia"/>
          <w:bCs/>
          <w:sz w:val="28"/>
          <w:szCs w:val="28"/>
        </w:rPr>
        <w:t>去年同期。</w:t>
      </w:r>
    </w:p>
    <w:p w14:paraId="1A11F430"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供求关系方面，</w:t>
      </w:r>
      <w:r>
        <w:rPr>
          <w:rFonts w:ascii="Arial" w:eastAsia="仿宋_GB2312" w:hAnsi="Arial" w:hint="eastAsia"/>
          <w:bCs/>
          <w:sz w:val="28"/>
          <w:szCs w:val="28"/>
        </w:rPr>
        <w:t>2023</w:t>
      </w:r>
      <w:r>
        <w:rPr>
          <w:rFonts w:ascii="Arial" w:eastAsia="仿宋_GB2312" w:hAnsi="Arial" w:hint="eastAsia"/>
          <w:bCs/>
          <w:sz w:val="28"/>
          <w:szCs w:val="28"/>
        </w:rPr>
        <w:t>年一季度商品住宅市场</w:t>
      </w:r>
      <w:proofErr w:type="gramStart"/>
      <w:r>
        <w:rPr>
          <w:rFonts w:ascii="Arial" w:eastAsia="仿宋_GB2312" w:hAnsi="Arial" w:hint="eastAsia"/>
          <w:bCs/>
          <w:sz w:val="28"/>
          <w:szCs w:val="28"/>
        </w:rPr>
        <w:t>销供比</w:t>
      </w:r>
      <w:proofErr w:type="gramEnd"/>
      <w:r>
        <w:rPr>
          <w:rFonts w:ascii="Arial" w:eastAsia="仿宋_GB2312" w:hAnsi="Arial" w:hint="eastAsia"/>
          <w:bCs/>
          <w:sz w:val="28"/>
          <w:szCs w:val="28"/>
        </w:rPr>
        <w:t>为</w:t>
      </w:r>
      <w:r>
        <w:rPr>
          <w:rFonts w:ascii="Arial" w:eastAsia="仿宋_GB2312" w:hAnsi="Arial" w:hint="eastAsia"/>
          <w:bCs/>
          <w:sz w:val="28"/>
          <w:szCs w:val="28"/>
        </w:rPr>
        <w:t>1.10</w:t>
      </w:r>
      <w:r>
        <w:rPr>
          <w:rFonts w:ascii="Arial" w:eastAsia="仿宋_GB2312" w:hAnsi="Arial" w:hint="eastAsia"/>
          <w:bCs/>
          <w:sz w:val="28"/>
          <w:szCs w:val="28"/>
        </w:rPr>
        <w:t>，整体处于供求弱平衡状态，已经连续三个季度呈现供不应求态势。预计后市随着成交端边际改善，市场供应将会同步提高。</w:t>
      </w:r>
    </w:p>
    <w:p w14:paraId="3DD1901B" w14:textId="77777777" w:rsidR="0062768B" w:rsidRDefault="00136729">
      <w:pPr>
        <w:overflowPunct w:val="0"/>
        <w:spacing w:line="360" w:lineRule="auto"/>
        <w:jc w:val="both"/>
        <w:textAlignment w:val="auto"/>
      </w:pPr>
      <w:r>
        <w:rPr>
          <w:noProof/>
        </w:rPr>
        <w:lastRenderedPageBreak/>
        <w:drawing>
          <wp:inline distT="0" distB="0" distL="0" distR="0" wp14:anchorId="017C68C6" wp14:editId="1CCC2BD4">
            <wp:extent cx="5901055" cy="1903095"/>
            <wp:effectExtent l="0" t="0" r="4445" b="1905"/>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01055" cy="1903095"/>
                    </a:xfrm>
                    <a:prstGeom prst="rect">
                      <a:avLst/>
                    </a:prstGeom>
                    <a:noFill/>
                    <a:ln>
                      <a:noFill/>
                    </a:ln>
                  </pic:spPr>
                </pic:pic>
              </a:graphicData>
            </a:graphic>
          </wp:inline>
        </w:drawing>
      </w:r>
    </w:p>
    <w:p w14:paraId="2B923E44"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年一季度北京商品住宅（不含保障房）库存规模回落，出清周期底部震荡。截至</w:t>
      </w:r>
      <w:r>
        <w:rPr>
          <w:rFonts w:ascii="Arial" w:eastAsia="仿宋_GB2312" w:hAnsi="Arial" w:hint="eastAsia"/>
          <w:bCs/>
          <w:sz w:val="28"/>
          <w:szCs w:val="28"/>
        </w:rPr>
        <w:t>3</w:t>
      </w:r>
      <w:r>
        <w:rPr>
          <w:rFonts w:ascii="Arial" w:eastAsia="仿宋_GB2312" w:hAnsi="Arial" w:hint="eastAsia"/>
          <w:bCs/>
          <w:sz w:val="28"/>
          <w:szCs w:val="28"/>
        </w:rPr>
        <w:t>月底，北京商品住宅（不含保障房）库存量为</w:t>
      </w:r>
      <w:r>
        <w:rPr>
          <w:rFonts w:ascii="Arial" w:eastAsia="仿宋_GB2312" w:hAnsi="Arial" w:hint="eastAsia"/>
          <w:bCs/>
          <w:sz w:val="28"/>
          <w:szCs w:val="28"/>
        </w:rPr>
        <w:t>1114</w:t>
      </w:r>
      <w:r>
        <w:rPr>
          <w:rFonts w:ascii="Arial" w:eastAsia="仿宋_GB2312" w:hAnsi="Arial" w:hint="eastAsia"/>
          <w:bCs/>
          <w:sz w:val="28"/>
          <w:szCs w:val="28"/>
        </w:rPr>
        <w:t>万平方米，较去年同期微降</w:t>
      </w:r>
      <w:r>
        <w:rPr>
          <w:rFonts w:ascii="Arial" w:eastAsia="仿宋_GB2312" w:hAnsi="Arial" w:hint="eastAsia"/>
          <w:bCs/>
          <w:sz w:val="28"/>
          <w:szCs w:val="28"/>
        </w:rPr>
        <w:t>1%</w:t>
      </w:r>
      <w:r>
        <w:rPr>
          <w:rFonts w:ascii="Arial" w:eastAsia="仿宋_GB2312" w:hAnsi="Arial" w:hint="eastAsia"/>
          <w:bCs/>
          <w:sz w:val="28"/>
          <w:szCs w:val="28"/>
        </w:rPr>
        <w:t>，库存规模进一步回落；月度来看，库存规模创近</w:t>
      </w:r>
      <w:r>
        <w:rPr>
          <w:rFonts w:ascii="Arial" w:eastAsia="仿宋_GB2312" w:hAnsi="Arial" w:hint="eastAsia"/>
          <w:bCs/>
          <w:sz w:val="28"/>
          <w:szCs w:val="28"/>
        </w:rPr>
        <w:t>14</w:t>
      </w:r>
      <w:r>
        <w:rPr>
          <w:rFonts w:ascii="Arial" w:eastAsia="仿宋_GB2312" w:hAnsi="Arial" w:hint="eastAsia"/>
          <w:bCs/>
          <w:sz w:val="28"/>
          <w:szCs w:val="28"/>
        </w:rPr>
        <w:t>个月新低。库存出清周期震荡抬升，目前为</w:t>
      </w:r>
      <w:r>
        <w:rPr>
          <w:rFonts w:ascii="Arial" w:eastAsia="仿宋_GB2312" w:hAnsi="Arial" w:hint="eastAsia"/>
          <w:bCs/>
          <w:sz w:val="28"/>
          <w:szCs w:val="28"/>
        </w:rPr>
        <w:t>18.8</w:t>
      </w:r>
      <w:r>
        <w:rPr>
          <w:rFonts w:ascii="Arial" w:eastAsia="仿宋_GB2312" w:hAnsi="Arial" w:hint="eastAsia"/>
          <w:bCs/>
          <w:sz w:val="28"/>
          <w:szCs w:val="28"/>
        </w:rPr>
        <w:t>个月（</w:t>
      </w:r>
      <w:r>
        <w:rPr>
          <w:rFonts w:ascii="Arial" w:eastAsia="仿宋_GB2312" w:hAnsi="Arial" w:hint="eastAsia"/>
          <w:bCs/>
          <w:sz w:val="28"/>
          <w:szCs w:val="28"/>
        </w:rPr>
        <w:t>3</w:t>
      </w:r>
      <w:r>
        <w:rPr>
          <w:rFonts w:ascii="Arial" w:eastAsia="仿宋_GB2312" w:hAnsi="Arial" w:hint="eastAsia"/>
          <w:bCs/>
          <w:sz w:val="28"/>
          <w:szCs w:val="28"/>
        </w:rPr>
        <w:t>月底出清周期），预计二季度供求关系改善或将带动出清周期下行，但仍需警惕结构性库存风险。</w:t>
      </w:r>
    </w:p>
    <w:p w14:paraId="246B841B" w14:textId="77777777" w:rsidR="0062768B" w:rsidRDefault="00136729">
      <w:pPr>
        <w:overflowPunct w:val="0"/>
        <w:spacing w:line="360" w:lineRule="auto"/>
        <w:jc w:val="center"/>
        <w:textAlignment w:val="auto"/>
        <w:rPr>
          <w:rFonts w:ascii="Arial" w:eastAsia="仿宋_GB2312" w:hAnsi="Arial"/>
          <w:bCs/>
          <w:sz w:val="28"/>
          <w:szCs w:val="28"/>
        </w:rPr>
      </w:pPr>
      <w:r>
        <w:rPr>
          <w:noProof/>
        </w:rPr>
        <w:drawing>
          <wp:inline distT="0" distB="0" distL="0" distR="0" wp14:anchorId="5FBA2AD3" wp14:editId="0409B896">
            <wp:extent cx="5901055" cy="1860550"/>
            <wp:effectExtent l="0" t="0" r="4445" b="6350"/>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901055" cy="1860550"/>
                    </a:xfrm>
                    <a:prstGeom prst="rect">
                      <a:avLst/>
                    </a:prstGeom>
                    <a:noFill/>
                    <a:ln>
                      <a:noFill/>
                    </a:ln>
                  </pic:spPr>
                </pic:pic>
              </a:graphicData>
            </a:graphic>
          </wp:inline>
        </w:drawing>
      </w:r>
    </w:p>
    <w:p w14:paraId="4BB7CBA3"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w:t>
      </w:r>
      <w:r>
        <w:rPr>
          <w:rFonts w:ascii="Arial" w:eastAsia="仿宋_GB2312" w:hAnsi="Arial" w:hint="eastAsia"/>
          <w:bCs/>
          <w:sz w:val="28"/>
          <w:szCs w:val="28"/>
        </w:rPr>
        <w:t>）商品住宅成交情况</w:t>
      </w:r>
    </w:p>
    <w:p w14:paraId="650BFF29"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A.</w:t>
      </w:r>
      <w:r>
        <w:rPr>
          <w:rFonts w:ascii="Arial" w:eastAsia="仿宋_GB2312" w:hAnsi="Arial" w:hint="eastAsia"/>
          <w:bCs/>
          <w:sz w:val="28"/>
          <w:szCs w:val="28"/>
        </w:rPr>
        <w:t>成交量</w:t>
      </w:r>
    </w:p>
    <w:p w14:paraId="1848A4A9"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年一季度北京商品住宅（不含保障房）成交</w:t>
      </w:r>
      <w:proofErr w:type="gramStart"/>
      <w:r>
        <w:rPr>
          <w:rFonts w:ascii="Arial" w:eastAsia="仿宋_GB2312" w:hAnsi="Arial" w:hint="eastAsia"/>
          <w:bCs/>
          <w:sz w:val="28"/>
          <w:szCs w:val="28"/>
        </w:rPr>
        <w:t>规模环</w:t>
      </w:r>
      <w:proofErr w:type="gramEnd"/>
      <w:r>
        <w:rPr>
          <w:rFonts w:ascii="Arial" w:eastAsia="仿宋_GB2312" w:hAnsi="Arial" w:hint="eastAsia"/>
          <w:bCs/>
          <w:sz w:val="28"/>
          <w:szCs w:val="28"/>
        </w:rPr>
        <w:t>比明显回落，且不及去年同期，但一季度呈现逐月回暖迹象。一季度北京楼市在传统春节淡季以及供应力度不足的影响下，市场表现相对一般，累计成交规模为</w:t>
      </w:r>
      <w:r>
        <w:rPr>
          <w:rFonts w:ascii="Arial" w:eastAsia="仿宋_GB2312" w:hAnsi="Arial" w:hint="eastAsia"/>
          <w:bCs/>
          <w:sz w:val="28"/>
          <w:szCs w:val="28"/>
        </w:rPr>
        <w:t>145</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，同比下降</w:t>
      </w:r>
      <w:r>
        <w:rPr>
          <w:rFonts w:ascii="Arial" w:eastAsia="仿宋_GB2312" w:hAnsi="Arial" w:hint="eastAsia"/>
          <w:bCs/>
          <w:sz w:val="28"/>
          <w:szCs w:val="28"/>
        </w:rPr>
        <w:t>5%</w:t>
      </w:r>
      <w:r>
        <w:rPr>
          <w:rFonts w:ascii="Arial" w:eastAsia="仿宋_GB2312" w:hAnsi="Arial" w:hint="eastAsia"/>
          <w:bCs/>
          <w:sz w:val="28"/>
          <w:szCs w:val="28"/>
        </w:rPr>
        <w:t>，环比下降</w:t>
      </w:r>
      <w:r>
        <w:rPr>
          <w:rFonts w:ascii="Arial" w:eastAsia="仿宋_GB2312" w:hAnsi="Arial" w:hint="eastAsia"/>
          <w:bCs/>
          <w:sz w:val="28"/>
          <w:szCs w:val="28"/>
        </w:rPr>
        <w:t>31%</w:t>
      </w:r>
      <w:r>
        <w:rPr>
          <w:rFonts w:ascii="Arial" w:eastAsia="仿宋_GB2312" w:hAnsi="Arial" w:hint="eastAsia"/>
          <w:bCs/>
          <w:sz w:val="28"/>
          <w:szCs w:val="28"/>
        </w:rPr>
        <w:t>；分月度来看，</w:t>
      </w:r>
      <w:r>
        <w:rPr>
          <w:rFonts w:ascii="Arial" w:eastAsia="仿宋_GB2312" w:hAnsi="Arial" w:hint="eastAsia"/>
          <w:bCs/>
          <w:sz w:val="28"/>
          <w:szCs w:val="28"/>
        </w:rPr>
        <w:t>1</w:t>
      </w:r>
      <w:r>
        <w:rPr>
          <w:rFonts w:ascii="Arial" w:eastAsia="仿宋_GB2312" w:hAnsi="Arial" w:hint="eastAsia"/>
          <w:bCs/>
          <w:sz w:val="28"/>
          <w:szCs w:val="28"/>
        </w:rPr>
        <w:t>月份正逢春节假期，叠加疫情因素未全部消除，导致成交仅</w:t>
      </w:r>
      <w:r>
        <w:rPr>
          <w:rFonts w:ascii="Arial" w:eastAsia="仿宋_GB2312" w:hAnsi="Arial" w:hint="eastAsia"/>
          <w:bCs/>
          <w:sz w:val="28"/>
          <w:szCs w:val="28"/>
        </w:rPr>
        <w:t>37</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，创近</w:t>
      </w:r>
      <w:r>
        <w:rPr>
          <w:rFonts w:ascii="Arial" w:eastAsia="仿宋_GB2312" w:hAnsi="Arial" w:hint="eastAsia"/>
          <w:bCs/>
          <w:sz w:val="28"/>
          <w:szCs w:val="28"/>
        </w:rPr>
        <w:t>11</w:t>
      </w:r>
      <w:r>
        <w:rPr>
          <w:rFonts w:ascii="Arial" w:eastAsia="仿宋_GB2312" w:hAnsi="Arial" w:hint="eastAsia"/>
          <w:bCs/>
          <w:sz w:val="28"/>
          <w:szCs w:val="28"/>
        </w:rPr>
        <w:t>个月新低；</w:t>
      </w:r>
      <w:r>
        <w:rPr>
          <w:rFonts w:ascii="Arial" w:eastAsia="仿宋_GB2312" w:hAnsi="Arial" w:hint="eastAsia"/>
          <w:bCs/>
          <w:sz w:val="28"/>
          <w:szCs w:val="28"/>
        </w:rPr>
        <w:t>2</w:t>
      </w:r>
      <w:r>
        <w:rPr>
          <w:rFonts w:ascii="Arial" w:eastAsia="仿宋_GB2312" w:hAnsi="Arial" w:hint="eastAsia"/>
          <w:bCs/>
          <w:sz w:val="28"/>
          <w:szCs w:val="28"/>
        </w:rPr>
        <w:t>月份市场热度回暖，</w:t>
      </w:r>
      <w:proofErr w:type="gramStart"/>
      <w:r>
        <w:rPr>
          <w:rFonts w:ascii="Arial" w:eastAsia="仿宋_GB2312" w:hAnsi="Arial" w:hint="eastAsia"/>
          <w:bCs/>
          <w:sz w:val="28"/>
          <w:szCs w:val="28"/>
        </w:rPr>
        <w:t>案场来访</w:t>
      </w:r>
      <w:proofErr w:type="gramEnd"/>
      <w:r>
        <w:rPr>
          <w:rFonts w:ascii="Arial" w:eastAsia="仿宋_GB2312" w:hAnsi="Arial" w:hint="eastAsia"/>
          <w:bCs/>
          <w:sz w:val="28"/>
          <w:szCs w:val="28"/>
        </w:rPr>
        <w:t>、认购量明显上涨，“小阳春”迹象明显；</w:t>
      </w:r>
      <w:r>
        <w:rPr>
          <w:rFonts w:ascii="Arial" w:eastAsia="仿宋_GB2312" w:hAnsi="Arial" w:hint="eastAsia"/>
          <w:bCs/>
          <w:sz w:val="28"/>
          <w:szCs w:val="28"/>
        </w:rPr>
        <w:t>3</w:t>
      </w:r>
      <w:r>
        <w:rPr>
          <w:rFonts w:ascii="Arial" w:eastAsia="仿宋_GB2312" w:hAnsi="Arial" w:hint="eastAsia"/>
          <w:bCs/>
          <w:sz w:val="28"/>
          <w:szCs w:val="28"/>
        </w:rPr>
        <w:t>月份供求两端发力，成交规模突破</w:t>
      </w:r>
      <w:r>
        <w:rPr>
          <w:rFonts w:ascii="Arial" w:eastAsia="仿宋_GB2312" w:hAnsi="Arial" w:hint="eastAsia"/>
          <w:bCs/>
          <w:sz w:val="28"/>
          <w:szCs w:val="28"/>
        </w:rPr>
        <w:t>65</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。一季度末北京开启二</w:t>
      </w:r>
      <w:r>
        <w:rPr>
          <w:rFonts w:ascii="Arial" w:eastAsia="仿宋_GB2312" w:hAnsi="Arial" w:hint="eastAsia"/>
          <w:bCs/>
          <w:sz w:val="28"/>
          <w:szCs w:val="28"/>
        </w:rPr>
        <w:t>手房交易“带押过户”模式，对于降低交易风险及成本、加快二手房流通具有积极意义，或将进一步激发楼市活力；叠加近期房山拟试点“一</w:t>
      </w:r>
      <w:r>
        <w:rPr>
          <w:rFonts w:ascii="Arial" w:eastAsia="仿宋_GB2312" w:hAnsi="Arial" w:hint="eastAsia"/>
          <w:bCs/>
          <w:sz w:val="28"/>
          <w:szCs w:val="28"/>
        </w:rPr>
        <w:lastRenderedPageBreak/>
        <w:t>区</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策”，支持多子女家庭购房，为北京楼市政策放松打开想象空间；预计随着供应改善，二手房置换和改善需求入市，将对二季度楼市进一步回暖形成较强支撑。</w:t>
      </w:r>
    </w:p>
    <w:p w14:paraId="35E195ED" w14:textId="77777777" w:rsidR="0062768B" w:rsidRDefault="00136729">
      <w:pPr>
        <w:widowControl/>
        <w:overflowPunct w:val="0"/>
        <w:adjustRightInd/>
        <w:spacing w:line="480" w:lineRule="auto"/>
        <w:jc w:val="center"/>
        <w:textAlignment w:val="auto"/>
        <w:rPr>
          <w:rFonts w:ascii="Arial" w:hAnsi="Arial"/>
          <w:bCs/>
          <w:sz w:val="21"/>
          <w:szCs w:val="28"/>
        </w:rPr>
      </w:pPr>
      <w:r>
        <w:rPr>
          <w:noProof/>
        </w:rPr>
        <w:drawing>
          <wp:inline distT="0" distB="0" distL="0" distR="0" wp14:anchorId="03FAF8B6" wp14:editId="4E2403A8">
            <wp:extent cx="5901055" cy="1892300"/>
            <wp:effectExtent l="0" t="0" r="4445" b="1270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901055" cy="1892300"/>
                    </a:xfrm>
                    <a:prstGeom prst="rect">
                      <a:avLst/>
                    </a:prstGeom>
                    <a:noFill/>
                    <a:ln>
                      <a:noFill/>
                    </a:ln>
                  </pic:spPr>
                </pic:pic>
              </a:graphicData>
            </a:graphic>
          </wp:inline>
        </w:drawing>
      </w:r>
    </w:p>
    <w:p w14:paraId="2A417739" w14:textId="77777777" w:rsidR="0062768B" w:rsidRDefault="00136729">
      <w:pPr>
        <w:tabs>
          <w:tab w:val="left" w:pos="426"/>
        </w:tabs>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B.</w:t>
      </w:r>
      <w:r>
        <w:rPr>
          <w:rFonts w:hint="eastAsia"/>
        </w:rPr>
        <w:t xml:space="preserve"> </w:t>
      </w:r>
      <w:r>
        <w:rPr>
          <w:rFonts w:ascii="Arial" w:eastAsia="仿宋_GB2312" w:hAnsi="Arial" w:hint="eastAsia"/>
          <w:bCs/>
          <w:sz w:val="28"/>
          <w:szCs w:val="28"/>
        </w:rPr>
        <w:t>成交价格</w:t>
      </w:r>
    </w:p>
    <w:p w14:paraId="2C877C2E"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a.</w:t>
      </w:r>
      <w:r>
        <w:rPr>
          <w:rFonts w:ascii="Arial" w:eastAsia="仿宋_GB2312" w:hAnsi="Arial" w:hint="eastAsia"/>
          <w:bCs/>
          <w:sz w:val="28"/>
          <w:szCs w:val="28"/>
        </w:rPr>
        <w:t>成交价格</w:t>
      </w:r>
    </w:p>
    <w:p w14:paraId="64B3CC92"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年一季度北京商品住宅价格同比涨幅持续低位，累计涨幅低于去年同期。伴随改善型项目持续入市、中高端产品成交增加，新建商品住宅价格结构性小幅上涨。整体来看，一季度北京新建商品住宅价格为</w:t>
      </w:r>
      <w:r>
        <w:rPr>
          <w:rFonts w:ascii="Arial" w:eastAsia="仿宋_GB2312" w:hAnsi="Arial" w:hint="eastAsia"/>
          <w:bCs/>
          <w:sz w:val="28"/>
          <w:szCs w:val="28"/>
        </w:rPr>
        <w:t>44708</w:t>
      </w:r>
      <w:r>
        <w:rPr>
          <w:rFonts w:ascii="Arial" w:eastAsia="仿宋_GB2312" w:hAnsi="Arial" w:hint="eastAsia"/>
          <w:bCs/>
          <w:sz w:val="28"/>
          <w:szCs w:val="28"/>
        </w:rPr>
        <w:t>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，同比</w:t>
      </w:r>
      <w:r>
        <w:rPr>
          <w:rFonts w:ascii="Arial" w:eastAsia="仿宋_GB2312" w:hAnsi="Arial" w:hint="eastAsia"/>
          <w:bCs/>
          <w:sz w:val="28"/>
          <w:szCs w:val="28"/>
        </w:rPr>
        <w:t>上涨</w:t>
      </w:r>
      <w:r>
        <w:rPr>
          <w:rFonts w:ascii="Arial" w:eastAsia="仿宋_GB2312" w:hAnsi="Arial" w:hint="eastAsia"/>
          <w:bCs/>
          <w:sz w:val="28"/>
          <w:szCs w:val="28"/>
        </w:rPr>
        <w:t>0.81%</w:t>
      </w:r>
      <w:r>
        <w:rPr>
          <w:rFonts w:ascii="Arial" w:eastAsia="仿宋_GB2312" w:hAnsi="Arial" w:hint="eastAsia"/>
          <w:bCs/>
          <w:sz w:val="28"/>
          <w:szCs w:val="28"/>
        </w:rPr>
        <w:t>，涨幅处于</w:t>
      </w:r>
      <w:r>
        <w:rPr>
          <w:rFonts w:ascii="Arial" w:eastAsia="仿宋_GB2312" w:hAnsi="Arial" w:hint="eastAsia"/>
          <w:bCs/>
          <w:sz w:val="28"/>
          <w:szCs w:val="28"/>
        </w:rPr>
        <w:t>2021</w:t>
      </w:r>
      <w:r>
        <w:rPr>
          <w:rFonts w:ascii="Arial" w:eastAsia="仿宋_GB2312" w:hAnsi="Arial" w:hint="eastAsia"/>
          <w:bCs/>
          <w:sz w:val="28"/>
          <w:szCs w:val="28"/>
        </w:rPr>
        <w:t>年以来低位水平；累计来看，一季度商品住房价格累计上涨</w:t>
      </w:r>
      <w:r>
        <w:rPr>
          <w:rFonts w:ascii="Arial" w:eastAsia="仿宋_GB2312" w:hAnsi="Arial" w:hint="eastAsia"/>
          <w:bCs/>
          <w:sz w:val="28"/>
          <w:szCs w:val="28"/>
        </w:rPr>
        <w:t>0.06%</w:t>
      </w:r>
      <w:r>
        <w:rPr>
          <w:rFonts w:ascii="Arial" w:eastAsia="仿宋_GB2312" w:hAnsi="Arial" w:hint="eastAsia"/>
          <w:bCs/>
          <w:sz w:val="28"/>
          <w:szCs w:val="28"/>
        </w:rPr>
        <w:t>，涨幅继续收窄，较去年同期收窄</w:t>
      </w:r>
      <w:r>
        <w:rPr>
          <w:rFonts w:ascii="Arial" w:eastAsia="仿宋_GB2312" w:hAnsi="Arial" w:hint="eastAsia"/>
          <w:bCs/>
          <w:sz w:val="28"/>
          <w:szCs w:val="28"/>
        </w:rPr>
        <w:t>0.04</w:t>
      </w:r>
      <w:r>
        <w:rPr>
          <w:rFonts w:ascii="Arial" w:eastAsia="仿宋_GB2312" w:hAnsi="Arial" w:hint="eastAsia"/>
          <w:bCs/>
          <w:sz w:val="28"/>
          <w:szCs w:val="28"/>
        </w:rPr>
        <w:t>个百分点。</w:t>
      </w:r>
    </w:p>
    <w:p w14:paraId="60BBF167" w14:textId="77777777" w:rsidR="0062768B" w:rsidRDefault="00136729">
      <w:pPr>
        <w:overflowPunct w:val="0"/>
        <w:spacing w:line="480" w:lineRule="auto"/>
        <w:jc w:val="center"/>
        <w:textAlignment w:val="auto"/>
        <w:rPr>
          <w:rFonts w:ascii="Arial" w:hAnsi="Arial"/>
          <w:sz w:val="21"/>
          <w:szCs w:val="28"/>
        </w:rPr>
      </w:pPr>
      <w:r>
        <w:rPr>
          <w:noProof/>
        </w:rPr>
        <w:drawing>
          <wp:inline distT="0" distB="0" distL="0" distR="0" wp14:anchorId="56AD1DF2" wp14:editId="4A62A58E">
            <wp:extent cx="5911850" cy="1786255"/>
            <wp:effectExtent l="0" t="0" r="12700" b="4445"/>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911850" cy="1786255"/>
                    </a:xfrm>
                    <a:prstGeom prst="rect">
                      <a:avLst/>
                    </a:prstGeom>
                    <a:noFill/>
                    <a:ln>
                      <a:noFill/>
                    </a:ln>
                  </pic:spPr>
                </pic:pic>
              </a:graphicData>
            </a:graphic>
          </wp:inline>
        </w:drawing>
      </w:r>
    </w:p>
    <w:p w14:paraId="2528D9A1"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b.</w:t>
      </w:r>
      <w:r>
        <w:rPr>
          <w:rFonts w:ascii="Arial" w:eastAsia="仿宋_GB2312" w:hAnsi="Arial" w:hint="eastAsia"/>
          <w:bCs/>
          <w:sz w:val="28"/>
          <w:szCs w:val="28"/>
        </w:rPr>
        <w:t>成交结构</w:t>
      </w:r>
    </w:p>
    <w:p w14:paraId="2B31CDD5"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w:t>
      </w:r>
      <w:r>
        <w:rPr>
          <w:rFonts w:ascii="Arial" w:eastAsia="仿宋_GB2312" w:hAnsi="Arial" w:hint="eastAsia"/>
          <w:bCs/>
          <w:sz w:val="28"/>
          <w:szCs w:val="28"/>
        </w:rPr>
        <w:t>90-200</w:t>
      </w:r>
      <w:r>
        <w:rPr>
          <w:rFonts w:ascii="Batang" w:eastAsia="Batang" w:hAnsi="Batang" w:cs="Batang" w:hint="eastAsia"/>
          <w:bCs/>
          <w:sz w:val="28"/>
          <w:szCs w:val="28"/>
        </w:rPr>
        <w:t>㎡</w:t>
      </w:r>
      <w:r>
        <w:rPr>
          <w:rFonts w:ascii="仿宋_GB2312" w:eastAsia="仿宋_GB2312" w:hAnsi="仿宋_GB2312" w:cs="仿宋_GB2312" w:hint="eastAsia"/>
          <w:bCs/>
          <w:sz w:val="28"/>
          <w:szCs w:val="28"/>
        </w:rPr>
        <w:t>面积段的刚改和改善型产品跃升为成交主力，成交套数占比达</w:t>
      </w:r>
      <w:r>
        <w:rPr>
          <w:rFonts w:ascii="Arial" w:eastAsia="仿宋_GB2312" w:hAnsi="Arial" w:hint="eastAsia"/>
          <w:bCs/>
          <w:sz w:val="28"/>
          <w:szCs w:val="28"/>
        </w:rPr>
        <w:t>55.5%</w:t>
      </w:r>
      <w:r>
        <w:rPr>
          <w:rFonts w:ascii="Arial" w:eastAsia="仿宋_GB2312" w:hAnsi="Arial" w:hint="eastAsia"/>
          <w:bCs/>
          <w:sz w:val="28"/>
          <w:szCs w:val="28"/>
        </w:rPr>
        <w:t>，占比提升</w:t>
      </w:r>
      <w:r>
        <w:rPr>
          <w:rFonts w:ascii="Arial" w:eastAsia="仿宋_GB2312" w:hAnsi="Arial" w:hint="eastAsia"/>
          <w:bCs/>
          <w:sz w:val="28"/>
          <w:szCs w:val="28"/>
        </w:rPr>
        <w:t>9.5</w:t>
      </w:r>
      <w:r>
        <w:rPr>
          <w:rFonts w:ascii="Arial" w:eastAsia="仿宋_GB2312" w:hAnsi="Arial" w:hint="eastAsia"/>
          <w:bCs/>
          <w:sz w:val="28"/>
          <w:szCs w:val="28"/>
        </w:rPr>
        <w:t>个百分点，增幅显著；成交总价段主要集中在</w:t>
      </w:r>
      <w:r>
        <w:rPr>
          <w:rFonts w:ascii="Arial" w:eastAsia="仿宋_GB2312" w:hAnsi="Arial" w:hint="eastAsia"/>
          <w:bCs/>
          <w:sz w:val="28"/>
          <w:szCs w:val="28"/>
        </w:rPr>
        <w:t>800</w:t>
      </w:r>
      <w:r>
        <w:rPr>
          <w:rFonts w:ascii="Arial" w:eastAsia="仿宋_GB2312" w:hAnsi="Arial" w:hint="eastAsia"/>
          <w:bCs/>
          <w:sz w:val="28"/>
          <w:szCs w:val="28"/>
        </w:rPr>
        <w:t>万之下的中低</w:t>
      </w:r>
      <w:r>
        <w:rPr>
          <w:rFonts w:ascii="Arial" w:eastAsia="仿宋_GB2312" w:hAnsi="Arial" w:hint="eastAsia"/>
          <w:bCs/>
          <w:sz w:val="28"/>
          <w:szCs w:val="28"/>
        </w:rPr>
        <w:t>/</w:t>
      </w:r>
      <w:r>
        <w:rPr>
          <w:rFonts w:ascii="Arial" w:eastAsia="仿宋_GB2312" w:hAnsi="Arial" w:hint="eastAsia"/>
          <w:bCs/>
          <w:sz w:val="28"/>
          <w:szCs w:val="28"/>
        </w:rPr>
        <w:t>中高价位，其中</w:t>
      </w:r>
      <w:r>
        <w:rPr>
          <w:rFonts w:ascii="Arial" w:eastAsia="仿宋_GB2312" w:hAnsi="Arial" w:hint="eastAsia"/>
          <w:bCs/>
          <w:sz w:val="28"/>
          <w:szCs w:val="28"/>
        </w:rPr>
        <w:t>500</w:t>
      </w:r>
      <w:r>
        <w:rPr>
          <w:rFonts w:ascii="Arial" w:eastAsia="仿宋_GB2312" w:hAnsi="Arial" w:hint="eastAsia"/>
          <w:bCs/>
          <w:sz w:val="28"/>
          <w:szCs w:val="28"/>
        </w:rPr>
        <w:t>万元以下低价位产品同比减少</w:t>
      </w:r>
      <w:r>
        <w:rPr>
          <w:rFonts w:ascii="Arial" w:eastAsia="仿宋_GB2312" w:hAnsi="Arial" w:hint="eastAsia"/>
          <w:bCs/>
          <w:sz w:val="28"/>
          <w:szCs w:val="28"/>
        </w:rPr>
        <w:t>9.4</w:t>
      </w:r>
      <w:r>
        <w:rPr>
          <w:rFonts w:ascii="Arial" w:eastAsia="仿宋_GB2312" w:hAnsi="Arial" w:hint="eastAsia"/>
          <w:bCs/>
          <w:sz w:val="28"/>
          <w:szCs w:val="28"/>
        </w:rPr>
        <w:t>个百分点，但仍为成交主力，成交套数占比达</w:t>
      </w:r>
      <w:r>
        <w:rPr>
          <w:rFonts w:ascii="Arial" w:eastAsia="仿宋_GB2312" w:hAnsi="Arial" w:hint="eastAsia"/>
          <w:bCs/>
          <w:sz w:val="28"/>
          <w:szCs w:val="28"/>
        </w:rPr>
        <w:t>49.1%</w:t>
      </w:r>
      <w:r>
        <w:rPr>
          <w:rFonts w:ascii="Arial" w:eastAsia="仿宋_GB2312" w:hAnsi="Arial" w:hint="eastAsia"/>
          <w:bCs/>
          <w:sz w:val="28"/>
          <w:szCs w:val="28"/>
        </w:rPr>
        <w:t>；</w:t>
      </w:r>
      <w:r>
        <w:rPr>
          <w:rFonts w:ascii="Arial" w:eastAsia="仿宋_GB2312" w:hAnsi="Arial" w:hint="eastAsia"/>
          <w:bCs/>
          <w:sz w:val="28"/>
          <w:szCs w:val="28"/>
        </w:rPr>
        <w:t>500-800</w:t>
      </w:r>
      <w:r>
        <w:rPr>
          <w:rFonts w:ascii="Arial" w:eastAsia="仿宋_GB2312" w:hAnsi="Arial" w:hint="eastAsia"/>
          <w:bCs/>
          <w:sz w:val="28"/>
          <w:szCs w:val="28"/>
        </w:rPr>
        <w:t>万元的中高价</w:t>
      </w:r>
      <w:proofErr w:type="gramStart"/>
      <w:r>
        <w:rPr>
          <w:rFonts w:ascii="Arial" w:eastAsia="仿宋_GB2312" w:hAnsi="Arial" w:hint="eastAsia"/>
          <w:bCs/>
          <w:sz w:val="28"/>
          <w:szCs w:val="28"/>
        </w:rPr>
        <w:t>段成交</w:t>
      </w:r>
      <w:proofErr w:type="gramEnd"/>
      <w:r>
        <w:rPr>
          <w:rFonts w:ascii="Arial" w:eastAsia="仿宋_GB2312" w:hAnsi="Arial" w:hint="eastAsia"/>
          <w:bCs/>
          <w:sz w:val="28"/>
          <w:szCs w:val="28"/>
        </w:rPr>
        <w:t>占比增加</w:t>
      </w:r>
      <w:r>
        <w:rPr>
          <w:rFonts w:ascii="Arial" w:eastAsia="仿宋_GB2312" w:hAnsi="Arial" w:hint="eastAsia"/>
          <w:bCs/>
          <w:sz w:val="28"/>
          <w:szCs w:val="28"/>
        </w:rPr>
        <w:t>7.1</w:t>
      </w:r>
      <w:r>
        <w:rPr>
          <w:rFonts w:ascii="Arial" w:eastAsia="仿宋_GB2312" w:hAnsi="Arial" w:hint="eastAsia"/>
          <w:bCs/>
          <w:sz w:val="28"/>
          <w:szCs w:val="28"/>
        </w:rPr>
        <w:t>个百分点至</w:t>
      </w:r>
      <w:r>
        <w:rPr>
          <w:rFonts w:ascii="Arial" w:eastAsia="仿宋_GB2312" w:hAnsi="Arial" w:hint="eastAsia"/>
          <w:bCs/>
          <w:sz w:val="28"/>
          <w:szCs w:val="28"/>
        </w:rPr>
        <w:t>26.8%</w:t>
      </w:r>
    </w:p>
    <w:p w14:paraId="30B21DC6"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lastRenderedPageBreak/>
        <w:t>改善性需求逐步释放，在中高端产品供应提高带动下，新房成交逐步由中低面积段向中</w:t>
      </w:r>
      <w:proofErr w:type="gramStart"/>
      <w:r>
        <w:rPr>
          <w:rFonts w:ascii="Arial" w:eastAsia="仿宋_GB2312" w:hAnsi="Arial" w:hint="eastAsia"/>
          <w:bCs/>
          <w:sz w:val="28"/>
          <w:szCs w:val="28"/>
        </w:rPr>
        <w:t>高面积段</w:t>
      </w:r>
      <w:proofErr w:type="gramEnd"/>
      <w:r>
        <w:rPr>
          <w:rFonts w:ascii="Arial" w:eastAsia="仿宋_GB2312" w:hAnsi="Arial" w:hint="eastAsia"/>
          <w:bCs/>
          <w:sz w:val="28"/>
          <w:szCs w:val="28"/>
        </w:rPr>
        <w:t>转移，成交总价</w:t>
      </w:r>
      <w:proofErr w:type="gramStart"/>
      <w:r>
        <w:rPr>
          <w:rFonts w:ascii="Arial" w:eastAsia="仿宋_GB2312" w:hAnsi="Arial" w:hint="eastAsia"/>
          <w:bCs/>
          <w:sz w:val="28"/>
          <w:szCs w:val="28"/>
        </w:rPr>
        <w:t>段逐步</w:t>
      </w:r>
      <w:proofErr w:type="gramEnd"/>
      <w:r>
        <w:rPr>
          <w:rFonts w:ascii="Arial" w:eastAsia="仿宋_GB2312" w:hAnsi="Arial" w:hint="eastAsia"/>
          <w:bCs/>
          <w:sz w:val="28"/>
          <w:szCs w:val="28"/>
        </w:rPr>
        <w:t>由中低价位向中高价位产品转移，而</w:t>
      </w:r>
      <w:proofErr w:type="gramStart"/>
      <w:r>
        <w:rPr>
          <w:rFonts w:ascii="Arial" w:eastAsia="仿宋_GB2312" w:hAnsi="Arial" w:hint="eastAsia"/>
          <w:bCs/>
          <w:sz w:val="28"/>
          <w:szCs w:val="28"/>
        </w:rPr>
        <w:t>高面积段</w:t>
      </w:r>
      <w:proofErr w:type="gramEnd"/>
      <w:r>
        <w:rPr>
          <w:rFonts w:ascii="Arial" w:eastAsia="仿宋_GB2312" w:hAnsi="Arial" w:hint="eastAsia"/>
          <w:bCs/>
          <w:sz w:val="28"/>
          <w:szCs w:val="28"/>
        </w:rPr>
        <w:t>和高价格</w:t>
      </w:r>
      <w:proofErr w:type="gramStart"/>
      <w:r>
        <w:rPr>
          <w:rFonts w:ascii="Arial" w:eastAsia="仿宋_GB2312" w:hAnsi="Arial" w:hint="eastAsia"/>
          <w:bCs/>
          <w:sz w:val="28"/>
          <w:szCs w:val="28"/>
        </w:rPr>
        <w:t>段产品</w:t>
      </w:r>
      <w:proofErr w:type="gramEnd"/>
      <w:r>
        <w:rPr>
          <w:rFonts w:ascii="Arial" w:eastAsia="仿宋_GB2312" w:hAnsi="Arial" w:hint="eastAsia"/>
          <w:bCs/>
          <w:sz w:val="28"/>
          <w:szCs w:val="28"/>
        </w:rPr>
        <w:t>同比变化幅度较小。</w:t>
      </w:r>
    </w:p>
    <w:p w14:paraId="3C2D1404" w14:textId="77777777" w:rsidR="0062768B" w:rsidRDefault="00136729">
      <w:pPr>
        <w:tabs>
          <w:tab w:val="left" w:pos="426"/>
        </w:tabs>
        <w:overflowPunct w:val="0"/>
        <w:spacing w:line="360" w:lineRule="auto"/>
        <w:jc w:val="center"/>
        <w:textAlignment w:val="auto"/>
        <w:rPr>
          <w:rFonts w:ascii="Arial" w:eastAsia="仿宋_GB2312" w:hAnsi="Arial"/>
          <w:bCs/>
          <w:sz w:val="28"/>
          <w:szCs w:val="28"/>
        </w:rPr>
      </w:pPr>
      <w:r>
        <w:rPr>
          <w:noProof/>
        </w:rPr>
        <w:drawing>
          <wp:inline distT="0" distB="0" distL="0" distR="0" wp14:anchorId="45760DDB" wp14:editId="5CFE5928">
            <wp:extent cx="5911850" cy="1913890"/>
            <wp:effectExtent l="0" t="0" r="12700" b="10160"/>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911850" cy="1913890"/>
                    </a:xfrm>
                    <a:prstGeom prst="rect">
                      <a:avLst/>
                    </a:prstGeom>
                    <a:noFill/>
                    <a:ln>
                      <a:noFill/>
                    </a:ln>
                  </pic:spPr>
                </pic:pic>
              </a:graphicData>
            </a:graphic>
          </wp:inline>
        </w:drawing>
      </w:r>
    </w:p>
    <w:p w14:paraId="2865A430"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C.</w:t>
      </w:r>
      <w:r>
        <w:rPr>
          <w:rFonts w:ascii="Arial" w:eastAsia="仿宋_GB2312" w:hAnsi="Arial" w:cs="Arial" w:hint="eastAsia"/>
          <w:bCs/>
          <w:sz w:val="28"/>
          <w:szCs w:val="28"/>
        </w:rPr>
        <w:t>区域成交</w:t>
      </w:r>
    </w:p>
    <w:p w14:paraId="5E588AE5"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从成交规模来看，近郊六区为北京商品住宅（不含保障房）成交主力区域。</w:t>
      </w:r>
      <w:r>
        <w:rPr>
          <w:rFonts w:ascii="Arial" w:eastAsia="仿宋_GB2312" w:hAnsi="Arial" w:cs="Arial" w:hint="eastAsia"/>
          <w:bCs/>
          <w:sz w:val="28"/>
          <w:szCs w:val="28"/>
        </w:rPr>
        <w:t>2023</w:t>
      </w:r>
      <w:r>
        <w:rPr>
          <w:rFonts w:ascii="Arial" w:eastAsia="仿宋_GB2312" w:hAnsi="Arial" w:cs="Arial" w:hint="eastAsia"/>
          <w:bCs/>
          <w:sz w:val="28"/>
          <w:szCs w:val="28"/>
        </w:rPr>
        <w:t>年一季度近郊六</w:t>
      </w:r>
      <w:proofErr w:type="gramStart"/>
      <w:r>
        <w:rPr>
          <w:rFonts w:ascii="Arial" w:eastAsia="仿宋_GB2312" w:hAnsi="Arial" w:cs="Arial" w:hint="eastAsia"/>
          <w:bCs/>
          <w:sz w:val="28"/>
          <w:szCs w:val="28"/>
        </w:rPr>
        <w:t>区成交</w:t>
      </w:r>
      <w:proofErr w:type="gramEnd"/>
      <w:r>
        <w:rPr>
          <w:rFonts w:ascii="Arial" w:eastAsia="仿宋_GB2312" w:hAnsi="Arial" w:cs="Arial" w:hint="eastAsia"/>
          <w:bCs/>
          <w:sz w:val="28"/>
          <w:szCs w:val="28"/>
        </w:rPr>
        <w:t>82.34</w:t>
      </w:r>
      <w:r>
        <w:rPr>
          <w:rFonts w:ascii="Arial" w:eastAsia="仿宋_GB2312" w:hAnsi="Arial" w:cs="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，占比达</w:t>
      </w:r>
      <w:r>
        <w:rPr>
          <w:rFonts w:ascii="Arial" w:eastAsia="仿宋_GB2312" w:hAnsi="Arial" w:cs="Arial" w:hint="eastAsia"/>
          <w:bCs/>
          <w:sz w:val="28"/>
          <w:szCs w:val="28"/>
        </w:rPr>
        <w:t>56.7%</w:t>
      </w:r>
      <w:r>
        <w:rPr>
          <w:rFonts w:ascii="Arial" w:eastAsia="仿宋_GB2312" w:hAnsi="Arial" w:cs="Arial" w:hint="eastAsia"/>
          <w:bCs/>
          <w:sz w:val="28"/>
          <w:szCs w:val="28"/>
        </w:rPr>
        <w:t>；其中，昌平、顺义、</w:t>
      </w:r>
      <w:proofErr w:type="gramStart"/>
      <w:r>
        <w:rPr>
          <w:rFonts w:ascii="Arial" w:eastAsia="仿宋_GB2312" w:hAnsi="Arial" w:cs="Arial" w:hint="eastAsia"/>
          <w:bCs/>
          <w:sz w:val="28"/>
          <w:szCs w:val="28"/>
        </w:rPr>
        <w:t>大兴区</w:t>
      </w:r>
      <w:proofErr w:type="gramEnd"/>
      <w:r>
        <w:rPr>
          <w:rFonts w:ascii="Arial" w:eastAsia="仿宋_GB2312" w:hAnsi="Arial" w:cs="Arial" w:hint="eastAsia"/>
          <w:bCs/>
          <w:sz w:val="28"/>
          <w:szCs w:val="28"/>
        </w:rPr>
        <w:t>累计成交均超</w:t>
      </w:r>
      <w:r>
        <w:rPr>
          <w:rFonts w:ascii="Arial" w:eastAsia="仿宋_GB2312" w:hAnsi="Arial" w:cs="Arial" w:hint="eastAsia"/>
          <w:bCs/>
          <w:sz w:val="28"/>
          <w:szCs w:val="28"/>
        </w:rPr>
        <w:t>18</w:t>
      </w:r>
      <w:r>
        <w:rPr>
          <w:rFonts w:ascii="Arial" w:eastAsia="仿宋_GB2312" w:hAnsi="Arial" w:cs="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，分居北京各区销售规模第二、三、四位。中心城区中丰台、朝阳表现较好，成交规模超</w:t>
      </w:r>
      <w:r>
        <w:rPr>
          <w:rFonts w:ascii="Arial" w:eastAsia="仿宋_GB2312" w:hAnsi="Arial" w:cs="Arial" w:hint="eastAsia"/>
          <w:bCs/>
          <w:sz w:val="28"/>
          <w:szCs w:val="28"/>
        </w:rPr>
        <w:t>15</w:t>
      </w:r>
      <w:r>
        <w:rPr>
          <w:rFonts w:ascii="Arial" w:eastAsia="仿宋_GB2312" w:hAnsi="Arial" w:cs="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w:t>
      </w:r>
    </w:p>
    <w:p w14:paraId="05D55BA5"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从成交价格来看，中心、近郊和远郊区域的成交规模同比均有不同程度的回落，中心城区成交规模同比回落</w:t>
      </w:r>
      <w:r>
        <w:rPr>
          <w:rFonts w:ascii="Arial" w:eastAsia="仿宋_GB2312" w:hAnsi="Arial" w:cs="Arial" w:hint="eastAsia"/>
          <w:bCs/>
          <w:sz w:val="28"/>
          <w:szCs w:val="28"/>
        </w:rPr>
        <w:t>1%</w:t>
      </w:r>
      <w:r>
        <w:rPr>
          <w:rFonts w:ascii="Arial" w:eastAsia="仿宋_GB2312" w:hAnsi="Arial" w:cs="Arial" w:hint="eastAsia"/>
          <w:bCs/>
          <w:sz w:val="28"/>
          <w:szCs w:val="28"/>
        </w:rPr>
        <w:t>，韧性最强；其中丰台、东城成交规模增幅同比翻倍，海淀、石景山、西城</w:t>
      </w:r>
      <w:proofErr w:type="gramStart"/>
      <w:r>
        <w:rPr>
          <w:rFonts w:ascii="Arial" w:eastAsia="仿宋_GB2312" w:hAnsi="Arial" w:cs="Arial" w:hint="eastAsia"/>
          <w:bCs/>
          <w:sz w:val="28"/>
          <w:szCs w:val="28"/>
        </w:rPr>
        <w:t>降幅超</w:t>
      </w:r>
      <w:proofErr w:type="gramEnd"/>
      <w:r>
        <w:rPr>
          <w:rFonts w:ascii="Arial" w:eastAsia="仿宋_GB2312" w:hAnsi="Arial" w:cs="Arial" w:hint="eastAsia"/>
          <w:bCs/>
          <w:sz w:val="28"/>
          <w:szCs w:val="28"/>
        </w:rPr>
        <w:t>三成。近郊</w:t>
      </w:r>
      <w:proofErr w:type="gramStart"/>
      <w:r>
        <w:rPr>
          <w:rFonts w:ascii="Arial" w:eastAsia="仿宋_GB2312" w:hAnsi="Arial" w:cs="Arial" w:hint="eastAsia"/>
          <w:bCs/>
          <w:sz w:val="28"/>
          <w:szCs w:val="28"/>
        </w:rPr>
        <w:t>区成交</w:t>
      </w:r>
      <w:proofErr w:type="gramEnd"/>
      <w:r>
        <w:rPr>
          <w:rFonts w:ascii="Arial" w:eastAsia="仿宋_GB2312" w:hAnsi="Arial" w:cs="Arial" w:hint="eastAsia"/>
          <w:bCs/>
          <w:sz w:val="28"/>
          <w:szCs w:val="28"/>
        </w:rPr>
        <w:t>规模同比下降</w:t>
      </w:r>
      <w:r>
        <w:rPr>
          <w:rFonts w:ascii="Arial" w:eastAsia="仿宋_GB2312" w:hAnsi="Arial" w:cs="Arial" w:hint="eastAsia"/>
          <w:bCs/>
          <w:sz w:val="28"/>
          <w:szCs w:val="28"/>
        </w:rPr>
        <w:t>6%</w:t>
      </w:r>
      <w:r>
        <w:rPr>
          <w:rFonts w:ascii="Arial" w:eastAsia="仿宋_GB2312" w:hAnsi="Arial" w:cs="Arial" w:hint="eastAsia"/>
          <w:bCs/>
          <w:sz w:val="28"/>
          <w:szCs w:val="28"/>
        </w:rPr>
        <w:t>，韧性较强，其中房山、昌平、门头沟同比增长，通州、顺义、大兴成交主力区域均下降一成以上；远郊</w:t>
      </w:r>
      <w:proofErr w:type="gramStart"/>
      <w:r>
        <w:rPr>
          <w:rFonts w:ascii="Arial" w:eastAsia="仿宋_GB2312" w:hAnsi="Arial" w:cs="Arial" w:hint="eastAsia"/>
          <w:bCs/>
          <w:sz w:val="28"/>
          <w:szCs w:val="28"/>
        </w:rPr>
        <w:t>区成交</w:t>
      </w:r>
      <w:proofErr w:type="gramEnd"/>
      <w:r>
        <w:rPr>
          <w:rFonts w:ascii="Arial" w:eastAsia="仿宋_GB2312" w:hAnsi="Arial" w:cs="Arial" w:hint="eastAsia"/>
          <w:bCs/>
          <w:sz w:val="28"/>
          <w:szCs w:val="28"/>
        </w:rPr>
        <w:t>规模同比下降</w:t>
      </w:r>
      <w:r>
        <w:rPr>
          <w:rFonts w:ascii="Arial" w:eastAsia="仿宋_GB2312" w:hAnsi="Arial" w:cs="Arial" w:hint="eastAsia"/>
          <w:bCs/>
          <w:sz w:val="28"/>
          <w:szCs w:val="28"/>
        </w:rPr>
        <w:t>22%</w:t>
      </w:r>
      <w:r>
        <w:rPr>
          <w:rFonts w:ascii="Arial" w:eastAsia="仿宋_GB2312" w:hAnsi="Arial" w:cs="Arial" w:hint="eastAsia"/>
          <w:bCs/>
          <w:sz w:val="28"/>
          <w:szCs w:val="28"/>
        </w:rPr>
        <w:t>，下降幅度最大，其中密云、延庆降幅三成以上。</w:t>
      </w:r>
    </w:p>
    <w:p w14:paraId="6529845C" w14:textId="77777777" w:rsidR="0062768B" w:rsidRDefault="00136729">
      <w:pPr>
        <w:widowControl/>
        <w:adjustRightInd/>
        <w:spacing w:line="360" w:lineRule="auto"/>
        <w:jc w:val="both"/>
        <w:textAlignment w:val="auto"/>
        <w:rPr>
          <w:rFonts w:ascii="Arial" w:eastAsia="仿宋_GB2312" w:hAnsi="Arial" w:cs="Arial"/>
          <w:bCs/>
          <w:sz w:val="28"/>
          <w:szCs w:val="28"/>
        </w:rPr>
      </w:pPr>
      <w:r>
        <w:rPr>
          <w:noProof/>
        </w:rPr>
        <w:drawing>
          <wp:inline distT="0" distB="0" distL="0" distR="0" wp14:anchorId="24AF4221" wp14:editId="7288A35C">
            <wp:extent cx="5901055" cy="2232660"/>
            <wp:effectExtent l="0" t="0" r="4445" b="15240"/>
            <wp:docPr id="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901055" cy="2232660"/>
                    </a:xfrm>
                    <a:prstGeom prst="rect">
                      <a:avLst/>
                    </a:prstGeom>
                    <a:noFill/>
                    <a:ln>
                      <a:noFill/>
                    </a:ln>
                  </pic:spPr>
                </pic:pic>
              </a:graphicData>
            </a:graphic>
          </wp:inline>
        </w:drawing>
      </w:r>
    </w:p>
    <w:p w14:paraId="04C798D7"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）存量房住宅市场</w:t>
      </w:r>
    </w:p>
    <w:p w14:paraId="783F144B"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）市场运行状况</w:t>
      </w:r>
    </w:p>
    <w:p w14:paraId="26FA772F" w14:textId="77777777" w:rsidR="0062768B" w:rsidRDefault="00136729">
      <w:pPr>
        <w:tabs>
          <w:tab w:val="left" w:pos="426"/>
        </w:tabs>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lastRenderedPageBreak/>
        <w:t>2023</w:t>
      </w:r>
      <w:r>
        <w:rPr>
          <w:rFonts w:ascii="Arial" w:eastAsia="仿宋_GB2312" w:hAnsi="Arial" w:hint="eastAsia"/>
          <w:bCs/>
          <w:sz w:val="28"/>
          <w:szCs w:val="28"/>
        </w:rPr>
        <w:t>年一季度北京存量房住宅市场持续回温，成交升至近一年高位。一季度北京存量房住宅市场热度先降后升，累计成交</w:t>
      </w:r>
      <w:r>
        <w:rPr>
          <w:rFonts w:ascii="Arial" w:eastAsia="仿宋_GB2312" w:hAnsi="Arial" w:hint="eastAsia"/>
          <w:bCs/>
          <w:sz w:val="28"/>
          <w:szCs w:val="28"/>
        </w:rPr>
        <w:t>4.73</w:t>
      </w:r>
      <w:r>
        <w:rPr>
          <w:rFonts w:ascii="Arial" w:eastAsia="仿宋_GB2312" w:hAnsi="Arial" w:hint="eastAsia"/>
          <w:bCs/>
          <w:sz w:val="28"/>
          <w:szCs w:val="28"/>
        </w:rPr>
        <w:t>万套，环比上涨</w:t>
      </w:r>
      <w:r>
        <w:rPr>
          <w:rFonts w:ascii="Arial" w:eastAsia="仿宋_GB2312" w:hAnsi="Arial" w:hint="eastAsia"/>
          <w:bCs/>
          <w:sz w:val="28"/>
          <w:szCs w:val="28"/>
        </w:rPr>
        <w:t>52%</w:t>
      </w:r>
      <w:r>
        <w:rPr>
          <w:rFonts w:ascii="Arial" w:eastAsia="仿宋_GB2312" w:hAnsi="Arial" w:hint="eastAsia"/>
          <w:bCs/>
          <w:sz w:val="28"/>
          <w:szCs w:val="28"/>
        </w:rPr>
        <w:t>，同比上涨</w:t>
      </w:r>
      <w:r>
        <w:rPr>
          <w:rFonts w:ascii="Arial" w:eastAsia="仿宋_GB2312" w:hAnsi="Arial" w:hint="eastAsia"/>
          <w:bCs/>
          <w:sz w:val="28"/>
          <w:szCs w:val="28"/>
        </w:rPr>
        <w:t>28%</w:t>
      </w:r>
      <w:r>
        <w:rPr>
          <w:rFonts w:ascii="Arial" w:eastAsia="仿宋_GB2312" w:hAnsi="Arial" w:hint="eastAsia"/>
          <w:bCs/>
          <w:sz w:val="28"/>
          <w:szCs w:val="28"/>
        </w:rPr>
        <w:t>。从月度趋势来看，</w:t>
      </w:r>
      <w:r>
        <w:rPr>
          <w:rFonts w:ascii="Arial" w:eastAsia="仿宋_GB2312" w:hAnsi="Arial" w:hint="eastAsia"/>
          <w:bCs/>
          <w:sz w:val="28"/>
          <w:szCs w:val="28"/>
        </w:rPr>
        <w:t>1</w:t>
      </w:r>
      <w:r>
        <w:rPr>
          <w:rFonts w:ascii="Arial" w:eastAsia="仿宋_GB2312" w:hAnsi="Arial" w:hint="eastAsia"/>
          <w:bCs/>
          <w:sz w:val="28"/>
          <w:szCs w:val="28"/>
        </w:rPr>
        <w:t>月市场整体仍处于调整期叠加春节假期的影响，成交量处于低位；</w:t>
      </w:r>
      <w:r>
        <w:rPr>
          <w:rFonts w:ascii="Arial" w:eastAsia="仿宋_GB2312" w:hAnsi="Arial" w:hint="eastAsia"/>
          <w:bCs/>
          <w:sz w:val="28"/>
          <w:szCs w:val="28"/>
        </w:rPr>
        <w:t>2</w:t>
      </w:r>
      <w:r>
        <w:rPr>
          <w:rFonts w:ascii="Arial" w:eastAsia="仿宋_GB2312" w:hAnsi="Arial" w:hint="eastAsia"/>
          <w:bCs/>
          <w:sz w:val="28"/>
          <w:szCs w:val="28"/>
        </w:rPr>
        <w:t>月，整体市场逐步回温，存量房住宅挂牌量增加，带动成交规模大幅回升；</w:t>
      </w:r>
      <w:r>
        <w:rPr>
          <w:rFonts w:ascii="Arial" w:eastAsia="仿宋_GB2312" w:hAnsi="Arial" w:hint="eastAsia"/>
          <w:bCs/>
          <w:sz w:val="28"/>
          <w:szCs w:val="28"/>
        </w:rPr>
        <w:t>3</w:t>
      </w:r>
      <w:r>
        <w:rPr>
          <w:rFonts w:ascii="Arial" w:eastAsia="仿宋_GB2312" w:hAnsi="Arial" w:hint="eastAsia"/>
          <w:bCs/>
          <w:sz w:val="28"/>
          <w:szCs w:val="28"/>
        </w:rPr>
        <w:t>月受前期积压需求及子女入学购房需求集中释放影响，北京存量房住宅成交量继续增长，成交</w:t>
      </w:r>
      <w:proofErr w:type="gramStart"/>
      <w:r>
        <w:rPr>
          <w:rFonts w:ascii="Arial" w:eastAsia="仿宋_GB2312" w:hAnsi="Arial" w:hint="eastAsia"/>
          <w:bCs/>
          <w:sz w:val="28"/>
          <w:szCs w:val="28"/>
        </w:rPr>
        <w:t>套数超</w:t>
      </w:r>
      <w:proofErr w:type="gramEnd"/>
      <w:r>
        <w:rPr>
          <w:rFonts w:ascii="Arial" w:eastAsia="仿宋_GB2312" w:hAnsi="Arial" w:hint="eastAsia"/>
          <w:bCs/>
          <w:sz w:val="28"/>
          <w:szCs w:val="28"/>
        </w:rPr>
        <w:t>2.2</w:t>
      </w:r>
      <w:r>
        <w:rPr>
          <w:rFonts w:ascii="Arial" w:eastAsia="仿宋_GB2312" w:hAnsi="Arial" w:hint="eastAsia"/>
          <w:bCs/>
          <w:sz w:val="28"/>
          <w:szCs w:val="28"/>
        </w:rPr>
        <w:t>万套，同比增幅近三成，环比</w:t>
      </w:r>
      <w:proofErr w:type="gramStart"/>
      <w:r>
        <w:rPr>
          <w:rFonts w:ascii="Arial" w:eastAsia="仿宋_GB2312" w:hAnsi="Arial" w:hint="eastAsia"/>
          <w:bCs/>
          <w:sz w:val="28"/>
          <w:szCs w:val="28"/>
        </w:rPr>
        <w:t>增幅超</w:t>
      </w:r>
      <w:proofErr w:type="gramEnd"/>
      <w:r>
        <w:rPr>
          <w:rFonts w:ascii="Arial" w:eastAsia="仿宋_GB2312" w:hAnsi="Arial" w:hint="eastAsia"/>
          <w:bCs/>
          <w:sz w:val="28"/>
          <w:szCs w:val="28"/>
        </w:rPr>
        <w:t>四成。进入</w:t>
      </w:r>
      <w:r>
        <w:rPr>
          <w:rFonts w:ascii="Arial" w:eastAsia="仿宋_GB2312" w:hAnsi="Arial" w:hint="eastAsia"/>
          <w:bCs/>
          <w:sz w:val="28"/>
          <w:szCs w:val="28"/>
        </w:rPr>
        <w:t>4</w:t>
      </w:r>
      <w:r>
        <w:rPr>
          <w:rFonts w:ascii="Arial" w:eastAsia="仿宋_GB2312" w:hAnsi="Arial" w:hint="eastAsia"/>
          <w:bCs/>
          <w:sz w:val="28"/>
          <w:szCs w:val="28"/>
        </w:rPr>
        <w:t>月，北京存量房住宅成交量环比有所下滑，在积压需求逐渐释放后，预计未来市场活跃度或将有所回落。</w:t>
      </w:r>
    </w:p>
    <w:p w14:paraId="71BB1C50" w14:textId="77777777" w:rsidR="0062768B" w:rsidRDefault="00136729">
      <w:pPr>
        <w:tabs>
          <w:tab w:val="left" w:pos="426"/>
        </w:tabs>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年一季度北京存量房住宅价格</w:t>
      </w:r>
      <w:proofErr w:type="gramStart"/>
      <w:r>
        <w:rPr>
          <w:rFonts w:ascii="Arial" w:eastAsia="仿宋_GB2312" w:hAnsi="Arial" w:hint="eastAsia"/>
          <w:bCs/>
          <w:sz w:val="28"/>
          <w:szCs w:val="28"/>
        </w:rPr>
        <w:t>环比微涨</w:t>
      </w:r>
      <w:proofErr w:type="gramEnd"/>
      <w:r>
        <w:rPr>
          <w:rFonts w:ascii="Arial" w:eastAsia="仿宋_GB2312" w:hAnsi="Arial" w:hint="eastAsia"/>
          <w:bCs/>
          <w:sz w:val="28"/>
          <w:szCs w:val="28"/>
        </w:rPr>
        <w:t>，同比微跌。一季度北京存量房住宅成交均价约为</w:t>
      </w:r>
      <w:r>
        <w:rPr>
          <w:rFonts w:ascii="Arial" w:eastAsia="仿宋_GB2312" w:hAnsi="Arial" w:hint="eastAsia"/>
          <w:bCs/>
          <w:sz w:val="28"/>
          <w:szCs w:val="28"/>
        </w:rPr>
        <w:t>61177</w:t>
      </w:r>
      <w:r>
        <w:rPr>
          <w:rFonts w:ascii="Arial" w:eastAsia="仿宋_GB2312" w:hAnsi="Arial" w:hint="eastAsia"/>
          <w:bCs/>
          <w:sz w:val="28"/>
          <w:szCs w:val="28"/>
        </w:rPr>
        <w:t>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，同比下跌</w:t>
      </w:r>
      <w:r>
        <w:rPr>
          <w:rFonts w:ascii="Arial" w:eastAsia="仿宋_GB2312" w:hAnsi="Arial" w:hint="eastAsia"/>
          <w:bCs/>
          <w:sz w:val="28"/>
          <w:szCs w:val="28"/>
        </w:rPr>
        <w:t>1%</w:t>
      </w:r>
      <w:r>
        <w:rPr>
          <w:rFonts w:ascii="Arial" w:eastAsia="仿宋_GB2312" w:hAnsi="Arial" w:hint="eastAsia"/>
          <w:bCs/>
          <w:sz w:val="28"/>
          <w:szCs w:val="28"/>
        </w:rPr>
        <w:t>，</w:t>
      </w:r>
      <w:proofErr w:type="gramStart"/>
      <w:r>
        <w:rPr>
          <w:rFonts w:ascii="Arial" w:eastAsia="仿宋_GB2312" w:hAnsi="Arial" w:hint="eastAsia"/>
          <w:bCs/>
          <w:sz w:val="28"/>
          <w:szCs w:val="28"/>
        </w:rPr>
        <w:t>环比涨</w:t>
      </w:r>
      <w:proofErr w:type="gramEnd"/>
      <w:r>
        <w:rPr>
          <w:rFonts w:ascii="Arial" w:eastAsia="仿宋_GB2312" w:hAnsi="Arial" w:hint="eastAsia"/>
          <w:bCs/>
          <w:sz w:val="28"/>
          <w:szCs w:val="28"/>
        </w:rPr>
        <w:t>0.5%</w:t>
      </w:r>
      <w:r>
        <w:rPr>
          <w:rFonts w:ascii="Arial" w:eastAsia="仿宋_GB2312" w:hAnsi="Arial" w:hint="eastAsia"/>
          <w:bCs/>
          <w:sz w:val="28"/>
          <w:szCs w:val="28"/>
        </w:rPr>
        <w:t>。从月度趋势来看，在北京存量房住宅市场整体复苏的背景下，业主对后市预期提升，整体房价相对坚挺，月度呈现小幅波动态势。</w:t>
      </w:r>
    </w:p>
    <w:p w14:paraId="323A2BE3" w14:textId="77777777" w:rsidR="0062768B" w:rsidRDefault="00136729">
      <w:pPr>
        <w:tabs>
          <w:tab w:val="left" w:pos="426"/>
        </w:tabs>
        <w:overflowPunct w:val="0"/>
        <w:spacing w:line="360" w:lineRule="auto"/>
        <w:jc w:val="both"/>
        <w:textAlignment w:val="auto"/>
        <w:rPr>
          <w:rFonts w:ascii="Arial" w:eastAsia="仿宋_GB2312" w:hAnsi="Arial"/>
          <w:bCs/>
          <w:sz w:val="28"/>
          <w:szCs w:val="28"/>
        </w:rPr>
      </w:pPr>
      <w:r>
        <w:rPr>
          <w:noProof/>
        </w:rPr>
        <w:drawing>
          <wp:inline distT="0" distB="0" distL="0" distR="0" wp14:anchorId="7EEFE32D" wp14:editId="53EB1EC5">
            <wp:extent cx="5911850" cy="1605280"/>
            <wp:effectExtent l="0" t="0" r="12700" b="13970"/>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911850" cy="1605280"/>
                    </a:xfrm>
                    <a:prstGeom prst="rect">
                      <a:avLst/>
                    </a:prstGeom>
                    <a:noFill/>
                    <a:ln>
                      <a:noFill/>
                    </a:ln>
                  </pic:spPr>
                </pic:pic>
              </a:graphicData>
            </a:graphic>
          </wp:inline>
        </w:drawing>
      </w:r>
    </w:p>
    <w:p w14:paraId="7CB282FF"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w:t>
      </w:r>
      <w:r>
        <w:rPr>
          <w:rFonts w:ascii="Arial" w:eastAsia="仿宋_GB2312" w:hAnsi="Arial" w:hint="eastAsia"/>
          <w:bCs/>
          <w:sz w:val="28"/>
          <w:szCs w:val="28"/>
        </w:rPr>
        <w:t>）各区县统计</w:t>
      </w:r>
    </w:p>
    <w:p w14:paraId="6758612D" w14:textId="77777777" w:rsidR="0062768B" w:rsidRDefault="00136729">
      <w:pPr>
        <w:tabs>
          <w:tab w:val="left" w:pos="426"/>
        </w:tabs>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分区域来看，一季度朝阳存量房住宅成交规模较大，达</w:t>
      </w:r>
      <w:r>
        <w:rPr>
          <w:rFonts w:ascii="Arial" w:eastAsia="仿宋_GB2312" w:hAnsi="Arial" w:hint="eastAsia"/>
          <w:bCs/>
          <w:sz w:val="28"/>
          <w:szCs w:val="28"/>
        </w:rPr>
        <w:t>99.95</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，居各区第一位；海淀、大兴、丰台、昌平成交面积均超过</w:t>
      </w:r>
      <w:r>
        <w:rPr>
          <w:rFonts w:ascii="Arial" w:eastAsia="仿宋_GB2312" w:hAnsi="Arial" w:hint="eastAsia"/>
          <w:bCs/>
          <w:sz w:val="28"/>
          <w:szCs w:val="28"/>
        </w:rPr>
        <w:t>30</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，居第二梯队；另外，远郊的密云、平谷、怀柔、延庆以及</w:t>
      </w:r>
      <w:r>
        <w:rPr>
          <w:rFonts w:ascii="Arial" w:eastAsia="仿宋_GB2312" w:hAnsi="Arial" w:hint="eastAsia"/>
          <w:bCs/>
          <w:sz w:val="28"/>
          <w:szCs w:val="28"/>
        </w:rPr>
        <w:t>近郊的门头沟活跃度相对较低，成交规模均</w:t>
      </w:r>
      <w:proofErr w:type="gramStart"/>
      <w:r>
        <w:rPr>
          <w:rFonts w:ascii="Arial" w:eastAsia="仿宋_GB2312" w:hAnsi="Arial" w:hint="eastAsia"/>
          <w:bCs/>
          <w:sz w:val="28"/>
          <w:szCs w:val="28"/>
        </w:rPr>
        <w:t>不足</w:t>
      </w:r>
      <w:r>
        <w:rPr>
          <w:rFonts w:ascii="Arial" w:eastAsia="仿宋_GB2312" w:hAnsi="Arial" w:hint="eastAsia"/>
          <w:bCs/>
          <w:sz w:val="28"/>
          <w:szCs w:val="28"/>
        </w:rPr>
        <w:t>10</w:t>
      </w:r>
      <w:r>
        <w:rPr>
          <w:rFonts w:ascii="Arial" w:eastAsia="仿宋_GB2312" w:hAnsi="Arial" w:hint="eastAsia"/>
          <w:bCs/>
          <w:sz w:val="28"/>
          <w:szCs w:val="28"/>
        </w:rPr>
        <w:t>万</w:t>
      </w:r>
      <w:proofErr w:type="gramEnd"/>
      <w:r>
        <w:rPr>
          <w:rFonts w:ascii="Batang" w:eastAsia="Batang" w:hAnsi="Batang" w:cs="Batang" w:hint="eastAsia"/>
          <w:bCs/>
          <w:sz w:val="28"/>
          <w:szCs w:val="28"/>
        </w:rPr>
        <w:t>㎡</w:t>
      </w:r>
      <w:r>
        <w:rPr>
          <w:rFonts w:ascii="仿宋_GB2312" w:eastAsia="仿宋_GB2312" w:hAnsi="仿宋_GB2312" w:cs="仿宋_GB2312" w:hint="eastAsia"/>
          <w:bCs/>
          <w:sz w:val="28"/>
          <w:szCs w:val="28"/>
        </w:rPr>
        <w:t>。从同比变化来看，一季度北京各区</w:t>
      </w:r>
      <w:r>
        <w:rPr>
          <w:rFonts w:ascii="Arial" w:eastAsia="仿宋_GB2312" w:hAnsi="Arial" w:hint="eastAsia"/>
          <w:bCs/>
          <w:sz w:val="28"/>
          <w:szCs w:val="28"/>
        </w:rPr>
        <w:t>存量房住宅成交规模同比均有增加，其中，顺义、通州、平谷、怀柔同比领涨，涨幅均超</w:t>
      </w:r>
      <w:r>
        <w:rPr>
          <w:rFonts w:ascii="Arial" w:eastAsia="仿宋_GB2312" w:hAnsi="Arial" w:hint="eastAsia"/>
          <w:bCs/>
          <w:sz w:val="28"/>
          <w:szCs w:val="28"/>
        </w:rPr>
        <w:t>35%</w:t>
      </w:r>
      <w:r>
        <w:rPr>
          <w:rFonts w:ascii="Arial" w:eastAsia="仿宋_GB2312" w:hAnsi="Arial" w:hint="eastAsia"/>
          <w:bCs/>
          <w:sz w:val="28"/>
          <w:szCs w:val="28"/>
        </w:rPr>
        <w:t>；成交价格方面，一季度西城区成交价格最高，达</w:t>
      </w:r>
      <w:r>
        <w:rPr>
          <w:rFonts w:ascii="Arial" w:eastAsia="仿宋_GB2312" w:hAnsi="Arial" w:hint="eastAsia"/>
          <w:bCs/>
          <w:sz w:val="28"/>
          <w:szCs w:val="28"/>
        </w:rPr>
        <w:t>125418</w:t>
      </w:r>
      <w:r>
        <w:rPr>
          <w:rFonts w:ascii="Arial" w:eastAsia="仿宋_GB2312" w:hAnsi="Arial" w:hint="eastAsia"/>
          <w:bCs/>
          <w:sz w:val="28"/>
          <w:szCs w:val="28"/>
        </w:rPr>
        <w:t>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；其次为东城区，为</w:t>
      </w:r>
      <w:r>
        <w:rPr>
          <w:rFonts w:ascii="Arial" w:eastAsia="仿宋_GB2312" w:hAnsi="Arial" w:hint="eastAsia"/>
          <w:bCs/>
          <w:sz w:val="28"/>
          <w:szCs w:val="28"/>
        </w:rPr>
        <w:t>108264</w:t>
      </w:r>
      <w:r>
        <w:rPr>
          <w:rFonts w:ascii="Arial" w:eastAsia="仿宋_GB2312" w:hAnsi="Arial" w:hint="eastAsia"/>
          <w:bCs/>
          <w:sz w:val="28"/>
          <w:szCs w:val="28"/>
        </w:rPr>
        <w:t>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w:t>
      </w:r>
    </w:p>
    <w:p w14:paraId="4494F4F5" w14:textId="77777777" w:rsidR="0062768B" w:rsidRDefault="00136729">
      <w:pPr>
        <w:spacing w:line="300" w:lineRule="auto"/>
        <w:ind w:right="205" w:firstLineChars="200" w:firstLine="480"/>
        <w:jc w:val="both"/>
      </w:pPr>
      <w:r>
        <w:rPr>
          <w:noProof/>
        </w:rPr>
        <w:lastRenderedPageBreak/>
        <w:drawing>
          <wp:inline distT="0" distB="0" distL="0" distR="0" wp14:anchorId="7E085B48" wp14:editId="1A50B077">
            <wp:extent cx="4972154" cy="2804160"/>
            <wp:effectExtent l="0" t="0" r="0" b="0"/>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988782" cy="2813538"/>
                    </a:xfrm>
                    <a:prstGeom prst="rect">
                      <a:avLst/>
                    </a:prstGeom>
                    <a:noFill/>
                    <a:ln>
                      <a:noFill/>
                    </a:ln>
                  </pic:spPr>
                </pic:pic>
              </a:graphicData>
            </a:graphic>
          </wp:inline>
        </w:drawing>
      </w:r>
    </w:p>
    <w:p w14:paraId="21862D47"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bCs/>
          <w:sz w:val="28"/>
          <w:szCs w:val="28"/>
        </w:rPr>
        <w:t>4</w:t>
      </w:r>
      <w:r>
        <w:rPr>
          <w:rFonts w:ascii="Arial" w:eastAsia="仿宋_GB2312" w:hAnsi="Arial" w:cs="Arial" w:hint="eastAsia"/>
          <w:bCs/>
          <w:sz w:val="28"/>
          <w:szCs w:val="28"/>
        </w:rPr>
        <w:t>）未来市场预期</w:t>
      </w:r>
    </w:p>
    <w:p w14:paraId="3383C134" w14:textId="77777777" w:rsidR="0062768B" w:rsidRDefault="00136729">
      <w:pPr>
        <w:adjustRightInd/>
        <w:spacing w:line="300" w:lineRule="auto"/>
        <w:ind w:right="205" w:firstLineChars="200" w:firstLine="560"/>
        <w:jc w:val="both"/>
        <w:rPr>
          <w:rFonts w:ascii="仿宋_GB2312" w:eastAsia="仿宋_GB2312"/>
          <w:bCs/>
          <w:sz w:val="28"/>
          <w:szCs w:val="28"/>
        </w:rPr>
      </w:pPr>
      <w:r>
        <w:rPr>
          <w:rFonts w:ascii="Arial" w:eastAsia="仿宋_GB2312" w:hAnsi="Arial" w:hint="eastAsia"/>
          <w:bCs/>
          <w:sz w:val="28"/>
          <w:szCs w:val="28"/>
        </w:rPr>
        <w:t>一季度两会定调“稳中求进”，</w:t>
      </w:r>
      <w:proofErr w:type="gramStart"/>
      <w:r>
        <w:rPr>
          <w:rFonts w:ascii="Arial" w:eastAsia="仿宋_GB2312" w:hAnsi="Arial" w:hint="eastAsia"/>
          <w:bCs/>
          <w:sz w:val="28"/>
          <w:szCs w:val="28"/>
        </w:rPr>
        <w:t>既强调房</w:t>
      </w:r>
      <w:proofErr w:type="gramEnd"/>
      <w:r>
        <w:rPr>
          <w:rFonts w:ascii="Arial" w:eastAsia="仿宋_GB2312" w:hAnsi="Arial" w:hint="eastAsia"/>
          <w:bCs/>
          <w:sz w:val="28"/>
          <w:szCs w:val="28"/>
        </w:rPr>
        <w:t>地产的支柱产业地位，又强调了复杂多变的外部环境下，房地产市场的稳定性。一季度末北京开启存量房“带押过户”政策，将进一步刺激置换需求的释放；而“一区</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策”已为北京楼市政策放松打开想象空间，政策落得或将为高能级城市政策出台树立标杆和模板。同时，结合“稳”字当头的调控基调，“一区</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策”或将继续围绕支持刚性和改善型住房，激发楼市合理需求。经过短暂的市场调整，中长期来看，北京房地产市场或将进一步复苏。</w:t>
      </w:r>
    </w:p>
    <w:p w14:paraId="6097BB82" w14:textId="77777777" w:rsidR="0062768B" w:rsidRDefault="00136729">
      <w:pPr>
        <w:adjustRightInd/>
        <w:spacing w:line="300" w:lineRule="auto"/>
        <w:ind w:firstLineChars="200" w:firstLine="560"/>
        <w:jc w:val="both"/>
        <w:rPr>
          <w:rFonts w:ascii="仿宋_GB2312" w:eastAsia="仿宋_GB2312"/>
          <w:bCs/>
          <w:sz w:val="28"/>
          <w:szCs w:val="28"/>
        </w:rPr>
      </w:pPr>
      <w:r>
        <w:rPr>
          <w:rFonts w:ascii="Arial" w:eastAsia="仿宋_GB2312" w:hAnsi="Arial" w:hint="eastAsia"/>
          <w:bCs/>
          <w:sz w:val="28"/>
          <w:szCs w:val="28"/>
        </w:rPr>
        <w:t>3</w:t>
      </w:r>
      <w:r>
        <w:rPr>
          <w:rFonts w:ascii="仿宋_GB2312" w:eastAsia="仿宋_GB2312" w:hint="eastAsia"/>
          <w:bCs/>
          <w:sz w:val="28"/>
          <w:szCs w:val="28"/>
        </w:rPr>
        <w:t>.产业政策</w:t>
      </w:r>
    </w:p>
    <w:p w14:paraId="38015F57" w14:textId="77777777" w:rsidR="0062768B" w:rsidRDefault="00136729">
      <w:pPr>
        <w:overflowPunct w:val="0"/>
        <w:adjustRightInd/>
        <w:spacing w:line="300" w:lineRule="auto"/>
        <w:ind w:firstLineChars="200" w:firstLine="562"/>
        <w:jc w:val="both"/>
        <w:textAlignment w:val="auto"/>
        <w:rPr>
          <w:rFonts w:ascii="Arial" w:eastAsia="仿宋_GB2312" w:hAnsi="Arial"/>
          <w:b/>
          <w:bCs/>
          <w:sz w:val="28"/>
          <w:szCs w:val="28"/>
        </w:rPr>
      </w:pPr>
      <w:r>
        <w:rPr>
          <w:rFonts w:ascii="Arial" w:eastAsia="仿宋_GB2312" w:hAnsi="Arial" w:hint="eastAsia"/>
          <w:b/>
          <w:bCs/>
          <w:sz w:val="28"/>
          <w:szCs w:val="28"/>
        </w:rPr>
        <w:t>全国政策：</w:t>
      </w:r>
    </w:p>
    <w:p w14:paraId="27B362C6"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年，受内外多因素影响，房地产市场进入深度调整阶段。中央年内多次释放积极信号，优化调控政策。</w:t>
      </w:r>
      <w:r>
        <w:rPr>
          <w:rFonts w:ascii="Arial" w:eastAsia="仿宋_GB2312" w:hAnsi="Arial" w:hint="eastAsia"/>
          <w:bCs/>
          <w:sz w:val="28"/>
          <w:szCs w:val="28"/>
        </w:rPr>
        <w:t>2022</w:t>
      </w:r>
      <w:r>
        <w:rPr>
          <w:rFonts w:ascii="Arial" w:eastAsia="仿宋_GB2312" w:hAnsi="Arial" w:hint="eastAsia"/>
          <w:bCs/>
          <w:sz w:val="28"/>
          <w:szCs w:val="28"/>
        </w:rPr>
        <w:t>年底中央领导强调“房地产是国民经济的支柱产业”，在当时的市场环境下，肯定房地产的重要性更具积极意义，有助于房地产市场信心的修复。</w:t>
      </w:r>
    </w:p>
    <w:p w14:paraId="27E11B6D" w14:textId="77777777" w:rsidR="0062768B" w:rsidRDefault="00136729">
      <w:pPr>
        <w:widowControl/>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28</w:t>
      </w:r>
      <w:r>
        <w:rPr>
          <w:rFonts w:ascii="Arial" w:eastAsia="仿宋_GB2312" w:hAnsi="Arial" w:hint="eastAsia"/>
          <w:bCs/>
          <w:sz w:val="28"/>
          <w:szCs w:val="28"/>
        </w:rPr>
        <w:t>日，国务院召开</w:t>
      </w:r>
      <w:proofErr w:type="gramStart"/>
      <w:r>
        <w:rPr>
          <w:rFonts w:ascii="Arial" w:eastAsia="仿宋_GB2312" w:hAnsi="Arial" w:hint="eastAsia"/>
          <w:bCs/>
          <w:sz w:val="28"/>
          <w:szCs w:val="28"/>
        </w:rPr>
        <w:t>稳经济</w:t>
      </w:r>
      <w:proofErr w:type="gramEnd"/>
      <w:r>
        <w:rPr>
          <w:rFonts w:ascii="Arial" w:eastAsia="仿宋_GB2312" w:hAnsi="Arial" w:hint="eastAsia"/>
          <w:bCs/>
          <w:sz w:val="28"/>
          <w:szCs w:val="28"/>
        </w:rPr>
        <w:t>大盘四季度工作推进会议，会议提出因城施策运用政策工具箱中的工具，支持刚性和改善型住房需求，实施好保交楼政策。</w:t>
      </w:r>
    </w:p>
    <w:p w14:paraId="01E5E1BE" w14:textId="77777777" w:rsidR="0062768B" w:rsidRDefault="00136729">
      <w:pPr>
        <w:widowControl/>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12</w:t>
      </w:r>
      <w:r>
        <w:rPr>
          <w:rFonts w:ascii="Arial" w:eastAsia="仿宋_GB2312" w:hAnsi="Arial" w:hint="eastAsia"/>
          <w:bCs/>
          <w:sz w:val="28"/>
          <w:szCs w:val="28"/>
        </w:rPr>
        <w:t>月</w:t>
      </w:r>
      <w:r>
        <w:rPr>
          <w:rFonts w:ascii="Arial" w:eastAsia="仿宋_GB2312" w:hAnsi="Arial" w:hint="eastAsia"/>
          <w:bCs/>
          <w:sz w:val="28"/>
          <w:szCs w:val="28"/>
        </w:rPr>
        <w:t>15</w:t>
      </w:r>
      <w:r>
        <w:rPr>
          <w:rFonts w:ascii="Arial" w:eastAsia="仿宋_GB2312" w:hAnsi="Arial" w:hint="eastAsia"/>
          <w:bCs/>
          <w:sz w:val="28"/>
          <w:szCs w:val="28"/>
        </w:rPr>
        <w:t>日，中央经济工作会议强调，“要因城施策，支持刚性和改善性住房需求，解决好新市民、青年人等住房问题，探索长租房市场建设”。</w:t>
      </w:r>
    </w:p>
    <w:p w14:paraId="6B11F1E4"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12</w:t>
      </w:r>
      <w:r>
        <w:rPr>
          <w:rFonts w:ascii="Arial" w:eastAsia="仿宋_GB2312" w:hAnsi="Arial" w:hint="eastAsia"/>
          <w:bCs/>
          <w:sz w:val="28"/>
          <w:szCs w:val="28"/>
        </w:rPr>
        <w:t>月</w:t>
      </w:r>
      <w:r>
        <w:rPr>
          <w:rFonts w:ascii="Arial" w:eastAsia="仿宋_GB2312" w:hAnsi="Arial" w:hint="eastAsia"/>
          <w:bCs/>
          <w:sz w:val="28"/>
          <w:szCs w:val="28"/>
        </w:rPr>
        <w:t>20</w:t>
      </w:r>
      <w:r>
        <w:rPr>
          <w:rFonts w:ascii="Arial" w:eastAsia="仿宋_GB2312" w:hAnsi="Arial" w:hint="eastAsia"/>
          <w:bCs/>
          <w:sz w:val="28"/>
          <w:szCs w:val="28"/>
        </w:rPr>
        <w:t>日，国务院常务会议召开，会议指出“落实稳经济</w:t>
      </w:r>
      <w:r>
        <w:rPr>
          <w:rFonts w:ascii="Arial" w:eastAsia="仿宋_GB2312" w:hAnsi="Arial" w:hint="eastAsia"/>
          <w:bCs/>
          <w:sz w:val="28"/>
          <w:szCs w:val="28"/>
        </w:rPr>
        <w:lastRenderedPageBreak/>
        <w:t>一揽子政策措施，抓好填平补齐，确保全面落地。落实支持刚性和改善型住房需求，保交楼和房企融资等</w:t>
      </w:r>
      <w:r>
        <w:rPr>
          <w:rFonts w:ascii="Arial" w:eastAsia="仿宋_GB2312" w:hAnsi="Arial" w:hint="eastAsia"/>
          <w:bCs/>
          <w:sz w:val="28"/>
          <w:szCs w:val="28"/>
        </w:rPr>
        <w:t>16</w:t>
      </w:r>
      <w:r>
        <w:rPr>
          <w:rFonts w:ascii="Arial" w:eastAsia="仿宋_GB2312" w:hAnsi="Arial" w:hint="eastAsia"/>
          <w:bCs/>
          <w:sz w:val="28"/>
          <w:szCs w:val="28"/>
        </w:rPr>
        <w:t>条金融政策”。</w:t>
      </w:r>
    </w:p>
    <w:p w14:paraId="2A7996B1"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进入</w:t>
      </w:r>
      <w:r>
        <w:rPr>
          <w:rFonts w:ascii="Arial" w:eastAsia="仿宋_GB2312" w:hAnsi="Arial" w:hint="eastAsia"/>
          <w:bCs/>
          <w:sz w:val="28"/>
          <w:szCs w:val="28"/>
        </w:rPr>
        <w:t>2023</w:t>
      </w:r>
      <w:r>
        <w:rPr>
          <w:rFonts w:ascii="Arial" w:eastAsia="仿宋_GB2312" w:hAnsi="Arial" w:hint="eastAsia"/>
          <w:bCs/>
          <w:sz w:val="28"/>
          <w:szCs w:val="28"/>
        </w:rPr>
        <w:t>年，国家对于房地产业的调控重点是防风险、</w:t>
      </w:r>
      <w:proofErr w:type="gramStart"/>
      <w:r>
        <w:rPr>
          <w:rFonts w:ascii="Arial" w:eastAsia="仿宋_GB2312" w:hAnsi="Arial" w:hint="eastAsia"/>
          <w:bCs/>
          <w:sz w:val="28"/>
          <w:szCs w:val="28"/>
        </w:rPr>
        <w:t>促需求</w:t>
      </w:r>
      <w:proofErr w:type="gramEnd"/>
      <w:r>
        <w:rPr>
          <w:rFonts w:ascii="Arial" w:eastAsia="仿宋_GB2312" w:hAnsi="Arial" w:hint="eastAsia"/>
          <w:bCs/>
          <w:sz w:val="28"/>
          <w:szCs w:val="28"/>
        </w:rPr>
        <w:t>释放，定调偏利多，支持企业融资、改善交付风险，刚需、改善支持政策仍会出台，优化房地产“三高”模式，同时强化租赁市场快速发展，加快推进新模式探索发展。</w:t>
      </w:r>
    </w:p>
    <w:p w14:paraId="1596CD35" w14:textId="77777777" w:rsidR="0062768B" w:rsidRDefault="00136729">
      <w:pPr>
        <w:overflowPunct w:val="0"/>
        <w:spacing w:line="360" w:lineRule="auto"/>
        <w:jc w:val="center"/>
        <w:textAlignment w:val="auto"/>
      </w:pPr>
      <w:r>
        <w:rPr>
          <w:noProof/>
        </w:rPr>
        <w:drawing>
          <wp:inline distT="0" distB="0" distL="0" distR="0" wp14:anchorId="7E799BC0" wp14:editId="1A591195">
            <wp:extent cx="4433570" cy="4614545"/>
            <wp:effectExtent l="0" t="0" r="5080" b="14605"/>
            <wp:docPr id="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433570" cy="4614545"/>
                    </a:xfrm>
                    <a:prstGeom prst="rect">
                      <a:avLst/>
                    </a:prstGeom>
                    <a:noFill/>
                    <a:ln>
                      <a:noFill/>
                    </a:ln>
                  </pic:spPr>
                </pic:pic>
              </a:graphicData>
            </a:graphic>
          </wp:inline>
        </w:drawing>
      </w:r>
    </w:p>
    <w:p w14:paraId="554B39FA"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随着</w:t>
      </w:r>
      <w:proofErr w:type="gramStart"/>
      <w:r>
        <w:rPr>
          <w:rFonts w:ascii="Arial" w:eastAsia="仿宋_GB2312" w:hAnsi="Arial" w:hint="eastAsia"/>
          <w:bCs/>
          <w:sz w:val="28"/>
          <w:szCs w:val="28"/>
        </w:rPr>
        <w:t>国家住建工</w:t>
      </w:r>
      <w:proofErr w:type="gramEnd"/>
      <w:r>
        <w:rPr>
          <w:rFonts w:ascii="Arial" w:eastAsia="仿宋_GB2312" w:hAnsi="Arial" w:hint="eastAsia"/>
          <w:bCs/>
          <w:sz w:val="28"/>
          <w:szCs w:val="28"/>
        </w:rPr>
        <w:t>作的稳步推进，供求关系逐步改善，防控政策优化对市场供需两端均产生积极影响，供给</w:t>
      </w:r>
      <w:proofErr w:type="gramStart"/>
      <w:r>
        <w:rPr>
          <w:rFonts w:ascii="Arial" w:eastAsia="仿宋_GB2312" w:hAnsi="Arial" w:hint="eastAsia"/>
          <w:bCs/>
          <w:sz w:val="28"/>
          <w:szCs w:val="28"/>
        </w:rPr>
        <w:t>端住房</w:t>
      </w:r>
      <w:proofErr w:type="gramEnd"/>
      <w:r>
        <w:rPr>
          <w:rFonts w:ascii="Arial" w:eastAsia="仿宋_GB2312" w:hAnsi="Arial" w:hint="eastAsia"/>
          <w:bCs/>
          <w:sz w:val="28"/>
          <w:szCs w:val="28"/>
        </w:rPr>
        <w:t>项目复工率大大提高，需求端成交量也有明显改善。房价平稳、保交楼、房企合理性融资的改善正在带动市场预期回升。可见前期已出台的政策正在落实见效。但是整个房地产要有前提的企稳回升，这个前提是牢牢坚持“房子是用来住的、不是用来炒的”定位的，是大力支持刚性和改善型住房需求，是防止市场大起大落，是促进行业高质量发展。</w:t>
      </w:r>
    </w:p>
    <w:p w14:paraId="41FC0FDA" w14:textId="77777777" w:rsidR="0062768B" w:rsidRDefault="00136729">
      <w:pPr>
        <w:overflowPunct w:val="0"/>
        <w:adjustRightInd/>
        <w:spacing w:line="300" w:lineRule="auto"/>
        <w:ind w:firstLineChars="200" w:firstLine="562"/>
        <w:jc w:val="both"/>
        <w:textAlignment w:val="auto"/>
        <w:rPr>
          <w:rFonts w:ascii="Arial" w:eastAsia="仿宋_GB2312" w:hAnsi="Arial"/>
          <w:b/>
          <w:bCs/>
          <w:sz w:val="28"/>
          <w:szCs w:val="28"/>
        </w:rPr>
      </w:pPr>
      <w:r>
        <w:rPr>
          <w:rFonts w:ascii="Arial" w:eastAsia="仿宋_GB2312" w:hAnsi="Arial" w:hint="eastAsia"/>
          <w:b/>
          <w:bCs/>
          <w:sz w:val="28"/>
          <w:szCs w:val="28"/>
        </w:rPr>
        <w:t>地方政策：</w:t>
      </w:r>
    </w:p>
    <w:p w14:paraId="7DF8E479"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年，全国房地产政策不断优化改善，但北京在政策层面并未出</w:t>
      </w:r>
      <w:r>
        <w:rPr>
          <w:rFonts w:ascii="Arial" w:eastAsia="仿宋_GB2312" w:hAnsi="Arial" w:hint="eastAsia"/>
          <w:bCs/>
          <w:sz w:val="28"/>
          <w:szCs w:val="28"/>
        </w:rPr>
        <w:lastRenderedPageBreak/>
        <w:t>现实质性放松，仅局部定向微调，保持了政策的延续性和稳定性。</w:t>
      </w:r>
      <w:proofErr w:type="gramStart"/>
      <w:r>
        <w:rPr>
          <w:rFonts w:ascii="Arial" w:eastAsia="仿宋_GB2312" w:hAnsi="Arial" w:hint="eastAsia"/>
          <w:bCs/>
          <w:sz w:val="28"/>
          <w:szCs w:val="28"/>
        </w:rPr>
        <w:t>全龄友好</w:t>
      </w:r>
      <w:proofErr w:type="gramEnd"/>
      <w:r>
        <w:rPr>
          <w:rFonts w:ascii="Arial" w:eastAsia="仿宋_GB2312" w:hAnsi="Arial" w:hint="eastAsia"/>
          <w:bCs/>
          <w:sz w:val="28"/>
          <w:szCs w:val="28"/>
        </w:rPr>
        <w:t>社区试点接力贷；经开区管理的“台马”地区取消“双限”；存量房交易“连环单”业务并行办理；允许商品房按栋预售等。整体来看，北京政策优化力度有限，更多的是向市场传递积极信号，提</w:t>
      </w:r>
      <w:proofErr w:type="gramStart"/>
      <w:r>
        <w:rPr>
          <w:rFonts w:ascii="Arial" w:eastAsia="仿宋_GB2312" w:hAnsi="Arial" w:hint="eastAsia"/>
          <w:bCs/>
          <w:sz w:val="28"/>
          <w:szCs w:val="28"/>
        </w:rPr>
        <w:t>振市场</w:t>
      </w:r>
      <w:proofErr w:type="gramEnd"/>
      <w:r>
        <w:rPr>
          <w:rFonts w:ascii="Arial" w:eastAsia="仿宋_GB2312" w:hAnsi="Arial" w:hint="eastAsia"/>
          <w:bCs/>
          <w:sz w:val="28"/>
          <w:szCs w:val="28"/>
        </w:rPr>
        <w:t>信心。</w:t>
      </w:r>
    </w:p>
    <w:p w14:paraId="506204B2"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8</w:t>
      </w:r>
      <w:r>
        <w:rPr>
          <w:rFonts w:ascii="Arial" w:eastAsia="仿宋_GB2312" w:hAnsi="Arial" w:hint="eastAsia"/>
          <w:bCs/>
          <w:sz w:val="28"/>
          <w:szCs w:val="28"/>
        </w:rPr>
        <w:t>月</w:t>
      </w:r>
      <w:r>
        <w:rPr>
          <w:rFonts w:ascii="Arial" w:eastAsia="仿宋_GB2312" w:hAnsi="Arial" w:hint="eastAsia"/>
          <w:bCs/>
          <w:sz w:val="28"/>
          <w:szCs w:val="28"/>
        </w:rPr>
        <w:t>5</w:t>
      </w:r>
      <w:r>
        <w:rPr>
          <w:rFonts w:ascii="Arial" w:eastAsia="仿宋_GB2312" w:hAnsi="Arial" w:hint="eastAsia"/>
          <w:bCs/>
          <w:sz w:val="28"/>
          <w:szCs w:val="28"/>
        </w:rPr>
        <w:t>日，北京市住建委正式发布《北京住房和城乡建设发展白皮书（</w:t>
      </w:r>
      <w:r>
        <w:rPr>
          <w:rFonts w:ascii="Arial" w:eastAsia="仿宋_GB2312" w:hAnsi="Arial" w:hint="eastAsia"/>
          <w:bCs/>
          <w:sz w:val="28"/>
          <w:szCs w:val="28"/>
        </w:rPr>
        <w:t>2022</w:t>
      </w:r>
      <w:r>
        <w:rPr>
          <w:rFonts w:ascii="Arial" w:eastAsia="仿宋_GB2312" w:hAnsi="Arial" w:hint="eastAsia"/>
          <w:bCs/>
          <w:sz w:val="28"/>
          <w:szCs w:val="28"/>
        </w:rPr>
        <w:t>）》，围绕“三稳”目标下功夫，加快构建公租房等住房保障体系。</w:t>
      </w:r>
    </w:p>
    <w:p w14:paraId="5B5AFB8D"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23</w:t>
      </w:r>
      <w:r>
        <w:rPr>
          <w:rFonts w:ascii="Arial" w:eastAsia="仿宋_GB2312" w:hAnsi="Arial" w:hint="eastAsia"/>
          <w:bCs/>
          <w:sz w:val="28"/>
          <w:szCs w:val="28"/>
        </w:rPr>
        <w:t>日，北京市住建委和市</w:t>
      </w:r>
      <w:proofErr w:type="gramStart"/>
      <w:r>
        <w:rPr>
          <w:rFonts w:ascii="Arial" w:eastAsia="仿宋_GB2312" w:hAnsi="Arial" w:hint="eastAsia"/>
          <w:bCs/>
          <w:sz w:val="28"/>
          <w:szCs w:val="28"/>
        </w:rPr>
        <w:t>规自委</w:t>
      </w:r>
      <w:proofErr w:type="gramEnd"/>
      <w:r>
        <w:rPr>
          <w:rFonts w:ascii="Arial" w:eastAsia="仿宋_GB2312" w:hAnsi="Arial" w:hint="eastAsia"/>
          <w:bCs/>
          <w:sz w:val="28"/>
          <w:szCs w:val="28"/>
        </w:rPr>
        <w:t>联合发布关于试行存量房交易“连环单”业务并行办理的通知，提高存量房屋交易效率，支持购房家庭合理住房需求。</w:t>
      </w:r>
    </w:p>
    <w:p w14:paraId="4C7136B9" w14:textId="77777777" w:rsidR="0062768B" w:rsidRDefault="00136729">
      <w:pPr>
        <w:widowControl/>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30</w:t>
      </w:r>
      <w:r>
        <w:rPr>
          <w:rFonts w:ascii="Arial" w:eastAsia="仿宋_GB2312" w:hAnsi="Arial" w:hint="eastAsia"/>
          <w:bCs/>
          <w:sz w:val="28"/>
          <w:szCs w:val="28"/>
        </w:rPr>
        <w:t>日，北京市人民政府印发《关于存量国有建设用地盘活利用的指导意见（试行）》，创新提出</w:t>
      </w:r>
      <w:r>
        <w:rPr>
          <w:rFonts w:ascii="Arial" w:eastAsia="仿宋_GB2312" w:hAnsi="Arial" w:hint="eastAsia"/>
          <w:bCs/>
          <w:sz w:val="28"/>
          <w:szCs w:val="28"/>
        </w:rPr>
        <w:t>8</w:t>
      </w:r>
      <w:r>
        <w:rPr>
          <w:rFonts w:ascii="Arial" w:eastAsia="仿宋_GB2312" w:hAnsi="Arial" w:hint="eastAsia"/>
          <w:bCs/>
          <w:sz w:val="28"/>
          <w:szCs w:val="28"/>
        </w:rPr>
        <w:t>项支持政策，明确在重点功能区及现状轨道站点周边，鼓励利用现状建筑改建保障性租赁住房。</w:t>
      </w:r>
    </w:p>
    <w:p w14:paraId="2E4D43A1"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11</w:t>
      </w:r>
      <w:r>
        <w:rPr>
          <w:rFonts w:ascii="Arial" w:eastAsia="仿宋_GB2312" w:hAnsi="Arial" w:hint="eastAsia"/>
          <w:bCs/>
          <w:sz w:val="28"/>
          <w:szCs w:val="28"/>
        </w:rPr>
        <w:t>月</w:t>
      </w:r>
      <w:r>
        <w:rPr>
          <w:rFonts w:ascii="Arial" w:eastAsia="仿宋_GB2312" w:hAnsi="Arial" w:hint="eastAsia"/>
          <w:bCs/>
          <w:sz w:val="28"/>
          <w:szCs w:val="28"/>
        </w:rPr>
        <w:t>8</w:t>
      </w:r>
      <w:r>
        <w:rPr>
          <w:rFonts w:ascii="Arial" w:eastAsia="仿宋_GB2312" w:hAnsi="Arial" w:hint="eastAsia"/>
          <w:bCs/>
          <w:sz w:val="28"/>
          <w:szCs w:val="28"/>
        </w:rPr>
        <w:t>日，北京市住建委、经开区管委、通州区政府联合发布通知，</w:t>
      </w:r>
      <w:proofErr w:type="gramStart"/>
      <w:r>
        <w:rPr>
          <w:rFonts w:ascii="Arial" w:eastAsia="仿宋_GB2312" w:hAnsi="Arial" w:hint="eastAsia"/>
          <w:bCs/>
          <w:sz w:val="28"/>
          <w:szCs w:val="28"/>
        </w:rPr>
        <w:t>亦庄经开</w:t>
      </w:r>
      <w:proofErr w:type="gramEnd"/>
      <w:r>
        <w:rPr>
          <w:rFonts w:ascii="Arial" w:eastAsia="仿宋_GB2312" w:hAnsi="Arial" w:hint="eastAsia"/>
          <w:bCs/>
          <w:sz w:val="28"/>
          <w:szCs w:val="28"/>
        </w:rPr>
        <w:t>区管理的台湖、马驹桥地区不再执行“双限”政策，仅执行北京其他区域的购房政策。</w:t>
      </w:r>
    </w:p>
    <w:p w14:paraId="65284AF5"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31</w:t>
      </w:r>
      <w:r>
        <w:rPr>
          <w:rFonts w:ascii="Arial" w:eastAsia="仿宋_GB2312" w:hAnsi="Arial" w:hint="eastAsia"/>
          <w:bCs/>
          <w:sz w:val="28"/>
          <w:szCs w:val="28"/>
        </w:rPr>
        <w:t>日，北京银保监局、人民银行营业管理部、北京市规划和自然资源委员会、北京市住房和城乡建设委员会联合发布《关于推进个人存量住房交易“带押过户”有关工作的通知》，明确规定住房交易双方可以在原抵押权不解除的情况下办理住房所有权转移登记，有效克服了传统方式下交易成本高、时间长、流程复杂等问题，切实提升本市居民住房交易、登记和金融服务水平。</w:t>
      </w:r>
    </w:p>
    <w:p w14:paraId="55D0802E" w14:textId="77777777" w:rsidR="0062768B" w:rsidRDefault="00136729">
      <w:pPr>
        <w:adjustRightInd/>
        <w:spacing w:line="300" w:lineRule="auto"/>
        <w:ind w:firstLineChars="200" w:firstLine="560"/>
        <w:jc w:val="both"/>
        <w:rPr>
          <w:rFonts w:ascii="仿宋_GB2312" w:eastAsia="仿宋_GB2312"/>
          <w:bCs/>
          <w:sz w:val="28"/>
          <w:szCs w:val="28"/>
        </w:rPr>
      </w:pPr>
      <w:r>
        <w:rPr>
          <w:rFonts w:ascii="Arial" w:eastAsia="仿宋_GB2312" w:hAnsi="Arial" w:hint="eastAsia"/>
          <w:bCs/>
          <w:sz w:val="28"/>
          <w:szCs w:val="28"/>
        </w:rPr>
        <w:t>4</w:t>
      </w:r>
      <w:r>
        <w:rPr>
          <w:rFonts w:ascii="仿宋_GB2312" w:eastAsia="仿宋_GB2312" w:hint="eastAsia"/>
          <w:bCs/>
          <w:sz w:val="28"/>
          <w:szCs w:val="28"/>
        </w:rPr>
        <w:t>.城市规划与发展目标</w:t>
      </w:r>
    </w:p>
    <w:p w14:paraId="3AD2431F"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w:t>
      </w: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月</w:t>
      </w:r>
      <w:r>
        <w:rPr>
          <w:rFonts w:ascii="Arial" w:eastAsia="仿宋_GB2312" w:hAnsi="Arial" w:hint="eastAsia"/>
          <w:bCs/>
          <w:sz w:val="28"/>
          <w:szCs w:val="28"/>
        </w:rPr>
        <w:t>27</w:t>
      </w:r>
      <w:r>
        <w:rPr>
          <w:rFonts w:ascii="Arial" w:eastAsia="仿宋_GB2312" w:hAnsi="Arial" w:hint="eastAsia"/>
          <w:bCs/>
          <w:sz w:val="28"/>
          <w:szCs w:val="28"/>
        </w:rPr>
        <w:t>日，北京市第十五届人民代表大会第四次会议批准了《北京市国民经济和社会发展第十四个五年规划和二</w:t>
      </w:r>
      <w:r>
        <w:rPr>
          <w:rFonts w:ascii="微软雅黑" w:eastAsia="微软雅黑" w:hAnsi="微软雅黑" w:cs="微软雅黑" w:hint="eastAsia"/>
          <w:bCs/>
          <w:sz w:val="28"/>
          <w:szCs w:val="28"/>
        </w:rPr>
        <w:t>〇</w:t>
      </w:r>
      <w:r>
        <w:rPr>
          <w:rFonts w:ascii="仿宋_GB2312" w:eastAsia="仿宋_GB2312" w:hAnsi="仿宋_GB2312" w:cs="仿宋_GB2312" w:hint="eastAsia"/>
          <w:bCs/>
          <w:sz w:val="28"/>
          <w:szCs w:val="28"/>
        </w:rPr>
        <w:t>三五年远景目标纲要》（以下简称《纲要》）。《纲要》的指导思想，是要统筹推进“五位一体”总体布局，协调推进“四个全面”战略布局，坚定不移贯彻创新、协调、绿</w:t>
      </w:r>
      <w:r>
        <w:rPr>
          <w:rFonts w:ascii="Arial" w:eastAsia="仿宋_GB2312" w:hAnsi="Arial" w:hint="eastAsia"/>
          <w:bCs/>
          <w:sz w:val="28"/>
          <w:szCs w:val="28"/>
        </w:rPr>
        <w:t>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w:t>
      </w:r>
      <w:r>
        <w:rPr>
          <w:rFonts w:ascii="Arial" w:eastAsia="仿宋_GB2312" w:hAnsi="Arial" w:hint="eastAsia"/>
          <w:bCs/>
          <w:sz w:val="28"/>
          <w:szCs w:val="28"/>
        </w:rPr>
        <w:lastRenderedPageBreak/>
        <w:t>根本目的，以建设国际科技创新中心为新引擎，以</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2F65D102"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《纲要》提出，建设高品质宜居城市，优化城市空间功能布局，加快推进城市更新。</w:t>
      </w:r>
      <w:r>
        <w:rPr>
          <w:rFonts w:ascii="Arial" w:eastAsia="仿宋_GB2312" w:hAnsi="Arial"/>
          <w:bCs/>
          <w:sz w:val="28"/>
          <w:szCs w:val="28"/>
        </w:rPr>
        <w:t>大力推进老旧小区改造</w:t>
      </w:r>
      <w:r>
        <w:rPr>
          <w:rFonts w:ascii="Arial" w:eastAsia="仿宋_GB2312" w:hAnsi="Arial" w:hint="eastAsia"/>
          <w:bCs/>
          <w:sz w:val="28"/>
          <w:szCs w:val="28"/>
        </w:rPr>
        <w:t>，</w:t>
      </w:r>
      <w:r>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Pr>
          <w:rFonts w:ascii="Arial" w:eastAsia="仿宋_GB2312" w:hAnsi="Arial" w:hint="eastAsia"/>
          <w:bCs/>
          <w:sz w:val="28"/>
          <w:szCs w:val="28"/>
        </w:rPr>
        <w:t xml:space="preserve"> </w:t>
      </w:r>
    </w:p>
    <w:p w14:paraId="700FFDE9"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Pr>
          <w:rFonts w:ascii="Arial" w:eastAsia="仿宋_GB2312" w:hAnsi="Arial"/>
          <w:bCs/>
          <w:sz w:val="28"/>
          <w:szCs w:val="28"/>
        </w:rPr>
        <w:t>坚持</w:t>
      </w:r>
      <w:r>
        <w:rPr>
          <w:rFonts w:ascii="Arial" w:eastAsia="仿宋_GB2312" w:hAnsi="Arial"/>
          <w:bCs/>
          <w:sz w:val="28"/>
          <w:szCs w:val="28"/>
        </w:rPr>
        <w:t>“</w:t>
      </w:r>
      <w:r>
        <w:rPr>
          <w:rFonts w:ascii="Arial" w:eastAsia="仿宋_GB2312" w:hAnsi="Arial"/>
          <w:bCs/>
          <w:sz w:val="28"/>
          <w:szCs w:val="28"/>
        </w:rPr>
        <w:t>房住不炒</w:t>
      </w:r>
      <w:r>
        <w:rPr>
          <w:rFonts w:ascii="Arial" w:eastAsia="仿宋_GB2312" w:hAnsi="Arial"/>
          <w:bCs/>
          <w:sz w:val="28"/>
          <w:szCs w:val="28"/>
        </w:rPr>
        <w:t>”</w:t>
      </w:r>
      <w:r>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Pr>
          <w:rFonts w:ascii="Arial" w:eastAsia="仿宋_GB2312" w:hAnsi="Arial" w:hint="eastAsia"/>
          <w:bCs/>
          <w:sz w:val="28"/>
          <w:szCs w:val="28"/>
        </w:rPr>
        <w:t>，</w:t>
      </w:r>
      <w:r>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Pr>
          <w:rFonts w:ascii="Arial" w:eastAsia="仿宋_GB2312" w:hAnsi="Arial"/>
          <w:bCs/>
          <w:sz w:val="28"/>
          <w:szCs w:val="28"/>
        </w:rPr>
        <w:t>5000</w:t>
      </w:r>
      <w:r>
        <w:rPr>
          <w:rFonts w:ascii="Arial" w:eastAsia="仿宋_GB2312" w:hAnsi="Arial"/>
          <w:bCs/>
          <w:sz w:val="28"/>
          <w:szCs w:val="28"/>
        </w:rPr>
        <w:t>公顷、供应各类住房</w:t>
      </w:r>
      <w:r>
        <w:rPr>
          <w:rFonts w:ascii="Arial" w:eastAsia="仿宋_GB2312" w:hAnsi="Arial"/>
          <w:bCs/>
          <w:sz w:val="28"/>
          <w:szCs w:val="28"/>
        </w:rPr>
        <w:t xml:space="preserve">100 </w:t>
      </w:r>
      <w:r>
        <w:rPr>
          <w:rFonts w:ascii="Arial" w:eastAsia="仿宋_GB2312" w:hAnsi="Arial"/>
          <w:bCs/>
          <w:sz w:val="28"/>
          <w:szCs w:val="28"/>
        </w:rPr>
        <w:t>万套左右，基本实现总体供需平衡。加大多层次保障性租赁住房供给，</w:t>
      </w:r>
      <w:r>
        <w:rPr>
          <w:rFonts w:ascii="Arial" w:eastAsia="仿宋_GB2312" w:hAnsi="Arial"/>
          <w:bCs/>
          <w:sz w:val="28"/>
          <w:szCs w:val="28"/>
        </w:rPr>
        <w:t xml:space="preserve"> </w:t>
      </w:r>
      <w:r>
        <w:rPr>
          <w:rFonts w:ascii="Arial" w:eastAsia="仿宋_GB2312" w:hAnsi="Arial"/>
          <w:bCs/>
          <w:sz w:val="28"/>
          <w:szCs w:val="28"/>
        </w:rPr>
        <w:t>针对中低收入家庭自住需求，大力筹集建设各类租赁型住房，提高公共租赁住房备案家庭保障率，新增供应套数占比不低于</w:t>
      </w:r>
      <w:r>
        <w:rPr>
          <w:rFonts w:ascii="Arial" w:eastAsia="仿宋_GB2312" w:hAnsi="Arial"/>
          <w:bCs/>
          <w:sz w:val="28"/>
          <w:szCs w:val="28"/>
        </w:rPr>
        <w:t xml:space="preserve"> 40%</w:t>
      </w:r>
      <w:r>
        <w:rPr>
          <w:rFonts w:ascii="Arial" w:eastAsia="仿宋_GB2312" w:hAnsi="Arial"/>
          <w:bCs/>
          <w:sz w:val="28"/>
          <w:szCs w:val="28"/>
        </w:rPr>
        <w:t>。新增集体土地租赁住房等政策性租赁住房供地占比不低于供应总量的</w:t>
      </w:r>
      <w:r>
        <w:rPr>
          <w:rFonts w:ascii="Arial" w:eastAsia="仿宋_GB2312" w:hAnsi="Arial"/>
          <w:bCs/>
          <w:sz w:val="28"/>
          <w:szCs w:val="28"/>
        </w:rPr>
        <w:t xml:space="preserve"> 15%</w:t>
      </w:r>
      <w:r>
        <w:rPr>
          <w:rFonts w:ascii="Arial" w:eastAsia="仿宋_GB2312" w:hAnsi="Arial"/>
          <w:bCs/>
          <w:sz w:val="28"/>
          <w:szCs w:val="28"/>
        </w:rPr>
        <w:t>，鼓励存量低效商业、办公、厂房等建筑改造为租赁</w:t>
      </w:r>
      <w:proofErr w:type="gramStart"/>
      <w:r>
        <w:rPr>
          <w:rFonts w:ascii="Arial" w:eastAsia="仿宋_GB2312" w:hAnsi="Arial"/>
          <w:bCs/>
          <w:sz w:val="28"/>
          <w:szCs w:val="28"/>
        </w:rPr>
        <w:t>型职工</w:t>
      </w:r>
      <w:proofErr w:type="gramEnd"/>
      <w:r>
        <w:rPr>
          <w:rFonts w:ascii="Arial" w:eastAsia="仿宋_GB2312" w:hAnsi="Arial"/>
          <w:bCs/>
          <w:sz w:val="28"/>
          <w:szCs w:val="28"/>
        </w:rPr>
        <w:t>集体宿舍或公寓。加快高层次人才公租房和国际人才公寓建设。确保住房交易市场平稳有序，规范发展住房租赁市场</w:t>
      </w:r>
      <w:r>
        <w:rPr>
          <w:rFonts w:ascii="Arial" w:eastAsia="仿宋_GB2312" w:hAnsi="Arial" w:hint="eastAsia"/>
          <w:bCs/>
          <w:sz w:val="28"/>
          <w:szCs w:val="28"/>
        </w:rPr>
        <w:t>，</w:t>
      </w:r>
      <w:r>
        <w:rPr>
          <w:rFonts w:ascii="Arial" w:eastAsia="仿宋_GB2312" w:hAnsi="Arial"/>
          <w:bCs/>
          <w:sz w:val="28"/>
          <w:szCs w:val="28"/>
        </w:rPr>
        <w:t>保持调控政策连</w:t>
      </w:r>
      <w:r>
        <w:rPr>
          <w:rFonts w:ascii="Arial" w:eastAsia="仿宋_GB2312" w:hAnsi="Arial"/>
          <w:bCs/>
          <w:sz w:val="28"/>
          <w:szCs w:val="28"/>
        </w:rPr>
        <w:t xml:space="preserve"> </w:t>
      </w:r>
      <w:r>
        <w:rPr>
          <w:rFonts w:ascii="Arial" w:eastAsia="仿宋_GB2312" w:hAnsi="Arial"/>
          <w:bCs/>
          <w:sz w:val="28"/>
          <w:szCs w:val="28"/>
        </w:rPr>
        <w:t>续性稳定性，坚决遏制投机炒房，按照</w:t>
      </w:r>
      <w:r>
        <w:rPr>
          <w:rFonts w:ascii="Arial" w:eastAsia="仿宋_GB2312" w:hAnsi="Arial"/>
          <w:bCs/>
          <w:sz w:val="28"/>
          <w:szCs w:val="28"/>
        </w:rPr>
        <w:t>“</w:t>
      </w:r>
      <w:r>
        <w:rPr>
          <w:rFonts w:ascii="Arial" w:eastAsia="仿宋_GB2312" w:hAnsi="Arial"/>
          <w:bCs/>
          <w:sz w:val="28"/>
          <w:szCs w:val="28"/>
        </w:rPr>
        <w:t>全市统筹、因区施策</w:t>
      </w:r>
      <w:r>
        <w:rPr>
          <w:rFonts w:ascii="Arial" w:eastAsia="仿宋_GB2312" w:hAnsi="Arial"/>
          <w:bCs/>
          <w:sz w:val="28"/>
          <w:szCs w:val="28"/>
        </w:rPr>
        <w:t>”</w:t>
      </w:r>
      <w:r>
        <w:rPr>
          <w:rFonts w:ascii="Arial" w:eastAsia="仿宋_GB2312" w:hAnsi="Arial"/>
          <w:bCs/>
          <w:sz w:val="28"/>
          <w:szCs w:val="28"/>
        </w:rPr>
        <w:t>原则，逐步完善各区域调控长效机制，合理设定调控目标，全面落实稳地价、稳房价、稳预期。</w:t>
      </w:r>
    </w:p>
    <w:p w14:paraId="308CB8B9"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w:t>
      </w: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5</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14:paraId="21976C66" w14:textId="77777777" w:rsidR="0062768B" w:rsidRDefault="00136729">
      <w:pPr>
        <w:adjustRightInd/>
        <w:spacing w:line="300" w:lineRule="auto"/>
        <w:ind w:firstLineChars="200" w:firstLine="560"/>
        <w:jc w:val="both"/>
        <w:rPr>
          <w:rFonts w:ascii="仿宋_GB2312" w:eastAsia="仿宋_GB2312"/>
          <w:bCs/>
          <w:i/>
          <w:sz w:val="28"/>
          <w:szCs w:val="28"/>
        </w:rPr>
      </w:pPr>
      <w:r>
        <w:rPr>
          <w:rFonts w:ascii="Arial" w:eastAsia="仿宋_GB2312" w:hAnsi="Arial" w:hint="eastAsia"/>
          <w:bCs/>
          <w:sz w:val="28"/>
          <w:szCs w:val="28"/>
        </w:rPr>
        <w:lastRenderedPageBreak/>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49263AB4" w14:textId="77777777" w:rsidR="0062768B" w:rsidRDefault="00136729">
      <w:pPr>
        <w:adjustRightInd/>
        <w:spacing w:line="300" w:lineRule="auto"/>
        <w:ind w:firstLineChars="200" w:firstLine="560"/>
        <w:jc w:val="both"/>
        <w:rPr>
          <w:rFonts w:ascii="仿宋_GB2312" w:eastAsia="仿宋_GB2312"/>
          <w:bCs/>
          <w:sz w:val="28"/>
          <w:szCs w:val="28"/>
        </w:rPr>
      </w:pPr>
      <w:r>
        <w:rPr>
          <w:rFonts w:ascii="Arial" w:eastAsia="仿宋_GB2312" w:hAnsi="Arial" w:hint="eastAsia"/>
          <w:bCs/>
          <w:sz w:val="28"/>
          <w:szCs w:val="28"/>
        </w:rPr>
        <w:t>5</w:t>
      </w:r>
      <w:r>
        <w:rPr>
          <w:rFonts w:ascii="仿宋_GB2312" w:eastAsia="仿宋_GB2312" w:hint="eastAsia"/>
          <w:bCs/>
          <w:sz w:val="28"/>
          <w:szCs w:val="28"/>
        </w:rPr>
        <w:t>.城市社会经济发展状况（</w:t>
      </w:r>
      <w:r>
        <w:rPr>
          <w:rFonts w:ascii="Arial" w:eastAsia="仿宋_GB2312" w:hAnsi="Arial" w:hint="eastAsia"/>
          <w:bCs/>
          <w:sz w:val="28"/>
          <w:szCs w:val="28"/>
        </w:rPr>
        <w:t>202</w:t>
      </w:r>
      <w:r>
        <w:rPr>
          <w:rFonts w:ascii="Arial" w:eastAsia="仿宋_GB2312" w:hAnsi="Arial"/>
          <w:bCs/>
          <w:sz w:val="28"/>
          <w:szCs w:val="28"/>
        </w:rPr>
        <w:t>3</w:t>
      </w:r>
      <w:r>
        <w:rPr>
          <w:rFonts w:ascii="仿宋_GB2312" w:eastAsia="仿宋_GB2312" w:hint="eastAsia"/>
          <w:bCs/>
          <w:sz w:val="28"/>
          <w:szCs w:val="28"/>
        </w:rPr>
        <w:t>年</w:t>
      </w:r>
      <w:r>
        <w:rPr>
          <w:rFonts w:ascii="Arial" w:eastAsia="仿宋_GB2312" w:hAnsi="Arial"/>
          <w:bCs/>
          <w:sz w:val="28"/>
          <w:szCs w:val="28"/>
        </w:rPr>
        <w:t>1</w:t>
      </w:r>
      <w:r>
        <w:rPr>
          <w:rFonts w:ascii="仿宋_GB2312" w:eastAsia="仿宋_GB2312" w:hint="eastAsia"/>
          <w:bCs/>
          <w:sz w:val="28"/>
          <w:szCs w:val="28"/>
        </w:rPr>
        <w:t>季度）</w:t>
      </w:r>
    </w:p>
    <w:p w14:paraId="5AA6E754"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根据北京市统计局地区生产总值统一核算结果，</w:t>
      </w:r>
      <w:r>
        <w:rPr>
          <w:rFonts w:ascii="Arial" w:eastAsia="仿宋_GB2312" w:hAnsi="Arial" w:cs="Arial" w:hint="eastAsia"/>
          <w:bCs/>
          <w:sz w:val="28"/>
          <w:szCs w:val="28"/>
        </w:rPr>
        <w:t>2023</w:t>
      </w:r>
      <w:r>
        <w:rPr>
          <w:rFonts w:ascii="Arial" w:eastAsia="仿宋_GB2312" w:hAnsi="Arial" w:cs="Arial" w:hint="eastAsia"/>
          <w:bCs/>
          <w:sz w:val="28"/>
          <w:szCs w:val="28"/>
        </w:rPr>
        <w:t>年</w:t>
      </w:r>
      <w:r>
        <w:rPr>
          <w:rFonts w:ascii="Arial" w:eastAsia="仿宋_GB2312" w:hAnsi="Arial" w:cs="Arial" w:hint="eastAsia"/>
          <w:bCs/>
          <w:sz w:val="28"/>
          <w:szCs w:val="28"/>
        </w:rPr>
        <w:t>1</w:t>
      </w:r>
      <w:r>
        <w:rPr>
          <w:rFonts w:ascii="Arial" w:eastAsia="仿宋_GB2312" w:hAnsi="Arial" w:cs="Arial" w:hint="eastAsia"/>
          <w:bCs/>
          <w:sz w:val="28"/>
          <w:szCs w:val="28"/>
        </w:rPr>
        <w:t>季度北京市实现地区生产总值</w:t>
      </w:r>
      <w:r>
        <w:rPr>
          <w:rFonts w:ascii="Arial" w:eastAsia="仿宋_GB2312" w:hAnsi="Arial" w:cs="Arial" w:hint="eastAsia"/>
          <w:bCs/>
          <w:sz w:val="28"/>
          <w:szCs w:val="28"/>
        </w:rPr>
        <w:t>9947.7</w:t>
      </w:r>
      <w:r>
        <w:rPr>
          <w:rFonts w:ascii="Arial" w:eastAsia="仿宋_GB2312" w:hAnsi="Arial" w:cs="Arial" w:hint="eastAsia"/>
          <w:bCs/>
          <w:sz w:val="28"/>
          <w:szCs w:val="28"/>
        </w:rPr>
        <w:t>亿元，按不变价格计算，同比增长</w:t>
      </w:r>
      <w:r>
        <w:rPr>
          <w:rFonts w:ascii="Arial" w:eastAsia="仿宋_GB2312" w:hAnsi="Arial" w:cs="Arial" w:hint="eastAsia"/>
          <w:bCs/>
          <w:sz w:val="28"/>
          <w:szCs w:val="28"/>
        </w:rPr>
        <w:t>3.1%</w:t>
      </w:r>
      <w:r>
        <w:rPr>
          <w:rFonts w:ascii="Arial" w:eastAsia="仿宋_GB2312" w:hAnsi="Arial" w:cs="Arial" w:hint="eastAsia"/>
          <w:bCs/>
          <w:sz w:val="28"/>
          <w:szCs w:val="28"/>
        </w:rPr>
        <w:t>，高于上年全年增速</w:t>
      </w:r>
      <w:r>
        <w:rPr>
          <w:rFonts w:ascii="Arial" w:eastAsia="仿宋_GB2312" w:hAnsi="Arial" w:cs="Arial" w:hint="eastAsia"/>
          <w:bCs/>
          <w:sz w:val="28"/>
          <w:szCs w:val="28"/>
        </w:rPr>
        <w:t>2.4</w:t>
      </w:r>
      <w:r>
        <w:rPr>
          <w:rFonts w:ascii="Arial" w:eastAsia="仿宋_GB2312" w:hAnsi="Arial" w:cs="Arial" w:hint="eastAsia"/>
          <w:bCs/>
          <w:sz w:val="28"/>
          <w:szCs w:val="28"/>
        </w:rPr>
        <w:t>个百分点。分产业看，第一产业实现增加值</w:t>
      </w:r>
      <w:r>
        <w:rPr>
          <w:rFonts w:ascii="Arial" w:eastAsia="仿宋_GB2312" w:hAnsi="Arial" w:cs="Arial" w:hint="eastAsia"/>
          <w:bCs/>
          <w:sz w:val="28"/>
          <w:szCs w:val="28"/>
        </w:rPr>
        <w:t>14.7</w:t>
      </w:r>
      <w:r>
        <w:rPr>
          <w:rFonts w:ascii="Arial" w:eastAsia="仿宋_GB2312" w:hAnsi="Arial" w:cs="Arial" w:hint="eastAsia"/>
          <w:bCs/>
          <w:sz w:val="28"/>
          <w:szCs w:val="28"/>
        </w:rPr>
        <w:t>亿元，增长</w:t>
      </w:r>
      <w:r>
        <w:rPr>
          <w:rFonts w:ascii="Arial" w:eastAsia="仿宋_GB2312" w:hAnsi="Arial" w:cs="Arial" w:hint="eastAsia"/>
          <w:bCs/>
          <w:sz w:val="28"/>
          <w:szCs w:val="28"/>
        </w:rPr>
        <w:t>2.3%</w:t>
      </w:r>
      <w:r>
        <w:rPr>
          <w:rFonts w:ascii="Arial" w:eastAsia="仿宋_GB2312" w:hAnsi="Arial" w:cs="Arial" w:hint="eastAsia"/>
          <w:bCs/>
          <w:sz w:val="28"/>
          <w:szCs w:val="28"/>
        </w:rPr>
        <w:t>；第二产业实现增加值</w:t>
      </w:r>
      <w:r>
        <w:rPr>
          <w:rFonts w:ascii="Arial" w:eastAsia="仿宋_GB2312" w:hAnsi="Arial" w:cs="Arial" w:hint="eastAsia"/>
          <w:bCs/>
          <w:sz w:val="28"/>
          <w:szCs w:val="28"/>
        </w:rPr>
        <w:t>1228.1</w:t>
      </w:r>
      <w:r>
        <w:rPr>
          <w:rFonts w:ascii="Arial" w:eastAsia="仿宋_GB2312" w:hAnsi="Arial" w:cs="Arial" w:hint="eastAsia"/>
          <w:bCs/>
          <w:sz w:val="28"/>
          <w:szCs w:val="28"/>
        </w:rPr>
        <w:t>亿元，下降</w:t>
      </w:r>
      <w:r>
        <w:rPr>
          <w:rFonts w:ascii="Arial" w:eastAsia="仿宋_GB2312" w:hAnsi="Arial" w:cs="Arial" w:hint="eastAsia"/>
          <w:bCs/>
          <w:sz w:val="28"/>
          <w:szCs w:val="28"/>
        </w:rPr>
        <w:t>6.0%</w:t>
      </w:r>
      <w:r>
        <w:rPr>
          <w:rFonts w:ascii="Arial" w:eastAsia="仿宋_GB2312" w:hAnsi="Arial" w:cs="Arial" w:hint="eastAsia"/>
          <w:bCs/>
          <w:sz w:val="28"/>
          <w:szCs w:val="28"/>
        </w:rPr>
        <w:t>；第三产业实现增加值</w:t>
      </w:r>
      <w:r>
        <w:rPr>
          <w:rFonts w:ascii="Arial" w:eastAsia="仿宋_GB2312" w:hAnsi="Arial" w:cs="Arial" w:hint="eastAsia"/>
          <w:bCs/>
          <w:sz w:val="28"/>
          <w:szCs w:val="28"/>
        </w:rPr>
        <w:t>8705.0</w:t>
      </w:r>
      <w:r>
        <w:rPr>
          <w:rFonts w:ascii="Arial" w:eastAsia="仿宋_GB2312" w:hAnsi="Arial" w:cs="Arial" w:hint="eastAsia"/>
          <w:bCs/>
          <w:sz w:val="28"/>
          <w:szCs w:val="28"/>
        </w:rPr>
        <w:t>亿元，增长</w:t>
      </w:r>
      <w:r>
        <w:rPr>
          <w:rFonts w:ascii="Arial" w:eastAsia="仿宋_GB2312" w:hAnsi="Arial" w:cs="Arial" w:hint="eastAsia"/>
          <w:bCs/>
          <w:sz w:val="28"/>
          <w:szCs w:val="28"/>
        </w:rPr>
        <w:t>4.6%</w:t>
      </w:r>
      <w:r>
        <w:rPr>
          <w:rFonts w:ascii="Arial" w:eastAsia="仿宋_GB2312" w:hAnsi="Arial" w:cs="Arial" w:hint="eastAsia"/>
          <w:bCs/>
          <w:sz w:val="28"/>
          <w:szCs w:val="28"/>
        </w:rPr>
        <w:t>。</w:t>
      </w:r>
    </w:p>
    <w:p w14:paraId="5005567C"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）农业生产保持增势，休闲农业和乡村旅游回暖</w:t>
      </w:r>
    </w:p>
    <w:p w14:paraId="77D3AC22"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一季度，北京市实现农林牧渔业总产值</w:t>
      </w:r>
      <w:r>
        <w:rPr>
          <w:rFonts w:ascii="Arial" w:eastAsia="仿宋_GB2312" w:hAnsi="Arial" w:cs="Arial" w:hint="eastAsia"/>
          <w:bCs/>
          <w:sz w:val="28"/>
          <w:szCs w:val="28"/>
        </w:rPr>
        <w:t>37.8</w:t>
      </w:r>
      <w:r>
        <w:rPr>
          <w:rFonts w:ascii="Arial" w:eastAsia="仿宋_GB2312" w:hAnsi="Arial" w:cs="Arial" w:hint="eastAsia"/>
          <w:bCs/>
          <w:sz w:val="28"/>
          <w:szCs w:val="28"/>
        </w:rPr>
        <w:t>亿元，按可比价格计算，同比增长</w:t>
      </w:r>
      <w:r>
        <w:rPr>
          <w:rFonts w:ascii="Arial" w:eastAsia="仿宋_GB2312" w:hAnsi="Arial" w:cs="Arial" w:hint="eastAsia"/>
          <w:bCs/>
          <w:sz w:val="28"/>
          <w:szCs w:val="28"/>
        </w:rPr>
        <w:t>2.1%</w:t>
      </w:r>
      <w:r>
        <w:rPr>
          <w:rFonts w:ascii="Arial" w:eastAsia="仿宋_GB2312" w:hAnsi="Arial" w:cs="Arial" w:hint="eastAsia"/>
          <w:bCs/>
          <w:sz w:val="28"/>
          <w:szCs w:val="28"/>
        </w:rPr>
        <w:t>。其中，实现农业（种植业）产值</w:t>
      </w:r>
      <w:r>
        <w:rPr>
          <w:rFonts w:ascii="Arial" w:eastAsia="仿宋_GB2312" w:hAnsi="Arial" w:cs="Arial" w:hint="eastAsia"/>
          <w:bCs/>
          <w:sz w:val="28"/>
          <w:szCs w:val="28"/>
        </w:rPr>
        <w:t>14.5</w:t>
      </w:r>
      <w:r>
        <w:rPr>
          <w:rFonts w:ascii="Arial" w:eastAsia="仿宋_GB2312" w:hAnsi="Arial" w:cs="Arial" w:hint="eastAsia"/>
          <w:bCs/>
          <w:sz w:val="28"/>
          <w:szCs w:val="28"/>
        </w:rPr>
        <w:t>亿元，增长</w:t>
      </w:r>
      <w:r>
        <w:rPr>
          <w:rFonts w:ascii="Arial" w:eastAsia="仿宋_GB2312" w:hAnsi="Arial" w:cs="Arial" w:hint="eastAsia"/>
          <w:bCs/>
          <w:sz w:val="28"/>
          <w:szCs w:val="28"/>
        </w:rPr>
        <w:t>5.7%</w:t>
      </w:r>
      <w:r>
        <w:rPr>
          <w:rFonts w:ascii="Arial" w:eastAsia="仿宋_GB2312" w:hAnsi="Arial" w:cs="Arial" w:hint="eastAsia"/>
          <w:bCs/>
          <w:sz w:val="28"/>
          <w:szCs w:val="28"/>
        </w:rPr>
        <w:t>，瓜果类产量增长</w:t>
      </w:r>
      <w:r>
        <w:rPr>
          <w:rFonts w:ascii="Arial" w:eastAsia="仿宋_GB2312" w:hAnsi="Arial" w:cs="Arial" w:hint="eastAsia"/>
          <w:bCs/>
          <w:sz w:val="28"/>
          <w:szCs w:val="28"/>
        </w:rPr>
        <w:t>5.9%</w:t>
      </w:r>
      <w:r>
        <w:rPr>
          <w:rFonts w:ascii="Arial" w:eastAsia="仿宋_GB2312" w:hAnsi="Arial" w:cs="Arial" w:hint="eastAsia"/>
          <w:bCs/>
          <w:sz w:val="28"/>
          <w:szCs w:val="28"/>
        </w:rPr>
        <w:t>；在造林管护带动下，实现林业产值</w:t>
      </w:r>
      <w:r>
        <w:rPr>
          <w:rFonts w:ascii="Arial" w:eastAsia="仿宋_GB2312" w:hAnsi="Arial" w:cs="Arial" w:hint="eastAsia"/>
          <w:bCs/>
          <w:sz w:val="28"/>
          <w:szCs w:val="28"/>
        </w:rPr>
        <w:t>12.3</w:t>
      </w:r>
      <w:r>
        <w:rPr>
          <w:rFonts w:ascii="Arial" w:eastAsia="仿宋_GB2312" w:hAnsi="Arial" w:cs="Arial" w:hint="eastAsia"/>
          <w:bCs/>
          <w:sz w:val="28"/>
          <w:szCs w:val="28"/>
        </w:rPr>
        <w:t>亿元，增长</w:t>
      </w:r>
      <w:r>
        <w:rPr>
          <w:rFonts w:ascii="Arial" w:eastAsia="仿宋_GB2312" w:hAnsi="Arial" w:cs="Arial" w:hint="eastAsia"/>
          <w:bCs/>
          <w:sz w:val="28"/>
          <w:szCs w:val="28"/>
        </w:rPr>
        <w:t>13.6%</w:t>
      </w:r>
      <w:r>
        <w:rPr>
          <w:rFonts w:ascii="Arial" w:eastAsia="仿宋_GB2312" w:hAnsi="Arial" w:cs="Arial" w:hint="eastAsia"/>
          <w:bCs/>
          <w:sz w:val="28"/>
          <w:szCs w:val="28"/>
        </w:rPr>
        <w:t>。休闲农业和乡村旅游回暖，接待游客</w:t>
      </w:r>
      <w:r>
        <w:rPr>
          <w:rFonts w:ascii="Arial" w:eastAsia="仿宋_GB2312" w:hAnsi="Arial" w:cs="Arial" w:hint="eastAsia"/>
          <w:bCs/>
          <w:sz w:val="28"/>
          <w:szCs w:val="28"/>
        </w:rPr>
        <w:t>335.6</w:t>
      </w:r>
      <w:r>
        <w:rPr>
          <w:rFonts w:ascii="Arial" w:eastAsia="仿宋_GB2312" w:hAnsi="Arial" w:cs="Arial" w:hint="eastAsia"/>
          <w:bCs/>
          <w:sz w:val="28"/>
          <w:szCs w:val="28"/>
        </w:rPr>
        <w:t>万人次，同比增长</w:t>
      </w:r>
      <w:r>
        <w:rPr>
          <w:rFonts w:ascii="Arial" w:eastAsia="仿宋_GB2312" w:hAnsi="Arial" w:cs="Arial" w:hint="eastAsia"/>
          <w:bCs/>
          <w:sz w:val="28"/>
          <w:szCs w:val="28"/>
        </w:rPr>
        <w:t>4.4%</w:t>
      </w:r>
      <w:r>
        <w:rPr>
          <w:rFonts w:ascii="Arial" w:eastAsia="仿宋_GB2312" w:hAnsi="Arial" w:cs="Arial" w:hint="eastAsia"/>
          <w:bCs/>
          <w:sz w:val="28"/>
          <w:szCs w:val="28"/>
        </w:rPr>
        <w:t>，实现收入</w:t>
      </w:r>
      <w:r>
        <w:rPr>
          <w:rFonts w:ascii="Arial" w:eastAsia="仿宋_GB2312" w:hAnsi="Arial" w:cs="Arial" w:hint="eastAsia"/>
          <w:bCs/>
          <w:sz w:val="28"/>
          <w:szCs w:val="28"/>
        </w:rPr>
        <w:t>7.0</w:t>
      </w:r>
      <w:r>
        <w:rPr>
          <w:rFonts w:ascii="Arial" w:eastAsia="仿宋_GB2312" w:hAnsi="Arial" w:cs="Arial" w:hint="eastAsia"/>
          <w:bCs/>
          <w:sz w:val="28"/>
          <w:szCs w:val="28"/>
        </w:rPr>
        <w:t>亿元，增长</w:t>
      </w:r>
      <w:r>
        <w:rPr>
          <w:rFonts w:ascii="Arial" w:eastAsia="仿宋_GB2312" w:hAnsi="Arial" w:cs="Arial" w:hint="eastAsia"/>
          <w:bCs/>
          <w:sz w:val="28"/>
          <w:szCs w:val="28"/>
        </w:rPr>
        <w:t>11.9%</w:t>
      </w:r>
      <w:r>
        <w:rPr>
          <w:rFonts w:ascii="Arial" w:eastAsia="仿宋_GB2312" w:hAnsi="Arial" w:cs="Arial" w:hint="eastAsia"/>
          <w:bCs/>
          <w:sz w:val="28"/>
          <w:szCs w:val="28"/>
        </w:rPr>
        <w:t>。</w:t>
      </w:r>
    </w:p>
    <w:p w14:paraId="0E7F936F"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）工业生产</w:t>
      </w:r>
      <w:proofErr w:type="gramStart"/>
      <w:r>
        <w:rPr>
          <w:rFonts w:ascii="Arial" w:eastAsia="仿宋_GB2312" w:hAnsi="Arial" w:cs="Arial" w:hint="eastAsia"/>
          <w:bCs/>
          <w:sz w:val="28"/>
          <w:szCs w:val="28"/>
        </w:rPr>
        <w:t>降幅收</w:t>
      </w:r>
      <w:proofErr w:type="gramEnd"/>
      <w:r>
        <w:rPr>
          <w:rFonts w:ascii="Arial" w:eastAsia="仿宋_GB2312" w:hAnsi="Arial" w:cs="Arial" w:hint="eastAsia"/>
          <w:bCs/>
          <w:sz w:val="28"/>
          <w:szCs w:val="28"/>
        </w:rPr>
        <w:t>窄，部分高端领域增势较好</w:t>
      </w:r>
    </w:p>
    <w:p w14:paraId="4F47BF32"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一季度，北京市规模以上工业增加值按可比价格计算，同比下降</w:t>
      </w:r>
      <w:r>
        <w:rPr>
          <w:rFonts w:ascii="Arial" w:eastAsia="仿宋_GB2312" w:hAnsi="Arial" w:cs="Arial" w:hint="eastAsia"/>
          <w:bCs/>
          <w:sz w:val="28"/>
          <w:szCs w:val="28"/>
        </w:rPr>
        <w:t>7.4%</w:t>
      </w:r>
      <w:r>
        <w:rPr>
          <w:rFonts w:ascii="Arial" w:eastAsia="仿宋_GB2312" w:hAnsi="Arial" w:cs="Arial" w:hint="eastAsia"/>
          <w:bCs/>
          <w:sz w:val="28"/>
          <w:szCs w:val="28"/>
        </w:rPr>
        <w:t>（剔除新冠疫苗生产因素增长</w:t>
      </w:r>
      <w:r>
        <w:rPr>
          <w:rFonts w:ascii="Arial" w:eastAsia="仿宋_GB2312" w:hAnsi="Arial" w:cs="Arial" w:hint="eastAsia"/>
          <w:bCs/>
          <w:sz w:val="28"/>
          <w:szCs w:val="28"/>
        </w:rPr>
        <w:t>1.8%</w:t>
      </w:r>
      <w:r>
        <w:rPr>
          <w:rFonts w:ascii="Arial" w:eastAsia="仿宋_GB2312" w:hAnsi="Arial" w:cs="Arial" w:hint="eastAsia"/>
          <w:bCs/>
          <w:sz w:val="28"/>
          <w:szCs w:val="28"/>
        </w:rPr>
        <w:t>），降幅较上年全年收窄</w:t>
      </w:r>
      <w:r>
        <w:rPr>
          <w:rFonts w:ascii="Arial" w:eastAsia="仿宋_GB2312" w:hAnsi="Arial" w:cs="Arial" w:hint="eastAsia"/>
          <w:bCs/>
          <w:sz w:val="28"/>
          <w:szCs w:val="28"/>
        </w:rPr>
        <w:t>9.3</w:t>
      </w:r>
      <w:r>
        <w:rPr>
          <w:rFonts w:ascii="Arial" w:eastAsia="仿宋_GB2312" w:hAnsi="Arial" w:cs="Arial" w:hint="eastAsia"/>
          <w:bCs/>
          <w:sz w:val="28"/>
          <w:szCs w:val="28"/>
        </w:rPr>
        <w:t>个百分点。重点行业中，电力、热力生产和供应业增长</w:t>
      </w:r>
      <w:r>
        <w:rPr>
          <w:rFonts w:ascii="Arial" w:eastAsia="仿宋_GB2312" w:hAnsi="Arial" w:cs="Arial" w:hint="eastAsia"/>
          <w:bCs/>
          <w:sz w:val="28"/>
          <w:szCs w:val="28"/>
        </w:rPr>
        <w:t>11.5%</w:t>
      </w:r>
      <w:r>
        <w:rPr>
          <w:rFonts w:ascii="Arial" w:eastAsia="仿宋_GB2312" w:hAnsi="Arial" w:cs="Arial" w:hint="eastAsia"/>
          <w:bCs/>
          <w:sz w:val="28"/>
          <w:szCs w:val="28"/>
        </w:rPr>
        <w:t>，汽车制造业增长</w:t>
      </w:r>
      <w:r>
        <w:rPr>
          <w:rFonts w:ascii="Arial" w:eastAsia="仿宋_GB2312" w:hAnsi="Arial" w:cs="Arial" w:hint="eastAsia"/>
          <w:bCs/>
          <w:sz w:val="28"/>
          <w:szCs w:val="28"/>
        </w:rPr>
        <w:t>2.0%</w:t>
      </w:r>
      <w:r>
        <w:rPr>
          <w:rFonts w:ascii="Arial" w:eastAsia="仿宋_GB2312" w:hAnsi="Arial" w:cs="Arial" w:hint="eastAsia"/>
          <w:bCs/>
          <w:sz w:val="28"/>
          <w:szCs w:val="28"/>
        </w:rPr>
        <w:t>，计算机、通信和其他电子设备制造业下降</w:t>
      </w:r>
      <w:r>
        <w:rPr>
          <w:rFonts w:ascii="Arial" w:eastAsia="仿宋_GB2312" w:hAnsi="Arial" w:cs="Arial" w:hint="eastAsia"/>
          <w:bCs/>
          <w:sz w:val="28"/>
          <w:szCs w:val="28"/>
        </w:rPr>
        <w:t>8.9%</w:t>
      </w:r>
      <w:r>
        <w:rPr>
          <w:rFonts w:ascii="Arial" w:eastAsia="仿宋_GB2312" w:hAnsi="Arial" w:cs="Arial" w:hint="eastAsia"/>
          <w:bCs/>
          <w:sz w:val="28"/>
          <w:szCs w:val="28"/>
        </w:rPr>
        <w:t>，医药制造业下降</w:t>
      </w:r>
      <w:r>
        <w:rPr>
          <w:rFonts w:ascii="Arial" w:eastAsia="仿宋_GB2312" w:hAnsi="Arial" w:cs="Arial" w:hint="eastAsia"/>
          <w:bCs/>
          <w:sz w:val="28"/>
          <w:szCs w:val="28"/>
        </w:rPr>
        <w:t>43.7%</w:t>
      </w:r>
      <w:r>
        <w:rPr>
          <w:rFonts w:ascii="Arial" w:eastAsia="仿宋_GB2312" w:hAnsi="Arial" w:cs="Arial" w:hint="eastAsia"/>
          <w:bCs/>
          <w:sz w:val="28"/>
          <w:szCs w:val="28"/>
        </w:rPr>
        <w:t>（剔除新冠疫苗生产因素下降</w:t>
      </w:r>
      <w:r>
        <w:rPr>
          <w:rFonts w:ascii="Arial" w:eastAsia="仿宋_GB2312" w:hAnsi="Arial" w:cs="Arial" w:hint="eastAsia"/>
          <w:bCs/>
          <w:sz w:val="28"/>
          <w:szCs w:val="28"/>
        </w:rPr>
        <w:t>3.0%</w:t>
      </w:r>
      <w:r>
        <w:rPr>
          <w:rFonts w:ascii="Arial" w:eastAsia="仿宋_GB2312" w:hAnsi="Arial" w:cs="Arial" w:hint="eastAsia"/>
          <w:bCs/>
          <w:sz w:val="28"/>
          <w:szCs w:val="28"/>
        </w:rPr>
        <w:t>）。装备制造领域中，专用设备制造业，铁路、船舶、航空航天和其他运输设备制造业，电气机械和器材制造业，仪器仪表制造业分别增长</w:t>
      </w:r>
      <w:r>
        <w:rPr>
          <w:rFonts w:ascii="Arial" w:eastAsia="仿宋_GB2312" w:hAnsi="Arial" w:cs="Arial" w:hint="eastAsia"/>
          <w:bCs/>
          <w:sz w:val="28"/>
          <w:szCs w:val="28"/>
        </w:rPr>
        <w:t>25.7%</w:t>
      </w:r>
      <w:r>
        <w:rPr>
          <w:rFonts w:ascii="Arial" w:eastAsia="仿宋_GB2312" w:hAnsi="Arial" w:cs="Arial" w:hint="eastAsia"/>
          <w:bCs/>
          <w:sz w:val="28"/>
          <w:szCs w:val="28"/>
        </w:rPr>
        <w:t>、</w:t>
      </w:r>
      <w:r>
        <w:rPr>
          <w:rFonts w:ascii="Arial" w:eastAsia="仿宋_GB2312" w:hAnsi="Arial" w:cs="Arial" w:hint="eastAsia"/>
          <w:bCs/>
          <w:sz w:val="28"/>
          <w:szCs w:val="28"/>
        </w:rPr>
        <w:t>21.1%</w:t>
      </w:r>
      <w:r>
        <w:rPr>
          <w:rFonts w:ascii="Arial" w:eastAsia="仿宋_GB2312" w:hAnsi="Arial" w:cs="Arial" w:hint="eastAsia"/>
          <w:bCs/>
          <w:sz w:val="28"/>
          <w:szCs w:val="28"/>
        </w:rPr>
        <w:t>、</w:t>
      </w:r>
      <w:r>
        <w:rPr>
          <w:rFonts w:ascii="Arial" w:eastAsia="仿宋_GB2312" w:hAnsi="Arial" w:cs="Arial" w:hint="eastAsia"/>
          <w:bCs/>
          <w:sz w:val="28"/>
          <w:szCs w:val="28"/>
        </w:rPr>
        <w:t>10.3%</w:t>
      </w:r>
      <w:r>
        <w:rPr>
          <w:rFonts w:ascii="Arial" w:eastAsia="仿宋_GB2312" w:hAnsi="Arial" w:cs="Arial" w:hint="eastAsia"/>
          <w:bCs/>
          <w:sz w:val="28"/>
          <w:szCs w:val="28"/>
        </w:rPr>
        <w:t>和</w:t>
      </w:r>
      <w:r>
        <w:rPr>
          <w:rFonts w:ascii="Arial" w:eastAsia="仿宋_GB2312" w:hAnsi="Arial" w:cs="Arial" w:hint="eastAsia"/>
          <w:bCs/>
          <w:sz w:val="28"/>
          <w:szCs w:val="28"/>
        </w:rPr>
        <w:t>5.4%</w:t>
      </w:r>
      <w:r>
        <w:rPr>
          <w:rFonts w:ascii="Arial" w:eastAsia="仿宋_GB2312" w:hAnsi="Arial" w:cs="Arial" w:hint="eastAsia"/>
          <w:bCs/>
          <w:sz w:val="28"/>
          <w:szCs w:val="28"/>
        </w:rPr>
        <w:t>。部分高端或新兴领域产品生产较好，新能源汽车、环境污染防治专用设备、风力发电机组、工业自动调节仪表与控制系统产量分别增长</w:t>
      </w:r>
      <w:r>
        <w:rPr>
          <w:rFonts w:ascii="Arial" w:eastAsia="仿宋_GB2312" w:hAnsi="Arial" w:cs="Arial" w:hint="eastAsia"/>
          <w:bCs/>
          <w:sz w:val="28"/>
          <w:szCs w:val="28"/>
        </w:rPr>
        <w:t>1.2</w:t>
      </w:r>
      <w:r>
        <w:rPr>
          <w:rFonts w:ascii="Arial" w:eastAsia="仿宋_GB2312" w:hAnsi="Arial" w:cs="Arial" w:hint="eastAsia"/>
          <w:bCs/>
          <w:sz w:val="28"/>
          <w:szCs w:val="28"/>
        </w:rPr>
        <w:t>倍、</w:t>
      </w:r>
      <w:r>
        <w:rPr>
          <w:rFonts w:ascii="Arial" w:eastAsia="仿宋_GB2312" w:hAnsi="Arial" w:cs="Arial" w:hint="eastAsia"/>
          <w:bCs/>
          <w:sz w:val="28"/>
          <w:szCs w:val="28"/>
        </w:rPr>
        <w:t>44.0%</w:t>
      </w:r>
      <w:r>
        <w:rPr>
          <w:rFonts w:ascii="Arial" w:eastAsia="仿宋_GB2312" w:hAnsi="Arial" w:cs="Arial" w:hint="eastAsia"/>
          <w:bCs/>
          <w:sz w:val="28"/>
          <w:szCs w:val="28"/>
        </w:rPr>
        <w:t>、</w:t>
      </w:r>
      <w:r>
        <w:rPr>
          <w:rFonts w:ascii="Arial" w:eastAsia="仿宋_GB2312" w:hAnsi="Arial" w:cs="Arial" w:hint="eastAsia"/>
          <w:bCs/>
          <w:sz w:val="28"/>
          <w:szCs w:val="28"/>
        </w:rPr>
        <w:t>36.4%</w:t>
      </w:r>
      <w:r>
        <w:rPr>
          <w:rFonts w:ascii="Arial" w:eastAsia="仿宋_GB2312" w:hAnsi="Arial" w:cs="Arial" w:hint="eastAsia"/>
          <w:bCs/>
          <w:sz w:val="28"/>
          <w:szCs w:val="28"/>
        </w:rPr>
        <w:t>和</w:t>
      </w:r>
      <w:r>
        <w:rPr>
          <w:rFonts w:ascii="Arial" w:eastAsia="仿宋_GB2312" w:hAnsi="Arial" w:cs="Arial" w:hint="eastAsia"/>
          <w:bCs/>
          <w:sz w:val="28"/>
          <w:szCs w:val="28"/>
        </w:rPr>
        <w:t>19.0%</w:t>
      </w:r>
      <w:r>
        <w:rPr>
          <w:rFonts w:ascii="Arial" w:eastAsia="仿宋_GB2312" w:hAnsi="Arial" w:cs="Arial" w:hint="eastAsia"/>
          <w:bCs/>
          <w:sz w:val="28"/>
          <w:szCs w:val="28"/>
        </w:rPr>
        <w:t>。</w:t>
      </w:r>
    </w:p>
    <w:p w14:paraId="0E7ED202"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）服务业总体向好，优势行业、接触性服务业共同带动</w:t>
      </w:r>
    </w:p>
    <w:p w14:paraId="324B5F55"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一季度，北京市第三产业增加值按不变价格计算，同比增长</w:t>
      </w:r>
      <w:r>
        <w:rPr>
          <w:rFonts w:ascii="Arial" w:eastAsia="仿宋_GB2312" w:hAnsi="Arial" w:cs="Arial" w:hint="eastAsia"/>
          <w:bCs/>
          <w:sz w:val="28"/>
          <w:szCs w:val="28"/>
        </w:rPr>
        <w:t>4.6%</w:t>
      </w:r>
      <w:r>
        <w:rPr>
          <w:rFonts w:ascii="Arial" w:eastAsia="仿宋_GB2312" w:hAnsi="Arial" w:cs="Arial" w:hint="eastAsia"/>
          <w:bCs/>
          <w:sz w:val="28"/>
          <w:szCs w:val="28"/>
        </w:rPr>
        <w:t>，比上年全年提高</w:t>
      </w:r>
      <w:r>
        <w:rPr>
          <w:rFonts w:ascii="Arial" w:eastAsia="仿宋_GB2312" w:hAnsi="Arial" w:cs="Arial" w:hint="eastAsia"/>
          <w:bCs/>
          <w:sz w:val="28"/>
          <w:szCs w:val="28"/>
        </w:rPr>
        <w:t>1.2</w:t>
      </w:r>
      <w:r>
        <w:rPr>
          <w:rFonts w:ascii="Arial" w:eastAsia="仿宋_GB2312" w:hAnsi="Arial" w:cs="Arial" w:hint="eastAsia"/>
          <w:bCs/>
          <w:sz w:val="28"/>
          <w:szCs w:val="28"/>
        </w:rPr>
        <w:t>个百分点。其中，信息传输、软件和信息技术服务业实现增加值</w:t>
      </w:r>
      <w:r>
        <w:rPr>
          <w:rFonts w:ascii="Arial" w:eastAsia="仿宋_GB2312" w:hAnsi="Arial" w:cs="Arial" w:hint="eastAsia"/>
          <w:bCs/>
          <w:sz w:val="28"/>
          <w:szCs w:val="28"/>
        </w:rPr>
        <w:t>2134.7</w:t>
      </w:r>
      <w:r>
        <w:rPr>
          <w:rFonts w:ascii="Arial" w:eastAsia="仿宋_GB2312" w:hAnsi="Arial" w:cs="Arial" w:hint="eastAsia"/>
          <w:bCs/>
          <w:sz w:val="28"/>
          <w:szCs w:val="28"/>
        </w:rPr>
        <w:t>亿元，增长</w:t>
      </w:r>
      <w:r>
        <w:rPr>
          <w:rFonts w:ascii="Arial" w:eastAsia="仿宋_GB2312" w:hAnsi="Arial" w:cs="Arial" w:hint="eastAsia"/>
          <w:bCs/>
          <w:sz w:val="28"/>
          <w:szCs w:val="28"/>
        </w:rPr>
        <w:t>12.0%</w:t>
      </w:r>
      <w:r>
        <w:rPr>
          <w:rFonts w:ascii="Arial" w:eastAsia="仿宋_GB2312" w:hAnsi="Arial" w:cs="Arial" w:hint="eastAsia"/>
          <w:bCs/>
          <w:sz w:val="28"/>
          <w:szCs w:val="28"/>
        </w:rPr>
        <w:t>；金融业实现增加值</w:t>
      </w:r>
      <w:r>
        <w:rPr>
          <w:rFonts w:ascii="Arial" w:eastAsia="仿宋_GB2312" w:hAnsi="Arial" w:cs="Arial" w:hint="eastAsia"/>
          <w:bCs/>
          <w:sz w:val="28"/>
          <w:szCs w:val="28"/>
        </w:rPr>
        <w:t>2070.2</w:t>
      </w:r>
      <w:r>
        <w:rPr>
          <w:rFonts w:ascii="Arial" w:eastAsia="仿宋_GB2312" w:hAnsi="Arial" w:cs="Arial" w:hint="eastAsia"/>
          <w:bCs/>
          <w:sz w:val="28"/>
          <w:szCs w:val="28"/>
        </w:rPr>
        <w:t>亿元，</w:t>
      </w:r>
      <w:r>
        <w:rPr>
          <w:rFonts w:ascii="Arial" w:eastAsia="仿宋_GB2312" w:hAnsi="Arial" w:cs="Arial" w:hint="eastAsia"/>
          <w:bCs/>
          <w:sz w:val="28"/>
          <w:szCs w:val="28"/>
        </w:rPr>
        <w:lastRenderedPageBreak/>
        <w:t>增长</w:t>
      </w:r>
      <w:r>
        <w:rPr>
          <w:rFonts w:ascii="Arial" w:eastAsia="仿宋_GB2312" w:hAnsi="Arial" w:cs="Arial" w:hint="eastAsia"/>
          <w:bCs/>
          <w:sz w:val="28"/>
          <w:szCs w:val="28"/>
        </w:rPr>
        <w:t>6.1%</w:t>
      </w:r>
      <w:r>
        <w:rPr>
          <w:rFonts w:ascii="Arial" w:eastAsia="仿宋_GB2312" w:hAnsi="Arial" w:cs="Arial" w:hint="eastAsia"/>
          <w:bCs/>
          <w:sz w:val="28"/>
          <w:szCs w:val="28"/>
        </w:rPr>
        <w:t>；交通运输、仓储和邮政业实现增加值</w:t>
      </w:r>
      <w:r>
        <w:rPr>
          <w:rFonts w:ascii="Arial" w:eastAsia="仿宋_GB2312" w:hAnsi="Arial" w:cs="Arial" w:hint="eastAsia"/>
          <w:bCs/>
          <w:sz w:val="28"/>
          <w:szCs w:val="28"/>
        </w:rPr>
        <w:t>204.7</w:t>
      </w:r>
      <w:r>
        <w:rPr>
          <w:rFonts w:ascii="Arial" w:eastAsia="仿宋_GB2312" w:hAnsi="Arial" w:cs="Arial" w:hint="eastAsia"/>
          <w:bCs/>
          <w:sz w:val="28"/>
          <w:szCs w:val="28"/>
        </w:rPr>
        <w:t>亿元，增长</w:t>
      </w:r>
      <w:r>
        <w:rPr>
          <w:rFonts w:ascii="Arial" w:eastAsia="仿宋_GB2312" w:hAnsi="Arial" w:cs="Arial" w:hint="eastAsia"/>
          <w:bCs/>
          <w:sz w:val="28"/>
          <w:szCs w:val="28"/>
        </w:rPr>
        <w:t>6.9%</w:t>
      </w:r>
      <w:r>
        <w:rPr>
          <w:rFonts w:ascii="Arial" w:eastAsia="仿宋_GB2312" w:hAnsi="Arial" w:cs="Arial" w:hint="eastAsia"/>
          <w:bCs/>
          <w:sz w:val="28"/>
          <w:szCs w:val="28"/>
        </w:rPr>
        <w:t>；文化、体育和娱乐业实现增加值</w:t>
      </w:r>
      <w:r>
        <w:rPr>
          <w:rFonts w:ascii="Arial" w:eastAsia="仿宋_GB2312" w:hAnsi="Arial" w:cs="Arial" w:hint="eastAsia"/>
          <w:bCs/>
          <w:sz w:val="28"/>
          <w:szCs w:val="28"/>
        </w:rPr>
        <w:t>196.6</w:t>
      </w:r>
      <w:r>
        <w:rPr>
          <w:rFonts w:ascii="Arial" w:eastAsia="仿宋_GB2312" w:hAnsi="Arial" w:cs="Arial" w:hint="eastAsia"/>
          <w:bCs/>
          <w:sz w:val="28"/>
          <w:szCs w:val="28"/>
        </w:rPr>
        <w:t>亿元，增长</w:t>
      </w:r>
      <w:r>
        <w:rPr>
          <w:rFonts w:ascii="Arial" w:eastAsia="仿宋_GB2312" w:hAnsi="Arial" w:cs="Arial" w:hint="eastAsia"/>
          <w:bCs/>
          <w:sz w:val="28"/>
          <w:szCs w:val="28"/>
        </w:rPr>
        <w:t>3.6%</w:t>
      </w:r>
      <w:r>
        <w:rPr>
          <w:rFonts w:ascii="Arial" w:eastAsia="仿宋_GB2312" w:hAnsi="Arial" w:cs="Arial" w:hint="eastAsia"/>
          <w:bCs/>
          <w:sz w:val="28"/>
          <w:szCs w:val="28"/>
        </w:rPr>
        <w:t>；住宿和餐饮业实现增加值</w:t>
      </w:r>
      <w:r>
        <w:rPr>
          <w:rFonts w:ascii="Arial" w:eastAsia="仿宋_GB2312" w:hAnsi="Arial" w:cs="Arial" w:hint="eastAsia"/>
          <w:bCs/>
          <w:sz w:val="28"/>
          <w:szCs w:val="28"/>
        </w:rPr>
        <w:t>101.7</w:t>
      </w:r>
      <w:r>
        <w:rPr>
          <w:rFonts w:ascii="Arial" w:eastAsia="仿宋_GB2312" w:hAnsi="Arial" w:cs="Arial" w:hint="eastAsia"/>
          <w:bCs/>
          <w:sz w:val="28"/>
          <w:szCs w:val="28"/>
        </w:rPr>
        <w:t>亿元，增长</w:t>
      </w:r>
      <w:r>
        <w:rPr>
          <w:rFonts w:ascii="Arial" w:eastAsia="仿宋_GB2312" w:hAnsi="Arial" w:cs="Arial" w:hint="eastAsia"/>
          <w:bCs/>
          <w:sz w:val="28"/>
          <w:szCs w:val="28"/>
        </w:rPr>
        <w:t>11.6%</w:t>
      </w:r>
      <w:r>
        <w:rPr>
          <w:rFonts w:ascii="Arial" w:eastAsia="仿宋_GB2312" w:hAnsi="Arial" w:cs="Arial" w:hint="eastAsia"/>
          <w:bCs/>
          <w:sz w:val="28"/>
          <w:szCs w:val="28"/>
        </w:rPr>
        <w:t>。</w:t>
      </w:r>
    </w:p>
    <w:p w14:paraId="10951A19"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）固定资产投资较快增长，高技术产业投资显现活力</w:t>
      </w:r>
    </w:p>
    <w:p w14:paraId="4316D8DE"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一季度，北京市固定资产投资（不含农户）同比增长</w:t>
      </w:r>
      <w:r>
        <w:rPr>
          <w:rFonts w:ascii="Arial" w:eastAsia="仿宋_GB2312" w:hAnsi="Arial" w:cs="Arial" w:hint="eastAsia"/>
          <w:bCs/>
          <w:sz w:val="28"/>
          <w:szCs w:val="28"/>
        </w:rPr>
        <w:t>9.6%</w:t>
      </w:r>
      <w:r>
        <w:rPr>
          <w:rFonts w:ascii="Arial" w:eastAsia="仿宋_GB2312" w:hAnsi="Arial" w:cs="Arial" w:hint="eastAsia"/>
          <w:bCs/>
          <w:sz w:val="28"/>
          <w:szCs w:val="28"/>
        </w:rPr>
        <w:t>，比上年全年提高</w:t>
      </w:r>
      <w:r>
        <w:rPr>
          <w:rFonts w:ascii="Arial" w:eastAsia="仿宋_GB2312" w:hAnsi="Arial" w:cs="Arial" w:hint="eastAsia"/>
          <w:bCs/>
          <w:sz w:val="28"/>
          <w:szCs w:val="28"/>
        </w:rPr>
        <w:t>6.0</w:t>
      </w:r>
      <w:r>
        <w:rPr>
          <w:rFonts w:ascii="Arial" w:eastAsia="仿宋_GB2312" w:hAnsi="Arial" w:cs="Arial" w:hint="eastAsia"/>
          <w:bCs/>
          <w:sz w:val="28"/>
          <w:szCs w:val="28"/>
        </w:rPr>
        <w:t>个百分点。分领域看，基础设施投资下降</w:t>
      </w:r>
      <w:r>
        <w:rPr>
          <w:rFonts w:ascii="Arial" w:eastAsia="仿宋_GB2312" w:hAnsi="Arial" w:cs="Arial" w:hint="eastAsia"/>
          <w:bCs/>
          <w:sz w:val="28"/>
          <w:szCs w:val="28"/>
        </w:rPr>
        <w:t>1.1%</w:t>
      </w:r>
      <w:r>
        <w:rPr>
          <w:rFonts w:ascii="Arial" w:eastAsia="仿宋_GB2312" w:hAnsi="Arial" w:cs="Arial" w:hint="eastAsia"/>
          <w:bCs/>
          <w:sz w:val="28"/>
          <w:szCs w:val="28"/>
        </w:rPr>
        <w:t>，制造业投资增长</w:t>
      </w:r>
      <w:r>
        <w:rPr>
          <w:rFonts w:ascii="Arial" w:eastAsia="仿宋_GB2312" w:hAnsi="Arial" w:cs="Arial" w:hint="eastAsia"/>
          <w:bCs/>
          <w:sz w:val="28"/>
          <w:szCs w:val="28"/>
        </w:rPr>
        <w:t>26.0%</w:t>
      </w:r>
      <w:r>
        <w:rPr>
          <w:rFonts w:ascii="Arial" w:eastAsia="仿宋_GB2312" w:hAnsi="Arial" w:cs="Arial" w:hint="eastAsia"/>
          <w:bCs/>
          <w:sz w:val="28"/>
          <w:szCs w:val="28"/>
        </w:rPr>
        <w:t>，房地产开发投资增长</w:t>
      </w:r>
      <w:r>
        <w:rPr>
          <w:rFonts w:ascii="Arial" w:eastAsia="仿宋_GB2312" w:hAnsi="Arial" w:cs="Arial" w:hint="eastAsia"/>
          <w:bCs/>
          <w:sz w:val="28"/>
          <w:szCs w:val="28"/>
        </w:rPr>
        <w:t>9.8%</w:t>
      </w:r>
      <w:r>
        <w:rPr>
          <w:rFonts w:ascii="Arial" w:eastAsia="仿宋_GB2312" w:hAnsi="Arial" w:cs="Arial" w:hint="eastAsia"/>
          <w:bCs/>
          <w:sz w:val="28"/>
          <w:szCs w:val="28"/>
        </w:rPr>
        <w:t>。分产业看，第一产业投资增长</w:t>
      </w:r>
      <w:r>
        <w:rPr>
          <w:rFonts w:ascii="Arial" w:eastAsia="仿宋_GB2312" w:hAnsi="Arial" w:cs="Arial" w:hint="eastAsia"/>
          <w:bCs/>
          <w:sz w:val="28"/>
          <w:szCs w:val="28"/>
        </w:rPr>
        <w:t>0.3%</w:t>
      </w:r>
      <w:r>
        <w:rPr>
          <w:rFonts w:ascii="Arial" w:eastAsia="仿宋_GB2312" w:hAnsi="Arial" w:cs="Arial" w:hint="eastAsia"/>
          <w:bCs/>
          <w:sz w:val="28"/>
          <w:szCs w:val="28"/>
        </w:rPr>
        <w:t>，第二产业投资增长</w:t>
      </w:r>
      <w:r>
        <w:rPr>
          <w:rFonts w:ascii="Arial" w:eastAsia="仿宋_GB2312" w:hAnsi="Arial" w:cs="Arial" w:hint="eastAsia"/>
          <w:bCs/>
          <w:sz w:val="28"/>
          <w:szCs w:val="28"/>
        </w:rPr>
        <w:t>13.0%</w:t>
      </w:r>
      <w:r>
        <w:rPr>
          <w:rFonts w:ascii="Arial" w:eastAsia="仿宋_GB2312" w:hAnsi="Arial" w:cs="Arial" w:hint="eastAsia"/>
          <w:bCs/>
          <w:sz w:val="28"/>
          <w:szCs w:val="28"/>
        </w:rPr>
        <w:t>，第三产业投资增长</w:t>
      </w:r>
      <w:r>
        <w:rPr>
          <w:rFonts w:ascii="Arial" w:eastAsia="仿宋_GB2312" w:hAnsi="Arial" w:cs="Arial" w:hint="eastAsia"/>
          <w:bCs/>
          <w:sz w:val="28"/>
          <w:szCs w:val="28"/>
        </w:rPr>
        <w:t>9.2%</w:t>
      </w:r>
      <w:r>
        <w:rPr>
          <w:rFonts w:ascii="Arial" w:eastAsia="仿宋_GB2312" w:hAnsi="Arial" w:cs="Arial" w:hint="eastAsia"/>
          <w:bCs/>
          <w:sz w:val="28"/>
          <w:szCs w:val="28"/>
        </w:rPr>
        <w:t>。高技术产业投资显现活力，高技术制造业投资增长</w:t>
      </w:r>
      <w:r>
        <w:rPr>
          <w:rFonts w:ascii="Arial" w:eastAsia="仿宋_GB2312" w:hAnsi="Arial" w:cs="Arial" w:hint="eastAsia"/>
          <w:bCs/>
          <w:sz w:val="28"/>
          <w:szCs w:val="28"/>
        </w:rPr>
        <w:t>22.0%</w:t>
      </w:r>
      <w:r>
        <w:rPr>
          <w:rFonts w:ascii="Arial" w:eastAsia="仿宋_GB2312" w:hAnsi="Arial" w:cs="Arial" w:hint="eastAsia"/>
          <w:bCs/>
          <w:sz w:val="28"/>
          <w:szCs w:val="28"/>
        </w:rPr>
        <w:t>，其中，汽车制造业，计算机、通信和其他电子设备制造业，医药制造业分别增长</w:t>
      </w:r>
      <w:r>
        <w:rPr>
          <w:rFonts w:ascii="Arial" w:eastAsia="仿宋_GB2312" w:hAnsi="Arial" w:cs="Arial" w:hint="eastAsia"/>
          <w:bCs/>
          <w:sz w:val="28"/>
          <w:szCs w:val="28"/>
        </w:rPr>
        <w:t>62.7%</w:t>
      </w:r>
      <w:r>
        <w:rPr>
          <w:rFonts w:ascii="Arial" w:eastAsia="仿宋_GB2312" w:hAnsi="Arial" w:cs="Arial" w:hint="eastAsia"/>
          <w:bCs/>
          <w:sz w:val="28"/>
          <w:szCs w:val="28"/>
        </w:rPr>
        <w:t>、</w:t>
      </w:r>
      <w:r>
        <w:rPr>
          <w:rFonts w:ascii="Arial" w:eastAsia="仿宋_GB2312" w:hAnsi="Arial" w:cs="Arial" w:hint="eastAsia"/>
          <w:bCs/>
          <w:sz w:val="28"/>
          <w:szCs w:val="28"/>
        </w:rPr>
        <w:t>21.8%</w:t>
      </w:r>
      <w:r>
        <w:rPr>
          <w:rFonts w:ascii="Arial" w:eastAsia="仿宋_GB2312" w:hAnsi="Arial" w:cs="Arial" w:hint="eastAsia"/>
          <w:bCs/>
          <w:sz w:val="28"/>
          <w:szCs w:val="28"/>
        </w:rPr>
        <w:t>和</w:t>
      </w:r>
      <w:r>
        <w:rPr>
          <w:rFonts w:ascii="Arial" w:eastAsia="仿宋_GB2312" w:hAnsi="Arial" w:cs="Arial" w:hint="eastAsia"/>
          <w:bCs/>
          <w:sz w:val="28"/>
          <w:szCs w:val="28"/>
        </w:rPr>
        <w:t>12.1%</w:t>
      </w:r>
      <w:r>
        <w:rPr>
          <w:rFonts w:ascii="Arial" w:eastAsia="仿宋_GB2312" w:hAnsi="Arial" w:cs="Arial" w:hint="eastAsia"/>
          <w:bCs/>
          <w:sz w:val="28"/>
          <w:szCs w:val="28"/>
        </w:rPr>
        <w:t>；高技术服务业投资增长</w:t>
      </w:r>
      <w:r>
        <w:rPr>
          <w:rFonts w:ascii="Arial" w:eastAsia="仿宋_GB2312" w:hAnsi="Arial" w:cs="Arial" w:hint="eastAsia"/>
          <w:bCs/>
          <w:sz w:val="28"/>
          <w:szCs w:val="28"/>
        </w:rPr>
        <w:t>42.6%</w:t>
      </w:r>
      <w:r>
        <w:rPr>
          <w:rFonts w:ascii="Arial" w:eastAsia="仿宋_GB2312" w:hAnsi="Arial" w:cs="Arial" w:hint="eastAsia"/>
          <w:bCs/>
          <w:sz w:val="28"/>
          <w:szCs w:val="28"/>
        </w:rPr>
        <w:t>，其中，科学研究和技术服务业、租赁和商务服务业分别增长</w:t>
      </w:r>
      <w:r>
        <w:rPr>
          <w:rFonts w:ascii="Arial" w:eastAsia="仿宋_GB2312" w:hAnsi="Arial" w:cs="Arial" w:hint="eastAsia"/>
          <w:bCs/>
          <w:sz w:val="28"/>
          <w:szCs w:val="28"/>
        </w:rPr>
        <w:t>1.6</w:t>
      </w:r>
      <w:r>
        <w:rPr>
          <w:rFonts w:ascii="Arial" w:eastAsia="仿宋_GB2312" w:hAnsi="Arial" w:cs="Arial" w:hint="eastAsia"/>
          <w:bCs/>
          <w:sz w:val="28"/>
          <w:szCs w:val="28"/>
        </w:rPr>
        <w:t>倍和</w:t>
      </w:r>
      <w:r>
        <w:rPr>
          <w:rFonts w:ascii="Arial" w:eastAsia="仿宋_GB2312" w:hAnsi="Arial" w:cs="Arial" w:hint="eastAsia"/>
          <w:bCs/>
          <w:sz w:val="28"/>
          <w:szCs w:val="28"/>
        </w:rPr>
        <w:t>18.8%</w:t>
      </w:r>
      <w:r>
        <w:rPr>
          <w:rFonts w:ascii="Arial" w:eastAsia="仿宋_GB2312" w:hAnsi="Arial" w:cs="Arial" w:hint="eastAsia"/>
          <w:bCs/>
          <w:sz w:val="28"/>
          <w:szCs w:val="28"/>
        </w:rPr>
        <w:t>。</w:t>
      </w:r>
    </w:p>
    <w:p w14:paraId="5E8AA7CB"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一季度，北京市房屋施工面积</w:t>
      </w:r>
      <w:r>
        <w:rPr>
          <w:rFonts w:ascii="Arial" w:eastAsia="仿宋_GB2312" w:hAnsi="Arial" w:cs="Arial" w:hint="eastAsia"/>
          <w:bCs/>
          <w:sz w:val="28"/>
          <w:szCs w:val="28"/>
        </w:rPr>
        <w:t>11642.1</w:t>
      </w:r>
      <w:r>
        <w:rPr>
          <w:rFonts w:ascii="Arial" w:eastAsia="仿宋_GB2312" w:hAnsi="Arial" w:cs="Arial" w:hint="eastAsia"/>
          <w:bCs/>
          <w:sz w:val="28"/>
          <w:szCs w:val="28"/>
        </w:rPr>
        <w:t>万平方米，同比下降</w:t>
      </w:r>
      <w:r>
        <w:rPr>
          <w:rFonts w:ascii="Arial" w:eastAsia="仿宋_GB2312" w:hAnsi="Arial" w:cs="Arial" w:hint="eastAsia"/>
          <w:bCs/>
          <w:sz w:val="28"/>
          <w:szCs w:val="28"/>
        </w:rPr>
        <w:t>1.1%</w:t>
      </w:r>
      <w:r>
        <w:rPr>
          <w:rFonts w:ascii="Arial" w:eastAsia="仿宋_GB2312" w:hAnsi="Arial" w:cs="Arial" w:hint="eastAsia"/>
          <w:bCs/>
          <w:sz w:val="28"/>
          <w:szCs w:val="28"/>
        </w:rPr>
        <w:t>，其中住宅施工面积</w:t>
      </w:r>
      <w:r>
        <w:rPr>
          <w:rFonts w:ascii="Arial" w:eastAsia="仿宋_GB2312" w:hAnsi="Arial" w:cs="Arial" w:hint="eastAsia"/>
          <w:bCs/>
          <w:sz w:val="28"/>
          <w:szCs w:val="28"/>
        </w:rPr>
        <w:t>5758.3</w:t>
      </w:r>
      <w:r>
        <w:rPr>
          <w:rFonts w:ascii="Arial" w:eastAsia="仿宋_GB2312" w:hAnsi="Arial" w:cs="Arial" w:hint="eastAsia"/>
          <w:bCs/>
          <w:sz w:val="28"/>
          <w:szCs w:val="28"/>
        </w:rPr>
        <w:t>万平方米，下降</w:t>
      </w:r>
      <w:r>
        <w:rPr>
          <w:rFonts w:ascii="Arial" w:eastAsia="仿宋_GB2312" w:hAnsi="Arial" w:cs="Arial" w:hint="eastAsia"/>
          <w:bCs/>
          <w:sz w:val="28"/>
          <w:szCs w:val="28"/>
        </w:rPr>
        <w:t>0.4%</w:t>
      </w:r>
      <w:r>
        <w:rPr>
          <w:rFonts w:ascii="Arial" w:eastAsia="仿宋_GB2312" w:hAnsi="Arial" w:cs="Arial" w:hint="eastAsia"/>
          <w:bCs/>
          <w:sz w:val="28"/>
          <w:szCs w:val="28"/>
        </w:rPr>
        <w:t>。全市商品房销售面积</w:t>
      </w:r>
      <w:r>
        <w:rPr>
          <w:rFonts w:ascii="Arial" w:eastAsia="仿宋_GB2312" w:hAnsi="Arial" w:cs="Arial" w:hint="eastAsia"/>
          <w:bCs/>
          <w:sz w:val="28"/>
          <w:szCs w:val="28"/>
        </w:rPr>
        <w:t>218.6</w:t>
      </w:r>
      <w:r>
        <w:rPr>
          <w:rFonts w:ascii="Arial" w:eastAsia="仿宋_GB2312" w:hAnsi="Arial" w:cs="Arial" w:hint="eastAsia"/>
          <w:bCs/>
          <w:sz w:val="28"/>
          <w:szCs w:val="28"/>
        </w:rPr>
        <w:t>万平方米，同比增长</w:t>
      </w:r>
      <w:r>
        <w:rPr>
          <w:rFonts w:ascii="Arial" w:eastAsia="仿宋_GB2312" w:hAnsi="Arial" w:cs="Arial" w:hint="eastAsia"/>
          <w:bCs/>
          <w:sz w:val="28"/>
          <w:szCs w:val="28"/>
        </w:rPr>
        <w:t>13.5%</w:t>
      </w:r>
      <w:r>
        <w:rPr>
          <w:rFonts w:ascii="Arial" w:eastAsia="仿宋_GB2312" w:hAnsi="Arial" w:cs="Arial" w:hint="eastAsia"/>
          <w:bCs/>
          <w:sz w:val="28"/>
          <w:szCs w:val="28"/>
        </w:rPr>
        <w:t>，其中住宅销售面积</w:t>
      </w:r>
      <w:r>
        <w:rPr>
          <w:rFonts w:ascii="Arial" w:eastAsia="仿宋_GB2312" w:hAnsi="Arial" w:cs="Arial" w:hint="eastAsia"/>
          <w:bCs/>
          <w:sz w:val="28"/>
          <w:szCs w:val="28"/>
        </w:rPr>
        <w:t>147.3</w:t>
      </w:r>
      <w:r>
        <w:rPr>
          <w:rFonts w:ascii="Arial" w:eastAsia="仿宋_GB2312" w:hAnsi="Arial" w:cs="Arial" w:hint="eastAsia"/>
          <w:bCs/>
          <w:sz w:val="28"/>
          <w:szCs w:val="28"/>
        </w:rPr>
        <w:t>万平方米，增长</w:t>
      </w:r>
      <w:r>
        <w:rPr>
          <w:rFonts w:ascii="Arial" w:eastAsia="仿宋_GB2312" w:hAnsi="Arial" w:cs="Arial" w:hint="eastAsia"/>
          <w:bCs/>
          <w:sz w:val="28"/>
          <w:szCs w:val="28"/>
        </w:rPr>
        <w:t>7.1%</w:t>
      </w:r>
      <w:r>
        <w:rPr>
          <w:rFonts w:ascii="Arial" w:eastAsia="仿宋_GB2312" w:hAnsi="Arial" w:cs="Arial" w:hint="eastAsia"/>
          <w:bCs/>
          <w:sz w:val="28"/>
          <w:szCs w:val="28"/>
        </w:rPr>
        <w:t>。</w:t>
      </w:r>
    </w:p>
    <w:p w14:paraId="08540D36"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）市场消费持续恢复，升级类商品增长较快</w:t>
      </w:r>
    </w:p>
    <w:p w14:paraId="1B8B8AC4"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一季度，北京市市场总消费额同比增长</w:t>
      </w:r>
      <w:r>
        <w:rPr>
          <w:rFonts w:ascii="Arial" w:eastAsia="仿宋_GB2312" w:hAnsi="Arial" w:cs="Arial" w:hint="eastAsia"/>
          <w:bCs/>
          <w:sz w:val="28"/>
          <w:szCs w:val="28"/>
        </w:rPr>
        <w:t>2.8%</w:t>
      </w:r>
      <w:r>
        <w:rPr>
          <w:rFonts w:ascii="Arial" w:eastAsia="仿宋_GB2312" w:hAnsi="Arial" w:cs="Arial" w:hint="eastAsia"/>
          <w:bCs/>
          <w:sz w:val="28"/>
          <w:szCs w:val="28"/>
        </w:rPr>
        <w:t>。其中，服务性消费额增长</w:t>
      </w:r>
      <w:r>
        <w:rPr>
          <w:rFonts w:ascii="Arial" w:eastAsia="仿宋_GB2312" w:hAnsi="Arial" w:cs="Arial" w:hint="eastAsia"/>
          <w:bCs/>
          <w:sz w:val="28"/>
          <w:szCs w:val="28"/>
        </w:rPr>
        <w:t>5.7%</w:t>
      </w:r>
      <w:r>
        <w:rPr>
          <w:rFonts w:ascii="Arial" w:eastAsia="仿宋_GB2312" w:hAnsi="Arial" w:cs="Arial" w:hint="eastAsia"/>
          <w:bCs/>
          <w:sz w:val="28"/>
          <w:szCs w:val="28"/>
        </w:rPr>
        <w:t>；实现社会消费品零售总额</w:t>
      </w:r>
      <w:r>
        <w:rPr>
          <w:rFonts w:ascii="Arial" w:eastAsia="仿宋_GB2312" w:hAnsi="Arial" w:cs="Arial" w:hint="eastAsia"/>
          <w:bCs/>
          <w:sz w:val="28"/>
          <w:szCs w:val="28"/>
        </w:rPr>
        <w:t>3558.0</w:t>
      </w:r>
      <w:r>
        <w:rPr>
          <w:rFonts w:ascii="Arial" w:eastAsia="仿宋_GB2312" w:hAnsi="Arial" w:cs="Arial" w:hint="eastAsia"/>
          <w:bCs/>
          <w:sz w:val="28"/>
          <w:szCs w:val="28"/>
        </w:rPr>
        <w:t>亿元，下降</w:t>
      </w:r>
      <w:r>
        <w:rPr>
          <w:rFonts w:ascii="Arial" w:eastAsia="仿宋_GB2312" w:hAnsi="Arial" w:cs="Arial" w:hint="eastAsia"/>
          <w:bCs/>
          <w:sz w:val="28"/>
          <w:szCs w:val="28"/>
        </w:rPr>
        <w:t>0.7%</w:t>
      </w:r>
      <w:r>
        <w:rPr>
          <w:rFonts w:ascii="Arial" w:eastAsia="仿宋_GB2312" w:hAnsi="Arial" w:cs="Arial" w:hint="eastAsia"/>
          <w:bCs/>
          <w:sz w:val="28"/>
          <w:szCs w:val="28"/>
        </w:rPr>
        <w:t>，其中</w:t>
      </w:r>
      <w:r>
        <w:rPr>
          <w:rFonts w:ascii="Arial" w:eastAsia="仿宋_GB2312" w:hAnsi="Arial" w:cs="Arial" w:hint="eastAsia"/>
          <w:bCs/>
          <w:sz w:val="28"/>
          <w:szCs w:val="28"/>
        </w:rPr>
        <w:t>3</w:t>
      </w:r>
      <w:r>
        <w:rPr>
          <w:rFonts w:ascii="Arial" w:eastAsia="仿宋_GB2312" w:hAnsi="Arial" w:cs="Arial" w:hint="eastAsia"/>
          <w:bCs/>
          <w:sz w:val="28"/>
          <w:szCs w:val="28"/>
        </w:rPr>
        <w:t>月份增长</w:t>
      </w:r>
      <w:r>
        <w:rPr>
          <w:rFonts w:ascii="Arial" w:eastAsia="仿宋_GB2312" w:hAnsi="Arial" w:cs="Arial" w:hint="eastAsia"/>
          <w:bCs/>
          <w:sz w:val="28"/>
          <w:szCs w:val="28"/>
        </w:rPr>
        <w:t>7.5%</w:t>
      </w:r>
      <w:r>
        <w:rPr>
          <w:rFonts w:ascii="Arial" w:eastAsia="仿宋_GB2312" w:hAnsi="Arial" w:cs="Arial" w:hint="eastAsia"/>
          <w:bCs/>
          <w:sz w:val="28"/>
          <w:szCs w:val="28"/>
        </w:rPr>
        <w:t>。社会消费品零售总额中，按消费形态分，商品零售</w:t>
      </w:r>
      <w:r>
        <w:rPr>
          <w:rFonts w:ascii="Arial" w:eastAsia="仿宋_GB2312" w:hAnsi="Arial" w:cs="Arial" w:hint="eastAsia"/>
          <w:bCs/>
          <w:sz w:val="28"/>
          <w:szCs w:val="28"/>
        </w:rPr>
        <w:t>3246.4</w:t>
      </w:r>
      <w:r>
        <w:rPr>
          <w:rFonts w:ascii="Arial" w:eastAsia="仿宋_GB2312" w:hAnsi="Arial" w:cs="Arial" w:hint="eastAsia"/>
          <w:bCs/>
          <w:sz w:val="28"/>
          <w:szCs w:val="28"/>
        </w:rPr>
        <w:t>亿元，下降</w:t>
      </w:r>
      <w:r>
        <w:rPr>
          <w:rFonts w:ascii="Arial" w:eastAsia="仿宋_GB2312" w:hAnsi="Arial" w:cs="Arial" w:hint="eastAsia"/>
          <w:bCs/>
          <w:sz w:val="28"/>
          <w:szCs w:val="28"/>
        </w:rPr>
        <w:t>1.9%</w:t>
      </w:r>
      <w:r>
        <w:rPr>
          <w:rFonts w:ascii="Arial" w:eastAsia="仿宋_GB2312" w:hAnsi="Arial" w:cs="Arial" w:hint="eastAsia"/>
          <w:bCs/>
          <w:sz w:val="28"/>
          <w:szCs w:val="28"/>
        </w:rPr>
        <w:t>，餐饮收入</w:t>
      </w:r>
      <w:r>
        <w:rPr>
          <w:rFonts w:ascii="Arial" w:eastAsia="仿宋_GB2312" w:hAnsi="Arial" w:cs="Arial" w:hint="eastAsia"/>
          <w:bCs/>
          <w:sz w:val="28"/>
          <w:szCs w:val="28"/>
        </w:rPr>
        <w:t>311.6</w:t>
      </w:r>
      <w:r>
        <w:rPr>
          <w:rFonts w:ascii="Arial" w:eastAsia="仿宋_GB2312" w:hAnsi="Arial" w:cs="Arial" w:hint="eastAsia"/>
          <w:bCs/>
          <w:sz w:val="28"/>
          <w:szCs w:val="28"/>
        </w:rPr>
        <w:t>亿元，增长</w:t>
      </w:r>
      <w:r>
        <w:rPr>
          <w:rFonts w:ascii="Arial" w:eastAsia="仿宋_GB2312" w:hAnsi="Arial" w:cs="Arial" w:hint="eastAsia"/>
          <w:bCs/>
          <w:sz w:val="28"/>
          <w:szCs w:val="28"/>
        </w:rPr>
        <w:t>13.5%</w:t>
      </w:r>
      <w:r>
        <w:rPr>
          <w:rFonts w:ascii="Arial" w:eastAsia="仿宋_GB2312" w:hAnsi="Arial" w:cs="Arial" w:hint="eastAsia"/>
          <w:bCs/>
          <w:sz w:val="28"/>
          <w:szCs w:val="28"/>
        </w:rPr>
        <w:t>。按商品类别分，限额以上批发和零售业中，与升级类消费相关的金银珠宝类、体育娱乐用品类、化妆品类商品零售额分别增长</w:t>
      </w:r>
      <w:r>
        <w:rPr>
          <w:rFonts w:ascii="Arial" w:eastAsia="仿宋_GB2312" w:hAnsi="Arial" w:cs="Arial" w:hint="eastAsia"/>
          <w:bCs/>
          <w:sz w:val="28"/>
          <w:szCs w:val="28"/>
        </w:rPr>
        <w:t>26.9%</w:t>
      </w:r>
      <w:r>
        <w:rPr>
          <w:rFonts w:ascii="Arial" w:eastAsia="仿宋_GB2312" w:hAnsi="Arial" w:cs="Arial" w:hint="eastAsia"/>
          <w:bCs/>
          <w:sz w:val="28"/>
          <w:szCs w:val="28"/>
        </w:rPr>
        <w:t>、</w:t>
      </w:r>
      <w:r>
        <w:rPr>
          <w:rFonts w:ascii="Arial" w:eastAsia="仿宋_GB2312" w:hAnsi="Arial" w:cs="Arial" w:hint="eastAsia"/>
          <w:bCs/>
          <w:sz w:val="28"/>
          <w:szCs w:val="28"/>
        </w:rPr>
        <w:t>21.1%</w:t>
      </w:r>
      <w:r>
        <w:rPr>
          <w:rFonts w:ascii="Arial" w:eastAsia="仿宋_GB2312" w:hAnsi="Arial" w:cs="Arial" w:hint="eastAsia"/>
          <w:bCs/>
          <w:sz w:val="28"/>
          <w:szCs w:val="28"/>
        </w:rPr>
        <w:t>和</w:t>
      </w:r>
      <w:r>
        <w:rPr>
          <w:rFonts w:ascii="Arial" w:eastAsia="仿宋_GB2312" w:hAnsi="Arial" w:cs="Arial" w:hint="eastAsia"/>
          <w:bCs/>
          <w:sz w:val="28"/>
          <w:szCs w:val="28"/>
        </w:rPr>
        <w:t>8.1%</w:t>
      </w:r>
      <w:r>
        <w:rPr>
          <w:rFonts w:ascii="Arial" w:eastAsia="仿宋_GB2312" w:hAnsi="Arial" w:cs="Arial" w:hint="eastAsia"/>
          <w:bCs/>
          <w:sz w:val="28"/>
          <w:szCs w:val="28"/>
        </w:rPr>
        <w:t>，汽车类商品零售额下降</w:t>
      </w:r>
      <w:r>
        <w:rPr>
          <w:rFonts w:ascii="Arial" w:eastAsia="仿宋_GB2312" w:hAnsi="Arial" w:cs="Arial" w:hint="eastAsia"/>
          <w:bCs/>
          <w:sz w:val="28"/>
          <w:szCs w:val="28"/>
        </w:rPr>
        <w:t>1.0%</w:t>
      </w:r>
      <w:r>
        <w:rPr>
          <w:rFonts w:ascii="Arial" w:eastAsia="仿宋_GB2312" w:hAnsi="Arial" w:cs="Arial" w:hint="eastAsia"/>
          <w:bCs/>
          <w:sz w:val="28"/>
          <w:szCs w:val="28"/>
        </w:rPr>
        <w:t>，其中新能源汽车增长</w:t>
      </w:r>
      <w:r>
        <w:rPr>
          <w:rFonts w:ascii="Arial" w:eastAsia="仿宋_GB2312" w:hAnsi="Arial" w:cs="Arial" w:hint="eastAsia"/>
          <w:bCs/>
          <w:sz w:val="28"/>
          <w:szCs w:val="28"/>
        </w:rPr>
        <w:t>36.9%</w:t>
      </w:r>
      <w:r>
        <w:rPr>
          <w:rFonts w:ascii="Arial" w:eastAsia="仿宋_GB2312" w:hAnsi="Arial" w:cs="Arial" w:hint="eastAsia"/>
          <w:bCs/>
          <w:sz w:val="28"/>
          <w:szCs w:val="28"/>
        </w:rPr>
        <w:t>。</w:t>
      </w:r>
    </w:p>
    <w:p w14:paraId="535732E1"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6</w:t>
      </w:r>
      <w:r>
        <w:rPr>
          <w:rFonts w:ascii="Arial" w:eastAsia="仿宋_GB2312" w:hAnsi="Arial" w:cs="Arial" w:hint="eastAsia"/>
          <w:bCs/>
          <w:sz w:val="28"/>
          <w:szCs w:val="28"/>
        </w:rPr>
        <w:t>）居民消费价格温和上涨，工业生产者出厂价格同比下降</w:t>
      </w:r>
    </w:p>
    <w:p w14:paraId="5347CBFC"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一季度，北京市居民消费价格同比上涨</w:t>
      </w:r>
      <w:r>
        <w:rPr>
          <w:rFonts w:ascii="Arial" w:eastAsia="仿宋_GB2312" w:hAnsi="Arial" w:cs="Arial" w:hint="eastAsia"/>
          <w:bCs/>
          <w:sz w:val="28"/>
          <w:szCs w:val="28"/>
        </w:rPr>
        <w:t>1.3%</w:t>
      </w:r>
      <w:r>
        <w:rPr>
          <w:rFonts w:ascii="Arial" w:eastAsia="仿宋_GB2312" w:hAnsi="Arial" w:cs="Arial" w:hint="eastAsia"/>
          <w:bCs/>
          <w:sz w:val="28"/>
          <w:szCs w:val="28"/>
        </w:rPr>
        <w:t>。其中，消费品价格上涨</w:t>
      </w:r>
      <w:r>
        <w:rPr>
          <w:rFonts w:ascii="Arial" w:eastAsia="仿宋_GB2312" w:hAnsi="Arial" w:cs="Arial" w:hint="eastAsia"/>
          <w:bCs/>
          <w:sz w:val="28"/>
          <w:szCs w:val="28"/>
        </w:rPr>
        <w:t>1.6%</w:t>
      </w:r>
      <w:r>
        <w:rPr>
          <w:rFonts w:ascii="Arial" w:eastAsia="仿宋_GB2312" w:hAnsi="Arial" w:cs="Arial" w:hint="eastAsia"/>
          <w:bCs/>
          <w:sz w:val="28"/>
          <w:szCs w:val="28"/>
        </w:rPr>
        <w:t>，服务价格上涨</w:t>
      </w:r>
      <w:r>
        <w:rPr>
          <w:rFonts w:ascii="Arial" w:eastAsia="仿宋_GB2312" w:hAnsi="Arial" w:cs="Arial" w:hint="eastAsia"/>
          <w:bCs/>
          <w:sz w:val="28"/>
          <w:szCs w:val="28"/>
        </w:rPr>
        <w:t>1.0%</w:t>
      </w:r>
      <w:r>
        <w:rPr>
          <w:rFonts w:ascii="Arial" w:eastAsia="仿宋_GB2312" w:hAnsi="Arial" w:cs="Arial" w:hint="eastAsia"/>
          <w:bCs/>
          <w:sz w:val="28"/>
          <w:szCs w:val="28"/>
        </w:rPr>
        <w:t>。八大类商品和服务项目中，食品烟酒类价格上涨</w:t>
      </w:r>
      <w:r>
        <w:rPr>
          <w:rFonts w:ascii="Arial" w:eastAsia="仿宋_GB2312" w:hAnsi="Arial" w:cs="Arial" w:hint="eastAsia"/>
          <w:bCs/>
          <w:sz w:val="28"/>
          <w:szCs w:val="28"/>
        </w:rPr>
        <w:t>3.1%</w:t>
      </w:r>
      <w:r>
        <w:rPr>
          <w:rFonts w:ascii="Arial" w:eastAsia="仿宋_GB2312" w:hAnsi="Arial" w:cs="Arial" w:hint="eastAsia"/>
          <w:bCs/>
          <w:sz w:val="28"/>
          <w:szCs w:val="28"/>
        </w:rPr>
        <w:t>，生活用品及服务类价格上涨</w:t>
      </w:r>
      <w:r>
        <w:rPr>
          <w:rFonts w:ascii="Arial" w:eastAsia="仿宋_GB2312" w:hAnsi="Arial" w:cs="Arial" w:hint="eastAsia"/>
          <w:bCs/>
          <w:sz w:val="28"/>
          <w:szCs w:val="28"/>
        </w:rPr>
        <w:t>2.9%</w:t>
      </w:r>
      <w:r>
        <w:rPr>
          <w:rFonts w:ascii="Arial" w:eastAsia="仿宋_GB2312" w:hAnsi="Arial" w:cs="Arial" w:hint="eastAsia"/>
          <w:bCs/>
          <w:sz w:val="28"/>
          <w:szCs w:val="28"/>
        </w:rPr>
        <w:t>，其他用品及服务类价格上涨</w:t>
      </w:r>
      <w:r>
        <w:rPr>
          <w:rFonts w:ascii="Arial" w:eastAsia="仿宋_GB2312" w:hAnsi="Arial" w:cs="Arial" w:hint="eastAsia"/>
          <w:bCs/>
          <w:sz w:val="28"/>
          <w:szCs w:val="28"/>
        </w:rPr>
        <w:t>2.4%</w:t>
      </w:r>
      <w:r>
        <w:rPr>
          <w:rFonts w:ascii="Arial" w:eastAsia="仿宋_GB2312" w:hAnsi="Arial" w:cs="Arial" w:hint="eastAsia"/>
          <w:bCs/>
          <w:sz w:val="28"/>
          <w:szCs w:val="28"/>
        </w:rPr>
        <w:t>，教育文化娱乐类价格上涨</w:t>
      </w:r>
      <w:r>
        <w:rPr>
          <w:rFonts w:ascii="Arial" w:eastAsia="仿宋_GB2312" w:hAnsi="Arial" w:cs="Arial" w:hint="eastAsia"/>
          <w:bCs/>
          <w:sz w:val="28"/>
          <w:szCs w:val="28"/>
        </w:rPr>
        <w:t>0.8%</w:t>
      </w:r>
      <w:r>
        <w:rPr>
          <w:rFonts w:ascii="Arial" w:eastAsia="仿宋_GB2312" w:hAnsi="Arial" w:cs="Arial" w:hint="eastAsia"/>
          <w:bCs/>
          <w:sz w:val="28"/>
          <w:szCs w:val="28"/>
        </w:rPr>
        <w:t>，交通通信类价格上涨</w:t>
      </w:r>
      <w:r>
        <w:rPr>
          <w:rFonts w:ascii="Arial" w:eastAsia="仿宋_GB2312" w:hAnsi="Arial" w:cs="Arial" w:hint="eastAsia"/>
          <w:bCs/>
          <w:sz w:val="28"/>
          <w:szCs w:val="28"/>
        </w:rPr>
        <w:t>0.7%</w:t>
      </w:r>
      <w:r>
        <w:rPr>
          <w:rFonts w:ascii="Arial" w:eastAsia="仿宋_GB2312" w:hAnsi="Arial" w:cs="Arial" w:hint="eastAsia"/>
          <w:bCs/>
          <w:sz w:val="28"/>
          <w:szCs w:val="28"/>
        </w:rPr>
        <w:t>，居住类、医疗保健类价格均上涨</w:t>
      </w:r>
      <w:r>
        <w:rPr>
          <w:rFonts w:ascii="Arial" w:eastAsia="仿宋_GB2312" w:hAnsi="Arial" w:cs="Arial" w:hint="eastAsia"/>
          <w:bCs/>
          <w:sz w:val="28"/>
          <w:szCs w:val="28"/>
        </w:rPr>
        <w:t>0.5%</w:t>
      </w:r>
      <w:r>
        <w:rPr>
          <w:rFonts w:ascii="Arial" w:eastAsia="仿宋_GB2312" w:hAnsi="Arial" w:cs="Arial" w:hint="eastAsia"/>
          <w:bCs/>
          <w:sz w:val="28"/>
          <w:szCs w:val="28"/>
        </w:rPr>
        <w:t>，衣着类价格下降</w:t>
      </w:r>
      <w:r>
        <w:rPr>
          <w:rFonts w:ascii="Arial" w:eastAsia="仿宋_GB2312" w:hAnsi="Arial" w:cs="Arial" w:hint="eastAsia"/>
          <w:bCs/>
          <w:sz w:val="28"/>
          <w:szCs w:val="28"/>
        </w:rPr>
        <w:t>0.2%</w:t>
      </w:r>
      <w:r>
        <w:rPr>
          <w:rFonts w:ascii="Arial" w:eastAsia="仿宋_GB2312" w:hAnsi="Arial" w:cs="Arial" w:hint="eastAsia"/>
          <w:bCs/>
          <w:sz w:val="28"/>
          <w:szCs w:val="28"/>
        </w:rPr>
        <w:t>。</w:t>
      </w:r>
    </w:p>
    <w:p w14:paraId="0469721E"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一季度，北京市工业生产者出厂价格同比下降</w:t>
      </w:r>
      <w:r>
        <w:rPr>
          <w:rFonts w:ascii="Arial" w:eastAsia="仿宋_GB2312" w:hAnsi="Arial" w:cs="Arial" w:hint="eastAsia"/>
          <w:bCs/>
          <w:sz w:val="28"/>
          <w:szCs w:val="28"/>
        </w:rPr>
        <w:t>0.6%</w:t>
      </w:r>
      <w:r>
        <w:rPr>
          <w:rFonts w:ascii="Arial" w:eastAsia="仿宋_GB2312" w:hAnsi="Arial" w:cs="Arial" w:hint="eastAsia"/>
          <w:bCs/>
          <w:sz w:val="28"/>
          <w:szCs w:val="28"/>
        </w:rPr>
        <w:t>，购进价格同比</w:t>
      </w:r>
      <w:r>
        <w:rPr>
          <w:rFonts w:ascii="Arial" w:eastAsia="仿宋_GB2312" w:hAnsi="Arial" w:cs="Arial" w:hint="eastAsia"/>
          <w:bCs/>
          <w:sz w:val="28"/>
          <w:szCs w:val="28"/>
        </w:rPr>
        <w:lastRenderedPageBreak/>
        <w:t>上涨</w:t>
      </w:r>
      <w:r>
        <w:rPr>
          <w:rFonts w:ascii="Arial" w:eastAsia="仿宋_GB2312" w:hAnsi="Arial" w:cs="Arial" w:hint="eastAsia"/>
          <w:bCs/>
          <w:sz w:val="28"/>
          <w:szCs w:val="28"/>
        </w:rPr>
        <w:t>0.4%</w:t>
      </w: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月份，工业生产者出厂价格同比下降</w:t>
      </w:r>
      <w:r>
        <w:rPr>
          <w:rFonts w:ascii="Arial" w:eastAsia="仿宋_GB2312" w:hAnsi="Arial" w:cs="Arial" w:hint="eastAsia"/>
          <w:bCs/>
          <w:sz w:val="28"/>
          <w:szCs w:val="28"/>
        </w:rPr>
        <w:t>0.8%</w:t>
      </w:r>
      <w:r>
        <w:rPr>
          <w:rFonts w:ascii="Arial" w:eastAsia="仿宋_GB2312" w:hAnsi="Arial" w:cs="Arial" w:hint="eastAsia"/>
          <w:bCs/>
          <w:sz w:val="28"/>
          <w:szCs w:val="28"/>
        </w:rPr>
        <w:t>，环比上涨</w:t>
      </w:r>
      <w:r>
        <w:rPr>
          <w:rFonts w:ascii="Arial" w:eastAsia="仿宋_GB2312" w:hAnsi="Arial" w:cs="Arial" w:hint="eastAsia"/>
          <w:bCs/>
          <w:sz w:val="28"/>
          <w:szCs w:val="28"/>
        </w:rPr>
        <w:t>0.1%</w:t>
      </w:r>
      <w:r>
        <w:rPr>
          <w:rFonts w:ascii="Arial" w:eastAsia="仿宋_GB2312" w:hAnsi="Arial" w:cs="Arial" w:hint="eastAsia"/>
          <w:bCs/>
          <w:sz w:val="28"/>
          <w:szCs w:val="28"/>
        </w:rPr>
        <w:t>；购进价格同比下降</w:t>
      </w:r>
      <w:r>
        <w:rPr>
          <w:rFonts w:ascii="Arial" w:eastAsia="仿宋_GB2312" w:hAnsi="Arial" w:cs="Arial" w:hint="eastAsia"/>
          <w:bCs/>
          <w:sz w:val="28"/>
          <w:szCs w:val="28"/>
        </w:rPr>
        <w:t>0.1%</w:t>
      </w:r>
      <w:r>
        <w:rPr>
          <w:rFonts w:ascii="Arial" w:eastAsia="仿宋_GB2312" w:hAnsi="Arial" w:cs="Arial" w:hint="eastAsia"/>
          <w:bCs/>
          <w:sz w:val="28"/>
          <w:szCs w:val="28"/>
        </w:rPr>
        <w:t>，环比下降</w:t>
      </w:r>
      <w:r>
        <w:rPr>
          <w:rFonts w:ascii="Arial" w:eastAsia="仿宋_GB2312" w:hAnsi="Arial" w:cs="Arial" w:hint="eastAsia"/>
          <w:bCs/>
          <w:sz w:val="28"/>
          <w:szCs w:val="28"/>
        </w:rPr>
        <w:t>0.5%</w:t>
      </w:r>
      <w:r>
        <w:rPr>
          <w:rFonts w:ascii="Arial" w:eastAsia="仿宋_GB2312" w:hAnsi="Arial" w:cs="Arial" w:hint="eastAsia"/>
          <w:bCs/>
          <w:sz w:val="28"/>
          <w:szCs w:val="28"/>
        </w:rPr>
        <w:t>。</w:t>
      </w:r>
    </w:p>
    <w:p w14:paraId="5C4BAE21"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7</w:t>
      </w:r>
      <w:r>
        <w:rPr>
          <w:rFonts w:ascii="Arial" w:eastAsia="仿宋_GB2312" w:hAnsi="Arial" w:cs="Arial" w:hint="eastAsia"/>
          <w:bCs/>
          <w:sz w:val="28"/>
          <w:szCs w:val="28"/>
        </w:rPr>
        <w:t>）就业形势总体稳定，居民收入稳步增加</w:t>
      </w:r>
    </w:p>
    <w:p w14:paraId="5E6421E5"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一季度，北京市城镇调查失业率均值为</w:t>
      </w:r>
      <w:r>
        <w:rPr>
          <w:rFonts w:ascii="Arial" w:eastAsia="仿宋_GB2312" w:hAnsi="Arial" w:cs="Arial" w:hint="eastAsia"/>
          <w:bCs/>
          <w:sz w:val="28"/>
          <w:szCs w:val="28"/>
        </w:rPr>
        <w:t>4.6%</w:t>
      </w: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月份，全市城镇调查失业率为</w:t>
      </w:r>
      <w:r>
        <w:rPr>
          <w:rFonts w:ascii="Arial" w:eastAsia="仿宋_GB2312" w:hAnsi="Arial" w:cs="Arial" w:hint="eastAsia"/>
          <w:bCs/>
          <w:sz w:val="28"/>
          <w:szCs w:val="28"/>
        </w:rPr>
        <w:t>4.5%</w:t>
      </w:r>
      <w:r>
        <w:rPr>
          <w:rFonts w:ascii="Arial" w:eastAsia="仿宋_GB2312" w:hAnsi="Arial" w:cs="Arial" w:hint="eastAsia"/>
          <w:bCs/>
          <w:sz w:val="28"/>
          <w:szCs w:val="28"/>
        </w:rPr>
        <w:t>，环比回落</w:t>
      </w:r>
      <w:r>
        <w:rPr>
          <w:rFonts w:ascii="Arial" w:eastAsia="仿宋_GB2312" w:hAnsi="Arial" w:cs="Arial" w:hint="eastAsia"/>
          <w:bCs/>
          <w:sz w:val="28"/>
          <w:szCs w:val="28"/>
        </w:rPr>
        <w:t>0.3</w:t>
      </w:r>
      <w:r>
        <w:rPr>
          <w:rFonts w:ascii="Arial" w:eastAsia="仿宋_GB2312" w:hAnsi="Arial" w:cs="Arial" w:hint="eastAsia"/>
          <w:bCs/>
          <w:sz w:val="28"/>
          <w:szCs w:val="28"/>
        </w:rPr>
        <w:t>个百分点。</w:t>
      </w:r>
    </w:p>
    <w:p w14:paraId="42753C56"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一季度，北京市居民人均可支配收入</w:t>
      </w:r>
      <w:r>
        <w:rPr>
          <w:rFonts w:ascii="Arial" w:eastAsia="仿宋_GB2312" w:hAnsi="Arial" w:cs="Arial" w:hint="eastAsia"/>
          <w:bCs/>
          <w:sz w:val="28"/>
          <w:szCs w:val="28"/>
        </w:rPr>
        <w:t>21367</w:t>
      </w:r>
      <w:r>
        <w:rPr>
          <w:rFonts w:ascii="Arial" w:eastAsia="仿宋_GB2312" w:hAnsi="Arial" w:cs="Arial" w:hint="eastAsia"/>
          <w:bCs/>
          <w:sz w:val="28"/>
          <w:szCs w:val="28"/>
        </w:rPr>
        <w:t>元，同比增长</w:t>
      </w:r>
      <w:r>
        <w:rPr>
          <w:rFonts w:ascii="Arial" w:eastAsia="仿宋_GB2312" w:hAnsi="Arial" w:cs="Arial" w:hint="eastAsia"/>
          <w:bCs/>
          <w:sz w:val="28"/>
          <w:szCs w:val="28"/>
        </w:rPr>
        <w:t>3.6%</w:t>
      </w:r>
      <w:r>
        <w:rPr>
          <w:rFonts w:ascii="Arial" w:eastAsia="仿宋_GB2312" w:hAnsi="Arial" w:cs="Arial" w:hint="eastAsia"/>
          <w:bCs/>
          <w:sz w:val="28"/>
          <w:szCs w:val="28"/>
        </w:rPr>
        <w:t>，比上年全年提高</w:t>
      </w:r>
      <w:r>
        <w:rPr>
          <w:rFonts w:ascii="Arial" w:eastAsia="仿宋_GB2312" w:hAnsi="Arial" w:cs="Arial" w:hint="eastAsia"/>
          <w:bCs/>
          <w:sz w:val="28"/>
          <w:szCs w:val="28"/>
        </w:rPr>
        <w:t>0.4</w:t>
      </w:r>
      <w:r>
        <w:rPr>
          <w:rFonts w:ascii="Arial" w:eastAsia="仿宋_GB2312" w:hAnsi="Arial" w:cs="Arial" w:hint="eastAsia"/>
          <w:bCs/>
          <w:sz w:val="28"/>
          <w:szCs w:val="28"/>
        </w:rPr>
        <w:t>个百分点。其中，工资性收入增长</w:t>
      </w:r>
      <w:r>
        <w:rPr>
          <w:rFonts w:ascii="Arial" w:eastAsia="仿宋_GB2312" w:hAnsi="Arial" w:cs="Arial" w:hint="eastAsia"/>
          <w:bCs/>
          <w:sz w:val="28"/>
          <w:szCs w:val="28"/>
        </w:rPr>
        <w:t>5.0%</w:t>
      </w:r>
      <w:r>
        <w:rPr>
          <w:rFonts w:ascii="Arial" w:eastAsia="仿宋_GB2312" w:hAnsi="Arial" w:cs="Arial" w:hint="eastAsia"/>
          <w:bCs/>
          <w:sz w:val="28"/>
          <w:szCs w:val="28"/>
        </w:rPr>
        <w:t>，经营净收入增长</w:t>
      </w:r>
      <w:r>
        <w:rPr>
          <w:rFonts w:ascii="Arial" w:eastAsia="仿宋_GB2312" w:hAnsi="Arial" w:cs="Arial" w:hint="eastAsia"/>
          <w:bCs/>
          <w:sz w:val="28"/>
          <w:szCs w:val="28"/>
        </w:rPr>
        <w:t>3.8%</w:t>
      </w:r>
      <w:r>
        <w:rPr>
          <w:rFonts w:ascii="Arial" w:eastAsia="仿宋_GB2312" w:hAnsi="Arial" w:cs="Arial" w:hint="eastAsia"/>
          <w:bCs/>
          <w:sz w:val="28"/>
          <w:szCs w:val="28"/>
        </w:rPr>
        <w:t>，转移净收入增长</w:t>
      </w:r>
      <w:r>
        <w:rPr>
          <w:rFonts w:ascii="Arial" w:eastAsia="仿宋_GB2312" w:hAnsi="Arial" w:cs="Arial" w:hint="eastAsia"/>
          <w:bCs/>
          <w:sz w:val="28"/>
          <w:szCs w:val="28"/>
        </w:rPr>
        <w:t>3.2%</w:t>
      </w:r>
      <w:r>
        <w:rPr>
          <w:rFonts w:ascii="Arial" w:eastAsia="仿宋_GB2312" w:hAnsi="Arial" w:cs="Arial" w:hint="eastAsia"/>
          <w:bCs/>
          <w:sz w:val="28"/>
          <w:szCs w:val="28"/>
        </w:rPr>
        <w:t>，财产净收入下降</w:t>
      </w:r>
      <w:r>
        <w:rPr>
          <w:rFonts w:ascii="Arial" w:eastAsia="仿宋_GB2312" w:hAnsi="Arial" w:cs="Arial" w:hint="eastAsia"/>
          <w:bCs/>
          <w:sz w:val="28"/>
          <w:szCs w:val="28"/>
        </w:rPr>
        <w:t>1.9%</w:t>
      </w:r>
      <w:r>
        <w:rPr>
          <w:rFonts w:ascii="Arial" w:eastAsia="仿宋_GB2312" w:hAnsi="Arial" w:cs="Arial" w:hint="eastAsia"/>
          <w:bCs/>
          <w:sz w:val="28"/>
          <w:szCs w:val="28"/>
        </w:rPr>
        <w:t>。城镇居民人均可支配收入</w:t>
      </w:r>
      <w:r>
        <w:rPr>
          <w:rFonts w:ascii="Arial" w:eastAsia="仿宋_GB2312" w:hAnsi="Arial" w:cs="Arial" w:hint="eastAsia"/>
          <w:bCs/>
          <w:sz w:val="28"/>
          <w:szCs w:val="28"/>
        </w:rPr>
        <w:t>23047</w:t>
      </w:r>
      <w:r>
        <w:rPr>
          <w:rFonts w:ascii="Arial" w:eastAsia="仿宋_GB2312" w:hAnsi="Arial" w:cs="Arial" w:hint="eastAsia"/>
          <w:bCs/>
          <w:sz w:val="28"/>
          <w:szCs w:val="28"/>
        </w:rPr>
        <w:t>元，增长</w:t>
      </w:r>
      <w:r>
        <w:rPr>
          <w:rFonts w:ascii="Arial" w:eastAsia="仿宋_GB2312" w:hAnsi="Arial" w:cs="Arial" w:hint="eastAsia"/>
          <w:bCs/>
          <w:sz w:val="28"/>
          <w:szCs w:val="28"/>
        </w:rPr>
        <w:t>3.5%</w:t>
      </w:r>
      <w:r>
        <w:rPr>
          <w:rFonts w:ascii="Arial" w:eastAsia="仿宋_GB2312" w:hAnsi="Arial" w:cs="Arial" w:hint="eastAsia"/>
          <w:bCs/>
          <w:sz w:val="28"/>
          <w:szCs w:val="28"/>
        </w:rPr>
        <w:t>；农村居民人均可支配收入</w:t>
      </w:r>
      <w:r>
        <w:rPr>
          <w:rFonts w:ascii="Arial" w:eastAsia="仿宋_GB2312" w:hAnsi="Arial" w:cs="Arial" w:hint="eastAsia"/>
          <w:bCs/>
          <w:sz w:val="28"/>
          <w:szCs w:val="28"/>
        </w:rPr>
        <w:t>10551</w:t>
      </w:r>
      <w:r>
        <w:rPr>
          <w:rFonts w:ascii="Arial" w:eastAsia="仿宋_GB2312" w:hAnsi="Arial" w:cs="Arial" w:hint="eastAsia"/>
          <w:bCs/>
          <w:sz w:val="28"/>
          <w:szCs w:val="28"/>
        </w:rPr>
        <w:t>元，增长</w:t>
      </w:r>
      <w:r>
        <w:rPr>
          <w:rFonts w:ascii="Arial" w:eastAsia="仿宋_GB2312" w:hAnsi="Arial" w:cs="Arial" w:hint="eastAsia"/>
          <w:bCs/>
          <w:sz w:val="28"/>
          <w:szCs w:val="28"/>
        </w:rPr>
        <w:t>5.3%</w:t>
      </w:r>
      <w:r>
        <w:rPr>
          <w:rFonts w:ascii="Arial" w:eastAsia="仿宋_GB2312" w:hAnsi="Arial" w:cs="Arial" w:hint="eastAsia"/>
          <w:bCs/>
          <w:sz w:val="28"/>
          <w:szCs w:val="28"/>
        </w:rPr>
        <w:t>。</w:t>
      </w:r>
    </w:p>
    <w:p w14:paraId="26988988"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一季度，北京市居民人均消费支出</w:t>
      </w:r>
      <w:r>
        <w:rPr>
          <w:rFonts w:ascii="Arial" w:eastAsia="仿宋_GB2312" w:hAnsi="Arial" w:cs="Arial" w:hint="eastAsia"/>
          <w:bCs/>
          <w:sz w:val="28"/>
          <w:szCs w:val="28"/>
        </w:rPr>
        <w:t>12045</w:t>
      </w:r>
      <w:r>
        <w:rPr>
          <w:rFonts w:ascii="Arial" w:eastAsia="仿宋_GB2312" w:hAnsi="Arial" w:cs="Arial" w:hint="eastAsia"/>
          <w:bCs/>
          <w:sz w:val="28"/>
          <w:szCs w:val="28"/>
        </w:rPr>
        <w:t>元，同比增长</w:t>
      </w:r>
      <w:r>
        <w:rPr>
          <w:rFonts w:ascii="Arial" w:eastAsia="仿宋_GB2312" w:hAnsi="Arial" w:cs="Arial" w:hint="eastAsia"/>
          <w:bCs/>
          <w:sz w:val="28"/>
          <w:szCs w:val="28"/>
        </w:rPr>
        <w:t>6.3%,</w:t>
      </w:r>
      <w:r>
        <w:rPr>
          <w:rFonts w:ascii="Arial" w:eastAsia="仿宋_GB2312" w:hAnsi="Arial" w:cs="Arial" w:hint="eastAsia"/>
          <w:bCs/>
          <w:sz w:val="28"/>
          <w:szCs w:val="28"/>
        </w:rPr>
        <w:t>其中，城镇居民人均消费支出</w:t>
      </w:r>
      <w:r>
        <w:rPr>
          <w:rFonts w:ascii="Arial" w:eastAsia="仿宋_GB2312" w:hAnsi="Arial" w:cs="Arial" w:hint="eastAsia"/>
          <w:bCs/>
          <w:sz w:val="28"/>
          <w:szCs w:val="28"/>
        </w:rPr>
        <w:t>12875</w:t>
      </w:r>
      <w:r>
        <w:rPr>
          <w:rFonts w:ascii="Arial" w:eastAsia="仿宋_GB2312" w:hAnsi="Arial" w:cs="Arial" w:hint="eastAsia"/>
          <w:bCs/>
          <w:sz w:val="28"/>
          <w:szCs w:val="28"/>
        </w:rPr>
        <w:t>元，增长</w:t>
      </w:r>
      <w:r>
        <w:rPr>
          <w:rFonts w:ascii="Arial" w:eastAsia="仿宋_GB2312" w:hAnsi="Arial" w:cs="Arial" w:hint="eastAsia"/>
          <w:bCs/>
          <w:sz w:val="28"/>
          <w:szCs w:val="28"/>
        </w:rPr>
        <w:t>6.4%</w:t>
      </w:r>
      <w:r>
        <w:rPr>
          <w:rFonts w:ascii="Arial" w:eastAsia="仿宋_GB2312" w:hAnsi="Arial" w:cs="Arial" w:hint="eastAsia"/>
          <w:bCs/>
          <w:sz w:val="28"/>
          <w:szCs w:val="28"/>
        </w:rPr>
        <w:t>；农村居民人均消费支出</w:t>
      </w:r>
      <w:r>
        <w:rPr>
          <w:rFonts w:ascii="Arial" w:eastAsia="仿宋_GB2312" w:hAnsi="Arial" w:cs="Arial" w:hint="eastAsia"/>
          <w:bCs/>
          <w:sz w:val="28"/>
          <w:szCs w:val="28"/>
        </w:rPr>
        <w:t>6706</w:t>
      </w:r>
      <w:r>
        <w:rPr>
          <w:rFonts w:ascii="Arial" w:eastAsia="仿宋_GB2312" w:hAnsi="Arial" w:cs="Arial" w:hint="eastAsia"/>
          <w:bCs/>
          <w:sz w:val="28"/>
          <w:szCs w:val="28"/>
        </w:rPr>
        <w:t>元，增长</w:t>
      </w:r>
      <w:r>
        <w:rPr>
          <w:rFonts w:ascii="Arial" w:eastAsia="仿宋_GB2312" w:hAnsi="Arial" w:cs="Arial" w:hint="eastAsia"/>
          <w:bCs/>
          <w:sz w:val="28"/>
          <w:szCs w:val="28"/>
        </w:rPr>
        <w:t>5.2%</w:t>
      </w:r>
      <w:r>
        <w:rPr>
          <w:rFonts w:ascii="Arial" w:eastAsia="仿宋_GB2312" w:hAnsi="Arial" w:cs="Arial" w:hint="eastAsia"/>
          <w:bCs/>
          <w:sz w:val="28"/>
          <w:szCs w:val="28"/>
        </w:rPr>
        <w:t>。</w:t>
      </w:r>
    </w:p>
    <w:p w14:paraId="44E0FB86" w14:textId="77777777" w:rsidR="0062768B" w:rsidRDefault="00136729">
      <w:pPr>
        <w:overflowPunct w:val="0"/>
        <w:adjustRightInd/>
        <w:spacing w:line="300" w:lineRule="auto"/>
        <w:ind w:firstLineChars="200" w:firstLine="560"/>
        <w:jc w:val="both"/>
        <w:rPr>
          <w:rFonts w:ascii="仿宋_GB2312" w:eastAsia="仿宋_GB2312"/>
          <w:bCs/>
          <w:i/>
          <w:sz w:val="28"/>
          <w:szCs w:val="28"/>
        </w:rPr>
      </w:pPr>
      <w:r>
        <w:rPr>
          <w:rFonts w:ascii="Arial" w:eastAsia="仿宋_GB2312" w:hAnsi="Arial" w:cs="Arial" w:hint="eastAsia"/>
          <w:bCs/>
          <w:sz w:val="28"/>
          <w:szCs w:val="28"/>
        </w:rPr>
        <w:t>总的来看，一季度北京市经济呈现回升向好态势，社会民生保障有力，发展质量继续提升。</w:t>
      </w:r>
    </w:p>
    <w:p w14:paraId="061E2AB6" w14:textId="77777777" w:rsidR="0062768B" w:rsidRDefault="00136729">
      <w:pPr>
        <w:adjustRightInd/>
        <w:spacing w:line="300" w:lineRule="auto"/>
        <w:jc w:val="both"/>
        <w:rPr>
          <w:rFonts w:ascii="Arial" w:eastAsia="仿宋" w:hAnsi="Arial" w:cs="Arial"/>
          <w:sz w:val="28"/>
          <w:szCs w:val="28"/>
        </w:rPr>
      </w:pPr>
      <w:r>
        <w:rPr>
          <w:rFonts w:ascii="Arial" w:eastAsia="仿宋" w:hAnsi="Arial" w:cs="Arial"/>
          <w:sz w:val="28"/>
          <w:szCs w:val="28"/>
        </w:rPr>
        <w:t>（二）区域因素</w:t>
      </w:r>
    </w:p>
    <w:p w14:paraId="4E59323A"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区域概况</w:t>
      </w:r>
    </w:p>
    <w:p w14:paraId="4EE8B80E" w14:textId="77777777" w:rsidR="0062768B" w:rsidRDefault="00136729">
      <w:pPr>
        <w:widowControl/>
        <w:adjustRightInd/>
        <w:spacing w:line="300" w:lineRule="auto"/>
        <w:ind w:firstLineChars="200" w:firstLine="560"/>
        <w:rPr>
          <w:rFonts w:ascii="Arial" w:eastAsia="仿宋" w:hAnsi="Arial" w:cs="Arial"/>
          <w:sz w:val="28"/>
          <w:szCs w:val="28"/>
          <w:lang w:bidi="ar"/>
        </w:rPr>
      </w:pPr>
      <w:r>
        <w:rPr>
          <w:rFonts w:ascii="Arial" w:eastAsia="仿宋" w:hAnsi="Arial" w:cs="Arial"/>
          <w:sz w:val="28"/>
          <w:szCs w:val="28"/>
          <w:lang w:bidi="ar"/>
        </w:rPr>
        <w:t>顺义区位于北京市东北部，距市区</w:t>
      </w:r>
      <w:r>
        <w:rPr>
          <w:rFonts w:ascii="Arial" w:eastAsia="仿宋" w:hAnsi="Arial" w:cs="Arial"/>
          <w:sz w:val="28"/>
          <w:szCs w:val="28"/>
          <w:lang w:bidi="ar"/>
        </w:rPr>
        <w:t>30</w:t>
      </w:r>
      <w:r>
        <w:rPr>
          <w:rFonts w:ascii="Arial" w:eastAsia="仿宋" w:hAnsi="Arial" w:cs="Arial"/>
          <w:sz w:val="28"/>
          <w:szCs w:val="28"/>
          <w:lang w:bidi="ar"/>
        </w:rPr>
        <w:t>公里，毗邻北京城市副中心，是首都国际机场所在地，北邻</w:t>
      </w:r>
      <w:r>
        <w:rPr>
          <w:rFonts w:ascii="Arial" w:eastAsia="仿宋" w:hAnsi="Arial" w:cs="Arial"/>
          <w:sz w:val="28"/>
          <w:szCs w:val="28"/>
        </w:rPr>
        <w:fldChar w:fldCharType="begin"/>
      </w:r>
      <w:r>
        <w:rPr>
          <w:rFonts w:ascii="Arial" w:eastAsia="仿宋" w:hAnsi="Arial" w:cs="Arial"/>
          <w:sz w:val="28"/>
          <w:szCs w:val="28"/>
        </w:rPr>
        <w:instrText xml:space="preserve"> HYPERLINK "https://baike.baidu.com/item/%E6%80%80%E6%9F%94%E5%8C%BA/5105451?fromModule=lemma_inlink" \t "/Users/liuning/Documents\x/_blank" </w:instrText>
      </w:r>
      <w:r>
        <w:rPr>
          <w:rFonts w:ascii="Arial" w:eastAsia="仿宋" w:hAnsi="Arial" w:cs="Arial"/>
          <w:sz w:val="28"/>
          <w:szCs w:val="28"/>
        </w:rPr>
        <w:fldChar w:fldCharType="separate"/>
      </w:r>
      <w:r>
        <w:rPr>
          <w:rFonts w:ascii="Arial" w:eastAsia="仿宋" w:hAnsi="Arial" w:cs="Arial"/>
          <w:sz w:val="28"/>
          <w:szCs w:val="28"/>
          <w:lang w:bidi="ar"/>
        </w:rPr>
        <w:t>怀柔区</w:t>
      </w:r>
      <w:r>
        <w:rPr>
          <w:rFonts w:ascii="Arial" w:eastAsia="仿宋" w:hAnsi="Arial" w:cs="Arial"/>
          <w:sz w:val="28"/>
          <w:szCs w:val="28"/>
          <w:lang w:bidi="ar"/>
        </w:rPr>
        <w:fldChar w:fldCharType="end"/>
      </w:r>
      <w:r>
        <w:rPr>
          <w:rFonts w:ascii="Arial" w:eastAsia="仿宋" w:hAnsi="Arial" w:cs="Arial"/>
          <w:sz w:val="28"/>
          <w:szCs w:val="28"/>
          <w:lang w:bidi="ar"/>
        </w:rPr>
        <w:t>、</w:t>
      </w:r>
      <w:hyperlink r:id="rId57" w:tgtFrame="/Users/liuning/Documentsx/_blank" w:history="1">
        <w:r>
          <w:rPr>
            <w:rFonts w:ascii="Arial" w:eastAsia="仿宋" w:hAnsi="Arial" w:cs="Arial"/>
            <w:sz w:val="28"/>
            <w:szCs w:val="28"/>
            <w:lang w:bidi="ar"/>
          </w:rPr>
          <w:t>密云区</w:t>
        </w:r>
      </w:hyperlink>
      <w:r>
        <w:rPr>
          <w:rFonts w:ascii="Arial" w:eastAsia="仿宋" w:hAnsi="Arial" w:cs="Arial"/>
          <w:sz w:val="28"/>
          <w:szCs w:val="28"/>
          <w:lang w:bidi="ar"/>
        </w:rPr>
        <w:t>，东界</w:t>
      </w:r>
      <w:hyperlink r:id="rId58" w:tgtFrame="/Users/liuning/Documentsx/_blank" w:history="1">
        <w:proofErr w:type="gramStart"/>
        <w:r>
          <w:rPr>
            <w:rFonts w:ascii="Arial" w:eastAsia="仿宋" w:hAnsi="Arial" w:cs="Arial"/>
            <w:sz w:val="28"/>
            <w:szCs w:val="28"/>
            <w:lang w:bidi="ar"/>
          </w:rPr>
          <w:t>平谷区</w:t>
        </w:r>
        <w:proofErr w:type="gramEnd"/>
      </w:hyperlink>
      <w:r>
        <w:rPr>
          <w:rFonts w:ascii="Arial" w:eastAsia="仿宋" w:hAnsi="Arial" w:cs="Arial"/>
          <w:sz w:val="28"/>
          <w:szCs w:val="28"/>
          <w:lang w:bidi="ar"/>
        </w:rPr>
        <w:t>，南与</w:t>
      </w:r>
      <w:hyperlink r:id="rId59" w:tgtFrame="/Users/liuning/Documentsx/_blank" w:history="1">
        <w:r>
          <w:rPr>
            <w:rFonts w:ascii="Arial" w:eastAsia="仿宋" w:hAnsi="Arial" w:cs="Arial"/>
            <w:sz w:val="28"/>
            <w:szCs w:val="28"/>
            <w:lang w:bidi="ar"/>
          </w:rPr>
          <w:t>通州区</w:t>
        </w:r>
      </w:hyperlink>
      <w:r>
        <w:rPr>
          <w:rFonts w:ascii="Arial" w:eastAsia="仿宋" w:hAnsi="Arial" w:cs="Arial"/>
          <w:sz w:val="28"/>
          <w:szCs w:val="28"/>
          <w:lang w:bidi="ar"/>
        </w:rPr>
        <w:t>、河北省廊坊市三河市接壤，西南、西与</w:t>
      </w:r>
      <w:hyperlink r:id="rId60" w:tgtFrame="/Users/liuning/Documentsx/_blank" w:history="1">
        <w:proofErr w:type="gramStart"/>
        <w:r>
          <w:rPr>
            <w:rFonts w:ascii="Arial" w:eastAsia="仿宋" w:hAnsi="Arial" w:cs="Arial"/>
            <w:sz w:val="28"/>
            <w:szCs w:val="28"/>
            <w:lang w:bidi="ar"/>
          </w:rPr>
          <w:t>昌平区</w:t>
        </w:r>
        <w:proofErr w:type="gramEnd"/>
      </w:hyperlink>
      <w:r>
        <w:rPr>
          <w:rFonts w:ascii="Arial" w:eastAsia="仿宋" w:hAnsi="Arial" w:cs="Arial"/>
          <w:sz w:val="28"/>
          <w:szCs w:val="28"/>
          <w:lang w:bidi="ar"/>
        </w:rPr>
        <w:t>、</w:t>
      </w:r>
      <w:hyperlink r:id="rId61" w:tgtFrame="/Users/liuning/Documentsx/_blank" w:history="1">
        <w:r>
          <w:rPr>
            <w:rFonts w:ascii="Arial" w:eastAsia="仿宋" w:hAnsi="Arial" w:cs="Arial"/>
            <w:sz w:val="28"/>
            <w:szCs w:val="28"/>
            <w:lang w:bidi="ar"/>
          </w:rPr>
          <w:t>朝阳区</w:t>
        </w:r>
      </w:hyperlink>
      <w:r>
        <w:rPr>
          <w:rFonts w:ascii="Arial" w:eastAsia="仿宋" w:hAnsi="Arial" w:cs="Arial"/>
          <w:sz w:val="28"/>
          <w:szCs w:val="28"/>
          <w:lang w:bidi="ar"/>
        </w:rPr>
        <w:t>隔温榆河为界。总面积</w:t>
      </w:r>
      <w:r>
        <w:rPr>
          <w:rFonts w:ascii="Arial" w:eastAsia="仿宋" w:hAnsi="Arial" w:cs="Arial"/>
          <w:sz w:val="28"/>
          <w:szCs w:val="28"/>
          <w:lang w:bidi="ar"/>
        </w:rPr>
        <w:t>1021</w:t>
      </w:r>
      <w:r>
        <w:rPr>
          <w:rFonts w:ascii="Arial" w:eastAsia="仿宋" w:hAnsi="Arial" w:cs="Arial"/>
          <w:sz w:val="28"/>
          <w:szCs w:val="28"/>
          <w:lang w:bidi="ar"/>
        </w:rPr>
        <w:t>平方公里，其中平原面积占</w:t>
      </w:r>
      <w:r>
        <w:rPr>
          <w:rFonts w:ascii="Arial" w:eastAsia="仿宋" w:hAnsi="Arial" w:cs="Arial"/>
          <w:sz w:val="28"/>
          <w:szCs w:val="28"/>
          <w:lang w:bidi="ar"/>
        </w:rPr>
        <w:t>95.7%</w:t>
      </w:r>
      <w:r>
        <w:rPr>
          <w:rFonts w:ascii="Arial" w:eastAsia="仿宋" w:hAnsi="Arial" w:cs="Arial"/>
          <w:sz w:val="28"/>
          <w:szCs w:val="28"/>
          <w:lang w:bidi="ar"/>
        </w:rPr>
        <w:t>。全区常住人口</w:t>
      </w:r>
      <w:r>
        <w:rPr>
          <w:rFonts w:ascii="Arial" w:eastAsia="仿宋" w:hAnsi="Arial" w:cs="Arial"/>
          <w:sz w:val="28"/>
          <w:szCs w:val="28"/>
          <w:lang w:bidi="ar"/>
        </w:rPr>
        <w:t>132.5</w:t>
      </w:r>
      <w:r>
        <w:rPr>
          <w:rFonts w:ascii="Arial" w:eastAsia="仿宋" w:hAnsi="Arial" w:cs="Arial"/>
          <w:sz w:val="28"/>
          <w:szCs w:val="28"/>
          <w:lang w:bidi="ar"/>
        </w:rPr>
        <w:t>万人，下辖</w:t>
      </w:r>
      <w:r>
        <w:rPr>
          <w:rFonts w:ascii="Arial" w:eastAsia="仿宋" w:hAnsi="Arial" w:cs="Arial"/>
          <w:sz w:val="28"/>
          <w:szCs w:val="28"/>
          <w:lang w:bidi="ar"/>
        </w:rPr>
        <w:t>19</w:t>
      </w:r>
      <w:r>
        <w:rPr>
          <w:rFonts w:ascii="Arial" w:eastAsia="仿宋" w:hAnsi="Arial" w:cs="Arial"/>
          <w:sz w:val="28"/>
          <w:szCs w:val="28"/>
          <w:lang w:bidi="ar"/>
        </w:rPr>
        <w:t>个建制镇和</w:t>
      </w:r>
      <w:r>
        <w:rPr>
          <w:rFonts w:ascii="Arial" w:eastAsia="仿宋" w:hAnsi="Arial" w:cs="Arial"/>
          <w:sz w:val="28"/>
          <w:szCs w:val="28"/>
          <w:lang w:bidi="ar"/>
        </w:rPr>
        <w:t>6</w:t>
      </w:r>
      <w:r>
        <w:rPr>
          <w:rFonts w:ascii="Arial" w:eastAsia="仿宋" w:hAnsi="Arial" w:cs="Arial"/>
          <w:sz w:val="28"/>
          <w:szCs w:val="28"/>
          <w:lang w:bidi="ar"/>
        </w:rPr>
        <w:t>个街道办事处。按照新版北京城市总体规划，顺义区是北京市</w:t>
      </w:r>
      <w:r>
        <w:rPr>
          <w:rFonts w:ascii="Arial" w:eastAsia="仿宋" w:hAnsi="Arial" w:cs="Arial"/>
          <w:sz w:val="28"/>
          <w:szCs w:val="28"/>
          <w:lang w:bidi="ar"/>
        </w:rPr>
        <w:t>“</w:t>
      </w:r>
      <w:proofErr w:type="gramStart"/>
      <w:r>
        <w:rPr>
          <w:rFonts w:ascii="Arial" w:eastAsia="仿宋" w:hAnsi="Arial" w:cs="Arial"/>
          <w:sz w:val="28"/>
          <w:szCs w:val="28"/>
          <w:lang w:bidi="ar"/>
        </w:rPr>
        <w:t>一</w:t>
      </w:r>
      <w:proofErr w:type="gramEnd"/>
      <w:r>
        <w:rPr>
          <w:rFonts w:ascii="Arial" w:eastAsia="仿宋" w:hAnsi="Arial" w:cs="Arial"/>
          <w:sz w:val="28"/>
          <w:szCs w:val="28"/>
          <w:lang w:bidi="ar"/>
        </w:rPr>
        <w:t>核一主一副、两轴多点一区</w:t>
      </w:r>
      <w:r>
        <w:rPr>
          <w:rFonts w:ascii="Arial" w:eastAsia="仿宋" w:hAnsi="Arial" w:cs="Arial"/>
          <w:sz w:val="28"/>
          <w:szCs w:val="28"/>
          <w:lang w:bidi="ar"/>
        </w:rPr>
        <w:t>”</w:t>
      </w:r>
      <w:r>
        <w:rPr>
          <w:rFonts w:ascii="Arial" w:eastAsia="仿宋" w:hAnsi="Arial" w:cs="Arial"/>
          <w:sz w:val="28"/>
          <w:szCs w:val="28"/>
          <w:lang w:bidi="ar"/>
        </w:rPr>
        <w:t>城市空间结构中的</w:t>
      </w:r>
      <w:r>
        <w:rPr>
          <w:rFonts w:ascii="Arial" w:eastAsia="仿宋" w:hAnsi="Arial" w:cs="Arial"/>
          <w:sz w:val="28"/>
          <w:szCs w:val="28"/>
          <w:lang w:bidi="ar"/>
        </w:rPr>
        <w:t>“</w:t>
      </w:r>
      <w:r>
        <w:rPr>
          <w:rFonts w:ascii="Arial" w:eastAsia="仿宋" w:hAnsi="Arial" w:cs="Arial"/>
          <w:sz w:val="28"/>
          <w:szCs w:val="28"/>
          <w:lang w:bidi="ar"/>
        </w:rPr>
        <w:t>多点</w:t>
      </w:r>
      <w:r>
        <w:rPr>
          <w:rFonts w:ascii="Arial" w:eastAsia="仿宋" w:hAnsi="Arial" w:cs="Arial"/>
          <w:sz w:val="28"/>
          <w:szCs w:val="28"/>
          <w:lang w:bidi="ar"/>
        </w:rPr>
        <w:t>”</w:t>
      </w:r>
      <w:r>
        <w:rPr>
          <w:rFonts w:ascii="Arial" w:eastAsia="仿宋" w:hAnsi="Arial" w:cs="Arial"/>
          <w:sz w:val="28"/>
          <w:szCs w:val="28"/>
          <w:lang w:bidi="ar"/>
        </w:rPr>
        <w:t>之一，也是</w:t>
      </w:r>
      <w:r>
        <w:rPr>
          <w:rFonts w:ascii="Arial" w:eastAsia="仿宋" w:hAnsi="Arial" w:cs="Arial"/>
          <w:sz w:val="28"/>
          <w:szCs w:val="28"/>
          <w:lang w:bidi="ar"/>
        </w:rPr>
        <w:t>“</w:t>
      </w:r>
      <w:r>
        <w:rPr>
          <w:rFonts w:ascii="Arial" w:eastAsia="仿宋" w:hAnsi="Arial" w:cs="Arial"/>
          <w:sz w:val="28"/>
          <w:szCs w:val="28"/>
          <w:lang w:bidi="ar"/>
        </w:rPr>
        <w:t>国门</w:t>
      </w:r>
      <w:r>
        <w:rPr>
          <w:rFonts w:ascii="Arial" w:eastAsia="仿宋" w:hAnsi="Arial" w:cs="Arial"/>
          <w:sz w:val="28"/>
          <w:szCs w:val="28"/>
          <w:lang w:bidi="ar"/>
        </w:rPr>
        <w:t>”</w:t>
      </w:r>
      <w:r>
        <w:rPr>
          <w:rFonts w:ascii="Arial" w:eastAsia="仿宋" w:hAnsi="Arial" w:cs="Arial"/>
          <w:sz w:val="28"/>
          <w:szCs w:val="28"/>
          <w:lang w:bidi="ar"/>
        </w:rPr>
        <w:t>所在地、首都重点平原新城、中心城区适宜功能产业的重要承接地，正在建设</w:t>
      </w:r>
      <w:r>
        <w:rPr>
          <w:rFonts w:ascii="Arial" w:eastAsia="仿宋" w:hAnsi="Arial" w:cs="Arial"/>
          <w:sz w:val="28"/>
          <w:szCs w:val="28"/>
          <w:lang w:bidi="ar"/>
        </w:rPr>
        <w:t>“</w:t>
      </w:r>
      <w:r>
        <w:rPr>
          <w:rFonts w:ascii="Arial" w:eastAsia="仿宋" w:hAnsi="Arial" w:cs="Arial"/>
          <w:sz w:val="28"/>
          <w:szCs w:val="28"/>
          <w:lang w:bidi="ar"/>
        </w:rPr>
        <w:t>港城融合的国际航空中心核心区，创新引领的区域经济提升发展先行区，城乡协调的首都和谐宜居示范区</w:t>
      </w:r>
      <w:r>
        <w:rPr>
          <w:rFonts w:ascii="Arial" w:eastAsia="仿宋" w:hAnsi="Arial" w:cs="Arial"/>
          <w:sz w:val="28"/>
          <w:szCs w:val="28"/>
          <w:lang w:bidi="ar"/>
        </w:rPr>
        <w:t>”</w:t>
      </w:r>
      <w:r>
        <w:rPr>
          <w:rFonts w:ascii="Arial" w:eastAsia="仿宋" w:hAnsi="Arial" w:cs="Arial"/>
          <w:sz w:val="28"/>
          <w:szCs w:val="28"/>
          <w:lang w:bidi="ar"/>
        </w:rPr>
        <w:t>。</w:t>
      </w:r>
    </w:p>
    <w:p w14:paraId="50E9DAE2" w14:textId="77777777" w:rsidR="0062768B" w:rsidRDefault="00136729">
      <w:pPr>
        <w:widowControl/>
        <w:adjustRightInd/>
        <w:spacing w:line="300" w:lineRule="auto"/>
        <w:ind w:firstLineChars="200" w:firstLine="560"/>
        <w:rPr>
          <w:rFonts w:ascii="Arial" w:eastAsia="仿宋" w:hAnsi="Arial" w:cs="Arial"/>
          <w:sz w:val="28"/>
          <w:szCs w:val="28"/>
          <w:lang w:bidi="ar"/>
        </w:rPr>
      </w:pPr>
      <w:r>
        <w:rPr>
          <w:rFonts w:ascii="Arial" w:eastAsia="仿宋" w:hAnsi="Arial" w:cs="Arial"/>
          <w:sz w:val="28"/>
          <w:szCs w:val="28"/>
          <w:lang w:bidi="ar"/>
        </w:rPr>
        <w:t>顺义区地势北高南低，东北边界屏障燕山，境内平原为河流洪水携带沉积物质造成，表面堆积物主要是砂、亚砂土，面积占</w:t>
      </w:r>
      <w:r>
        <w:rPr>
          <w:rFonts w:ascii="Arial" w:eastAsia="仿宋" w:hAnsi="Arial" w:cs="Arial"/>
          <w:sz w:val="28"/>
          <w:szCs w:val="28"/>
          <w:lang w:bidi="ar"/>
        </w:rPr>
        <w:t>95.7%</w:t>
      </w:r>
      <w:r>
        <w:rPr>
          <w:rFonts w:ascii="Arial" w:eastAsia="仿宋" w:hAnsi="Arial" w:cs="Arial"/>
          <w:sz w:val="28"/>
          <w:szCs w:val="28"/>
          <w:lang w:bidi="ar"/>
        </w:rPr>
        <w:t>。北部山地最高点海拔为</w:t>
      </w:r>
      <w:r>
        <w:rPr>
          <w:rFonts w:ascii="Arial" w:eastAsia="仿宋" w:hAnsi="Arial" w:cs="Arial"/>
          <w:sz w:val="28"/>
          <w:szCs w:val="28"/>
          <w:lang w:bidi="ar"/>
        </w:rPr>
        <w:t>637</w:t>
      </w:r>
      <w:r>
        <w:rPr>
          <w:rFonts w:ascii="Arial" w:eastAsia="仿宋" w:hAnsi="Arial" w:cs="Arial"/>
          <w:sz w:val="28"/>
          <w:szCs w:val="28"/>
          <w:lang w:bidi="ar"/>
        </w:rPr>
        <w:t>米，境内最低点海拔为</w:t>
      </w:r>
      <w:r>
        <w:rPr>
          <w:rFonts w:ascii="Arial" w:eastAsia="仿宋" w:hAnsi="Arial" w:cs="Arial"/>
          <w:sz w:val="28"/>
          <w:szCs w:val="28"/>
          <w:lang w:bidi="ar"/>
        </w:rPr>
        <w:t>24</w:t>
      </w:r>
      <w:r>
        <w:rPr>
          <w:rFonts w:ascii="Arial" w:eastAsia="仿宋" w:hAnsi="Arial" w:cs="Arial"/>
          <w:sz w:val="28"/>
          <w:szCs w:val="28"/>
          <w:lang w:bidi="ar"/>
        </w:rPr>
        <w:t>米，平均海拔</w:t>
      </w:r>
      <w:r>
        <w:rPr>
          <w:rFonts w:ascii="Arial" w:eastAsia="仿宋" w:hAnsi="Arial" w:cs="Arial"/>
          <w:sz w:val="28"/>
          <w:szCs w:val="28"/>
          <w:lang w:bidi="ar"/>
        </w:rPr>
        <w:t>35</w:t>
      </w:r>
      <w:r>
        <w:rPr>
          <w:rFonts w:ascii="Arial" w:eastAsia="仿宋" w:hAnsi="Arial" w:cs="Arial"/>
          <w:sz w:val="28"/>
          <w:szCs w:val="28"/>
          <w:lang w:bidi="ar"/>
        </w:rPr>
        <w:t>米。顺义区境内有大小河流</w:t>
      </w:r>
      <w:r>
        <w:rPr>
          <w:rFonts w:ascii="Arial" w:eastAsia="仿宋" w:hAnsi="Arial" w:cs="Arial"/>
          <w:sz w:val="28"/>
          <w:szCs w:val="28"/>
          <w:lang w:bidi="ar"/>
        </w:rPr>
        <w:t>20</w:t>
      </w:r>
      <w:r>
        <w:rPr>
          <w:rFonts w:ascii="Arial" w:eastAsia="仿宋" w:hAnsi="Arial" w:cs="Arial"/>
          <w:sz w:val="28"/>
          <w:szCs w:val="28"/>
          <w:lang w:bidi="ar"/>
        </w:rPr>
        <w:t>余条，潮白河等河流分流其间，均呈南北走向，分</w:t>
      </w:r>
      <w:r>
        <w:rPr>
          <w:rFonts w:ascii="Arial" w:eastAsia="仿宋" w:hAnsi="Arial" w:cs="Arial"/>
          <w:sz w:val="28"/>
          <w:szCs w:val="28"/>
          <w:lang w:bidi="ar"/>
        </w:rPr>
        <w:lastRenderedPageBreak/>
        <w:t>属北运河、潮白河、</w:t>
      </w:r>
      <w:proofErr w:type="gramStart"/>
      <w:r>
        <w:rPr>
          <w:rFonts w:ascii="Arial" w:eastAsia="仿宋" w:hAnsi="Arial" w:cs="Arial"/>
          <w:sz w:val="28"/>
          <w:szCs w:val="28"/>
          <w:lang w:bidi="ar"/>
        </w:rPr>
        <w:t>蓟</w:t>
      </w:r>
      <w:proofErr w:type="gramEnd"/>
      <w:r>
        <w:rPr>
          <w:rFonts w:ascii="Arial" w:eastAsia="仿宋" w:hAnsi="Arial" w:cs="Arial"/>
          <w:sz w:val="28"/>
          <w:szCs w:val="28"/>
          <w:lang w:bidi="ar"/>
        </w:rPr>
        <w:t>运河</w:t>
      </w:r>
      <w:r>
        <w:rPr>
          <w:rFonts w:ascii="Arial" w:eastAsia="仿宋" w:hAnsi="Arial" w:cs="Arial"/>
          <w:sz w:val="28"/>
          <w:szCs w:val="28"/>
          <w:lang w:bidi="ar"/>
        </w:rPr>
        <w:t>3</w:t>
      </w:r>
      <w:r>
        <w:rPr>
          <w:rFonts w:ascii="Arial" w:eastAsia="仿宋" w:hAnsi="Arial" w:cs="Arial"/>
          <w:sz w:val="28"/>
          <w:szCs w:val="28"/>
          <w:lang w:bidi="ar"/>
        </w:rPr>
        <w:t>个水系。河道总长</w:t>
      </w:r>
      <w:r>
        <w:rPr>
          <w:rFonts w:ascii="Arial" w:eastAsia="仿宋" w:hAnsi="Arial" w:cs="Arial"/>
          <w:sz w:val="28"/>
          <w:szCs w:val="28"/>
          <w:lang w:bidi="ar"/>
        </w:rPr>
        <w:t>232</w:t>
      </w:r>
      <w:r>
        <w:rPr>
          <w:rFonts w:ascii="Arial" w:eastAsia="仿宋" w:hAnsi="Arial" w:cs="Arial"/>
          <w:sz w:val="28"/>
          <w:szCs w:val="28"/>
          <w:lang w:bidi="ar"/>
        </w:rPr>
        <w:t>千米，径流总量</w:t>
      </w:r>
      <w:r>
        <w:rPr>
          <w:rFonts w:ascii="Arial" w:eastAsia="仿宋" w:hAnsi="Arial" w:cs="Arial"/>
          <w:sz w:val="28"/>
          <w:szCs w:val="28"/>
          <w:lang w:bidi="ar"/>
        </w:rPr>
        <w:t>1.7</w:t>
      </w:r>
      <w:r>
        <w:rPr>
          <w:rFonts w:ascii="Arial" w:eastAsia="仿宋" w:hAnsi="Arial" w:cs="Arial"/>
          <w:sz w:val="28"/>
          <w:szCs w:val="28"/>
          <w:lang w:bidi="ar"/>
        </w:rPr>
        <w:t>亿立方米。</w:t>
      </w:r>
    </w:p>
    <w:p w14:paraId="367EFC39" w14:textId="77777777" w:rsidR="0062768B" w:rsidRDefault="00136729">
      <w:pPr>
        <w:adjustRightInd/>
        <w:spacing w:line="300" w:lineRule="auto"/>
        <w:ind w:firstLineChars="200" w:firstLine="560"/>
        <w:jc w:val="both"/>
        <w:rPr>
          <w:rFonts w:ascii="Arial" w:eastAsia="仿宋" w:hAnsi="Arial" w:cs="Arial"/>
          <w:i/>
          <w:sz w:val="28"/>
          <w:szCs w:val="28"/>
        </w:rPr>
      </w:pPr>
      <w:r>
        <w:rPr>
          <w:rFonts w:ascii="Arial" w:eastAsia="仿宋" w:hAnsi="Arial" w:cs="Arial"/>
          <w:sz w:val="28"/>
          <w:szCs w:val="28"/>
          <w:lang w:bidi="ar"/>
        </w:rPr>
        <w:t>顺义区公路已形成机场高速、京承高速、机场北线高速、京平高速、机场南线高速、六环路等高速公路为龙头，京密路、顺平路等国、市道主干线路网为骨架，县乡公路为支脉，</w:t>
      </w:r>
      <w:r>
        <w:rPr>
          <w:rFonts w:ascii="Arial" w:eastAsia="仿宋" w:hAnsi="Arial" w:cs="Arial"/>
          <w:sz w:val="28"/>
          <w:szCs w:val="28"/>
          <w:lang w:bidi="ar"/>
        </w:rPr>
        <w:t>“</w:t>
      </w:r>
      <w:r>
        <w:rPr>
          <w:rFonts w:ascii="Arial" w:eastAsia="仿宋" w:hAnsi="Arial" w:cs="Arial"/>
          <w:sz w:val="28"/>
          <w:szCs w:val="28"/>
          <w:lang w:bidi="ar"/>
        </w:rPr>
        <w:t>六横</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十四纵</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二放射</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六高速</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棋盘</w:t>
      </w:r>
      <w:r>
        <w:rPr>
          <w:rFonts w:ascii="Arial" w:eastAsia="仿宋" w:hAnsi="Arial" w:cs="Arial"/>
          <w:sz w:val="28"/>
          <w:szCs w:val="28"/>
          <w:lang w:bidi="ar"/>
        </w:rPr>
        <w:t>+</w:t>
      </w:r>
      <w:r>
        <w:rPr>
          <w:rFonts w:ascii="Arial" w:eastAsia="仿宋" w:hAnsi="Arial" w:cs="Arial"/>
          <w:sz w:val="28"/>
          <w:szCs w:val="28"/>
          <w:lang w:bidi="ar"/>
        </w:rPr>
        <w:t>网格</w:t>
      </w:r>
      <w:r>
        <w:rPr>
          <w:rFonts w:ascii="Arial" w:eastAsia="仿宋" w:hAnsi="Arial" w:cs="Arial"/>
          <w:sz w:val="28"/>
          <w:szCs w:val="28"/>
          <w:lang w:bidi="ar"/>
        </w:rPr>
        <w:t>+</w:t>
      </w:r>
      <w:r>
        <w:rPr>
          <w:rFonts w:ascii="Arial" w:eastAsia="仿宋" w:hAnsi="Arial" w:cs="Arial"/>
          <w:sz w:val="28"/>
          <w:szCs w:val="28"/>
          <w:lang w:bidi="ar"/>
        </w:rPr>
        <w:t>环线</w:t>
      </w:r>
      <w:r>
        <w:rPr>
          <w:rFonts w:ascii="Arial" w:eastAsia="仿宋" w:hAnsi="Arial" w:cs="Arial"/>
          <w:sz w:val="28"/>
          <w:szCs w:val="28"/>
          <w:lang w:bidi="ar"/>
        </w:rPr>
        <w:t>”</w:t>
      </w:r>
      <w:r>
        <w:rPr>
          <w:rFonts w:ascii="Arial" w:eastAsia="仿宋" w:hAnsi="Arial" w:cs="Arial"/>
          <w:sz w:val="28"/>
          <w:szCs w:val="28"/>
          <w:lang w:bidi="ar"/>
        </w:rPr>
        <w:t>纵横交错、四通八达的公路网体系。</w:t>
      </w:r>
    </w:p>
    <w:p w14:paraId="409EF4AB"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交通条件</w:t>
      </w:r>
    </w:p>
    <w:p w14:paraId="2D1D156B" w14:textId="77777777" w:rsidR="0062768B" w:rsidRDefault="00136729">
      <w:pPr>
        <w:adjustRightInd/>
        <w:spacing w:line="300" w:lineRule="auto"/>
        <w:ind w:firstLineChars="200" w:firstLine="560"/>
        <w:jc w:val="both"/>
        <w:rPr>
          <w:rFonts w:ascii="Arial" w:eastAsia="仿宋" w:hAnsi="Arial" w:cs="Arial"/>
          <w:sz w:val="28"/>
          <w:szCs w:val="28"/>
          <w:lang w:bidi="ar"/>
        </w:rPr>
      </w:pPr>
      <w:r>
        <w:rPr>
          <w:rFonts w:ascii="Arial" w:eastAsia="仿宋" w:hAnsi="Arial" w:cs="Arial"/>
          <w:sz w:val="28"/>
          <w:szCs w:val="28"/>
          <w:lang w:bidi="ar"/>
        </w:rPr>
        <w:t>估价对象属于北京市顺义区高丽营镇夏县营村，估价对象紧</w:t>
      </w:r>
      <w:proofErr w:type="gramStart"/>
      <w:r>
        <w:rPr>
          <w:rFonts w:ascii="Arial" w:eastAsia="仿宋" w:hAnsi="Arial" w:cs="Arial"/>
          <w:sz w:val="28"/>
          <w:szCs w:val="28"/>
          <w:lang w:bidi="ar"/>
        </w:rPr>
        <w:t>临城市</w:t>
      </w:r>
      <w:proofErr w:type="gramEnd"/>
      <w:r>
        <w:rPr>
          <w:rFonts w:ascii="Arial" w:eastAsia="仿宋" w:hAnsi="Arial" w:cs="Arial"/>
          <w:sz w:val="28"/>
          <w:szCs w:val="28"/>
          <w:lang w:bidi="ar"/>
        </w:rPr>
        <w:t>主干道</w:t>
      </w:r>
      <w:r>
        <w:rPr>
          <w:rFonts w:ascii="Arial" w:eastAsia="仿宋" w:hAnsi="Arial" w:cs="Arial"/>
          <w:sz w:val="28"/>
          <w:szCs w:val="28"/>
          <w:lang w:bidi="ar"/>
        </w:rPr>
        <w:t>——</w:t>
      </w:r>
      <w:proofErr w:type="gramStart"/>
      <w:r>
        <w:rPr>
          <w:rFonts w:ascii="Arial" w:eastAsia="仿宋" w:hAnsi="Arial" w:cs="Arial"/>
          <w:sz w:val="28"/>
          <w:szCs w:val="28"/>
          <w:lang w:bidi="ar"/>
        </w:rPr>
        <w:t>火寺路</w:t>
      </w:r>
      <w:proofErr w:type="gramEnd"/>
      <w:r>
        <w:rPr>
          <w:rFonts w:ascii="Arial" w:eastAsia="仿宋" w:hAnsi="Arial" w:cs="Arial"/>
          <w:sz w:val="28"/>
          <w:szCs w:val="28"/>
          <w:lang w:bidi="ar"/>
        </w:rPr>
        <w:t>、周边</w:t>
      </w:r>
      <w:r>
        <w:rPr>
          <w:rFonts w:ascii="Arial" w:eastAsia="仿宋" w:hAnsi="Arial" w:cs="Arial"/>
          <w:sz w:val="28"/>
          <w:szCs w:val="28"/>
          <w:lang w:bidi="ar"/>
        </w:rPr>
        <w:t>1</w:t>
      </w:r>
      <w:r>
        <w:rPr>
          <w:rFonts w:ascii="Arial" w:eastAsia="仿宋" w:hAnsi="Arial" w:cs="Arial"/>
          <w:sz w:val="28"/>
          <w:szCs w:val="28"/>
          <w:lang w:bidi="ar"/>
        </w:rPr>
        <w:t>公里范围内有顺</w:t>
      </w:r>
      <w:r>
        <w:rPr>
          <w:rFonts w:ascii="Arial" w:eastAsia="仿宋" w:hAnsi="Arial" w:cs="Arial"/>
          <w:sz w:val="28"/>
          <w:szCs w:val="28"/>
          <w:lang w:bidi="ar"/>
        </w:rPr>
        <w:t>25</w:t>
      </w:r>
      <w:r>
        <w:rPr>
          <w:rFonts w:ascii="Arial" w:eastAsia="仿宋" w:hAnsi="Arial" w:cs="Arial"/>
          <w:sz w:val="28"/>
          <w:szCs w:val="28"/>
          <w:lang w:bidi="ar"/>
        </w:rPr>
        <w:t>路、顺</w:t>
      </w:r>
      <w:r>
        <w:rPr>
          <w:rFonts w:ascii="Arial" w:eastAsia="仿宋" w:hAnsi="Arial" w:cs="Arial"/>
          <w:sz w:val="28"/>
          <w:szCs w:val="28"/>
          <w:lang w:bidi="ar"/>
        </w:rPr>
        <w:t>42</w:t>
      </w:r>
      <w:r>
        <w:rPr>
          <w:rFonts w:ascii="Arial" w:eastAsia="仿宋" w:hAnsi="Arial" w:cs="Arial"/>
          <w:sz w:val="28"/>
          <w:szCs w:val="28"/>
          <w:lang w:bidi="ar"/>
        </w:rPr>
        <w:t>路、顺</w:t>
      </w:r>
      <w:r>
        <w:rPr>
          <w:rFonts w:ascii="Arial" w:eastAsia="仿宋" w:hAnsi="Arial" w:cs="Arial"/>
          <w:sz w:val="28"/>
          <w:szCs w:val="28"/>
          <w:lang w:bidi="ar"/>
        </w:rPr>
        <w:t>49</w:t>
      </w:r>
      <w:r>
        <w:rPr>
          <w:rFonts w:ascii="Arial" w:eastAsia="仿宋" w:hAnsi="Arial" w:cs="Arial"/>
          <w:sz w:val="28"/>
          <w:szCs w:val="28"/>
          <w:lang w:bidi="ar"/>
        </w:rPr>
        <w:t>路、顺</w:t>
      </w:r>
      <w:r>
        <w:rPr>
          <w:rFonts w:ascii="Arial" w:eastAsia="仿宋" w:hAnsi="Arial" w:cs="Arial"/>
          <w:sz w:val="28"/>
          <w:szCs w:val="28"/>
          <w:lang w:bidi="ar"/>
        </w:rPr>
        <w:t>69</w:t>
      </w:r>
      <w:r>
        <w:rPr>
          <w:rFonts w:ascii="Arial" w:eastAsia="仿宋" w:hAnsi="Arial" w:cs="Arial"/>
          <w:sz w:val="28"/>
          <w:szCs w:val="28"/>
          <w:lang w:bidi="ar"/>
        </w:rPr>
        <w:t>路等公交线路，区域内交通一般，区域间通达性较差，综合评价交通便捷度较差。</w:t>
      </w:r>
    </w:p>
    <w:p w14:paraId="4FCB86C8"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环境条件</w:t>
      </w:r>
    </w:p>
    <w:p w14:paraId="4DFE897C" w14:textId="77777777" w:rsidR="0062768B" w:rsidRDefault="00136729">
      <w:pPr>
        <w:adjustRightInd/>
        <w:spacing w:line="300" w:lineRule="auto"/>
        <w:ind w:firstLineChars="200" w:firstLine="560"/>
        <w:jc w:val="both"/>
        <w:rPr>
          <w:rFonts w:ascii="Arial" w:eastAsia="仿宋" w:hAnsi="Arial" w:cs="Arial"/>
          <w:sz w:val="28"/>
          <w:szCs w:val="28"/>
          <w:lang w:bidi="ar"/>
        </w:rPr>
      </w:pPr>
      <w:r>
        <w:rPr>
          <w:rFonts w:ascii="Arial" w:eastAsia="仿宋" w:hAnsi="Arial" w:cs="Arial"/>
          <w:sz w:val="28"/>
          <w:szCs w:val="28"/>
          <w:lang w:bidi="ar"/>
        </w:rPr>
        <w:t>估价对位于北京市顺义区高丽营镇夏县营村，周边</w:t>
      </w:r>
      <w:r>
        <w:rPr>
          <w:rFonts w:ascii="Arial" w:eastAsia="仿宋" w:hAnsi="Arial" w:cs="Arial"/>
          <w:sz w:val="28"/>
          <w:szCs w:val="28"/>
          <w:lang w:bidi="ar"/>
        </w:rPr>
        <w:t>2</w:t>
      </w:r>
      <w:r>
        <w:rPr>
          <w:rFonts w:ascii="Arial" w:eastAsia="仿宋" w:hAnsi="Arial" w:cs="Arial"/>
          <w:sz w:val="28"/>
          <w:szCs w:val="28"/>
          <w:lang w:bidi="ar"/>
        </w:rPr>
        <w:t>公里范围内有南郎中休闲公园、口袋公园、方氏渠等自然环境；无人文环境；综合评价环境状况一般。</w:t>
      </w:r>
    </w:p>
    <w:p w14:paraId="38ED4A4A" w14:textId="77777777" w:rsidR="0062768B" w:rsidRDefault="00136729">
      <w:pPr>
        <w:adjustRightInd/>
        <w:spacing w:line="300" w:lineRule="auto"/>
        <w:ind w:firstLineChars="200" w:firstLine="560"/>
        <w:jc w:val="both"/>
        <w:rPr>
          <w:rFonts w:ascii="Arial" w:eastAsia="仿宋" w:hAnsi="Arial" w:cs="Arial"/>
          <w:i/>
          <w:sz w:val="28"/>
          <w:szCs w:val="28"/>
        </w:rPr>
      </w:pPr>
      <w:r>
        <w:rPr>
          <w:rFonts w:ascii="Arial" w:eastAsia="仿宋" w:hAnsi="Arial" w:cs="Arial"/>
          <w:sz w:val="28"/>
          <w:szCs w:val="28"/>
        </w:rPr>
        <w:t>4.</w:t>
      </w:r>
      <w:r>
        <w:rPr>
          <w:rFonts w:ascii="Arial" w:eastAsia="仿宋" w:hAnsi="Arial" w:cs="Arial"/>
          <w:sz w:val="28"/>
          <w:szCs w:val="28"/>
        </w:rPr>
        <w:t>基础</w:t>
      </w:r>
      <w:proofErr w:type="gramStart"/>
      <w:r>
        <w:rPr>
          <w:rFonts w:ascii="Arial" w:eastAsia="仿宋" w:hAnsi="Arial" w:cs="Arial"/>
          <w:sz w:val="28"/>
          <w:szCs w:val="28"/>
        </w:rPr>
        <w:t>设施设施</w:t>
      </w:r>
      <w:proofErr w:type="gramEnd"/>
      <w:r>
        <w:rPr>
          <w:rFonts w:ascii="Arial" w:eastAsia="仿宋" w:hAnsi="Arial" w:cs="Arial"/>
          <w:sz w:val="28"/>
          <w:szCs w:val="28"/>
        </w:rPr>
        <w:t>条件</w:t>
      </w:r>
    </w:p>
    <w:p w14:paraId="0247D679"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估价对象所在区域内基础设施配套条件达到</w:t>
      </w:r>
      <w:r>
        <w:rPr>
          <w:rFonts w:ascii="Arial" w:eastAsia="仿宋" w:hAnsi="Arial" w:cs="Arial"/>
          <w:sz w:val="28"/>
          <w:szCs w:val="28"/>
        </w:rPr>
        <w:t>“</w:t>
      </w:r>
      <w:r>
        <w:rPr>
          <w:rFonts w:ascii="Arial" w:eastAsia="仿宋" w:hAnsi="Arial" w:cs="Arial"/>
          <w:sz w:val="28"/>
          <w:szCs w:val="28"/>
        </w:rPr>
        <w:t>七通</w:t>
      </w:r>
      <w:r>
        <w:rPr>
          <w:rFonts w:ascii="Arial" w:eastAsia="仿宋" w:hAnsi="Arial" w:cs="Arial"/>
          <w:sz w:val="28"/>
          <w:szCs w:val="28"/>
        </w:rPr>
        <w:t>”</w:t>
      </w:r>
      <w:r>
        <w:rPr>
          <w:rFonts w:ascii="Arial" w:eastAsia="仿宋" w:hAnsi="Arial" w:cs="Arial"/>
          <w:sz w:val="28"/>
          <w:szCs w:val="28"/>
        </w:rPr>
        <w:t>（即通路、通上水、通下水、通电、通讯、通燃气、通热力），能够保证工作、生产需要，基础设施配套完善度好。</w:t>
      </w:r>
    </w:p>
    <w:p w14:paraId="18FB8E6A"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 w:hAnsi="Arial" w:cs="Arial"/>
          <w:sz w:val="28"/>
          <w:szCs w:val="28"/>
        </w:rPr>
        <w:t>公共服务设施状况</w:t>
      </w:r>
    </w:p>
    <w:p w14:paraId="059343AB"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估价对象周边</w:t>
      </w:r>
      <w:r>
        <w:rPr>
          <w:rFonts w:ascii="Arial" w:eastAsia="仿宋" w:hAnsi="Arial" w:cs="Arial"/>
          <w:sz w:val="28"/>
          <w:szCs w:val="28"/>
          <w:lang w:bidi="ar"/>
        </w:rPr>
        <w:t>约</w:t>
      </w:r>
      <w:r>
        <w:rPr>
          <w:rFonts w:ascii="Arial" w:eastAsia="仿宋" w:hAnsi="Arial" w:cs="Arial"/>
          <w:sz w:val="28"/>
          <w:szCs w:val="28"/>
        </w:rPr>
        <w:t>2</w:t>
      </w:r>
      <w:r>
        <w:rPr>
          <w:rFonts w:ascii="Arial" w:eastAsia="仿宋" w:hAnsi="Arial" w:cs="Arial"/>
          <w:sz w:val="28"/>
          <w:szCs w:val="28"/>
        </w:rPr>
        <w:t>公里范围内有北京超天商贸中心、</w:t>
      </w:r>
      <w:proofErr w:type="gramStart"/>
      <w:r>
        <w:rPr>
          <w:rFonts w:ascii="Arial" w:eastAsia="仿宋" w:hAnsi="Arial" w:cs="Arial"/>
          <w:sz w:val="28"/>
          <w:szCs w:val="28"/>
        </w:rPr>
        <w:t>隆华购物中心</w:t>
      </w:r>
      <w:proofErr w:type="gramEnd"/>
      <w:r>
        <w:rPr>
          <w:rFonts w:ascii="Arial" w:eastAsia="仿宋" w:hAnsi="Arial" w:cs="Arial"/>
          <w:sz w:val="28"/>
          <w:szCs w:val="28"/>
        </w:rPr>
        <w:t>、社区商业街、</w:t>
      </w:r>
      <w:proofErr w:type="gramStart"/>
      <w:r>
        <w:rPr>
          <w:rFonts w:ascii="Arial" w:eastAsia="仿宋" w:hAnsi="Arial" w:cs="Arial"/>
          <w:sz w:val="28"/>
          <w:szCs w:val="28"/>
        </w:rPr>
        <w:t>世纪华</w:t>
      </w:r>
      <w:proofErr w:type="gramEnd"/>
      <w:r>
        <w:rPr>
          <w:rFonts w:ascii="Arial" w:eastAsia="仿宋" w:hAnsi="Arial" w:cs="Arial"/>
          <w:sz w:val="28"/>
          <w:szCs w:val="28"/>
        </w:rPr>
        <w:t>联超市等商业服务设施；北京农商银行张喜庄分理处、北京</w:t>
      </w:r>
      <w:proofErr w:type="gramStart"/>
      <w:r>
        <w:rPr>
          <w:rFonts w:ascii="Arial" w:eastAsia="仿宋" w:hAnsi="Arial" w:cs="Arial"/>
          <w:sz w:val="28"/>
          <w:szCs w:val="28"/>
        </w:rPr>
        <w:t>顺义银</w:t>
      </w:r>
      <w:proofErr w:type="gramEnd"/>
      <w:r>
        <w:rPr>
          <w:rFonts w:ascii="Arial" w:eastAsia="仿宋" w:hAnsi="Arial" w:cs="Arial"/>
          <w:sz w:val="28"/>
          <w:szCs w:val="28"/>
        </w:rPr>
        <w:t>座村镇银行高丽营支行、中国邮政储蓄银行</w:t>
      </w:r>
      <w:proofErr w:type="gramStart"/>
      <w:r>
        <w:rPr>
          <w:rFonts w:ascii="Arial" w:eastAsia="仿宋" w:hAnsi="Arial" w:cs="Arial"/>
          <w:sz w:val="28"/>
          <w:szCs w:val="28"/>
        </w:rPr>
        <w:t>张喜庄邮政储蓄</w:t>
      </w:r>
      <w:proofErr w:type="gramEnd"/>
      <w:r>
        <w:rPr>
          <w:rFonts w:ascii="Arial" w:eastAsia="仿宋" w:hAnsi="Arial" w:cs="Arial"/>
          <w:sz w:val="28"/>
          <w:szCs w:val="28"/>
        </w:rPr>
        <w:t>等金融机构；高丽营第一幼儿园、高丽营第二小学、高丽营第二中学等教育资源；北京顺义天苑医院、北京市顺义区高丽营镇</w:t>
      </w:r>
      <w:proofErr w:type="gramStart"/>
      <w:r>
        <w:rPr>
          <w:rFonts w:ascii="Arial" w:eastAsia="仿宋" w:hAnsi="Arial" w:cs="Arial"/>
          <w:sz w:val="28"/>
          <w:szCs w:val="28"/>
        </w:rPr>
        <w:t>张喜庄卫生院</w:t>
      </w:r>
      <w:proofErr w:type="gramEnd"/>
      <w:r>
        <w:rPr>
          <w:rFonts w:ascii="Arial" w:eastAsia="仿宋" w:hAnsi="Arial" w:cs="Arial"/>
          <w:sz w:val="28"/>
          <w:szCs w:val="28"/>
        </w:rPr>
        <w:t>、北京市顺义区高丽营镇河津营村卫生室等医疗设施，公共配套设施齐备情况一般。</w:t>
      </w:r>
    </w:p>
    <w:p w14:paraId="7D97A25A"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 w:hAnsi="Arial" w:cs="Arial"/>
          <w:sz w:val="28"/>
          <w:szCs w:val="28"/>
          <w:lang w:eastAsia="zh-Hans"/>
        </w:rPr>
        <w:t>.</w:t>
      </w:r>
      <w:r>
        <w:rPr>
          <w:rFonts w:ascii="Arial" w:eastAsia="仿宋" w:hAnsi="Arial" w:cs="Arial"/>
          <w:sz w:val="28"/>
          <w:szCs w:val="28"/>
        </w:rPr>
        <w:t>居住社区成熟度</w:t>
      </w:r>
    </w:p>
    <w:p w14:paraId="3D3C4F7B"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w:t>
      </w:r>
      <w:r>
        <w:rPr>
          <w:rFonts w:ascii="Arial" w:eastAsia="仿宋" w:hAnsi="Arial" w:cs="Arial"/>
          <w:sz w:val="28"/>
          <w:szCs w:val="28"/>
          <w:lang w:bidi="ar"/>
        </w:rPr>
        <w:t>北京市顺义区高丽营镇夏县营村</w:t>
      </w:r>
      <w:r>
        <w:rPr>
          <w:rFonts w:ascii="Arial" w:eastAsia="仿宋" w:hAnsi="Arial" w:cs="Arial"/>
          <w:sz w:val="28"/>
          <w:szCs w:val="28"/>
        </w:rPr>
        <w:t>，周边</w:t>
      </w:r>
      <w:r>
        <w:rPr>
          <w:rFonts w:ascii="Arial" w:eastAsia="仿宋" w:hAnsi="Arial" w:cs="Arial"/>
          <w:sz w:val="28"/>
          <w:szCs w:val="28"/>
          <w:lang w:bidi="ar"/>
        </w:rPr>
        <w:t>约</w:t>
      </w:r>
      <w:r>
        <w:rPr>
          <w:rFonts w:ascii="Arial" w:eastAsia="仿宋" w:hAnsi="Arial" w:cs="Arial"/>
          <w:sz w:val="28"/>
          <w:szCs w:val="28"/>
        </w:rPr>
        <w:t>2</w:t>
      </w:r>
      <w:r>
        <w:rPr>
          <w:rFonts w:ascii="Arial" w:eastAsia="仿宋" w:hAnsi="Arial" w:cs="Arial"/>
          <w:sz w:val="28"/>
          <w:szCs w:val="28"/>
        </w:rPr>
        <w:t>公里范围内</w:t>
      </w:r>
      <w:proofErr w:type="gramStart"/>
      <w:r>
        <w:rPr>
          <w:rFonts w:ascii="Arial" w:eastAsia="仿宋" w:hAnsi="Arial" w:cs="Arial"/>
          <w:sz w:val="28"/>
          <w:szCs w:val="28"/>
        </w:rPr>
        <w:t>有丽喜花园</w:t>
      </w:r>
      <w:proofErr w:type="gramEnd"/>
      <w:r>
        <w:rPr>
          <w:rFonts w:ascii="Arial" w:eastAsia="仿宋" w:hAnsi="Arial" w:cs="Arial"/>
          <w:sz w:val="28"/>
          <w:szCs w:val="28"/>
        </w:rPr>
        <w:t>、东君府、</w:t>
      </w:r>
      <w:proofErr w:type="spellStart"/>
      <w:r>
        <w:rPr>
          <w:rFonts w:ascii="Arial" w:eastAsia="仿宋" w:hAnsi="Arial" w:cs="Arial"/>
          <w:sz w:val="28"/>
          <w:szCs w:val="28"/>
        </w:rPr>
        <w:t>moma</w:t>
      </w:r>
      <w:proofErr w:type="spellEnd"/>
      <w:r>
        <w:rPr>
          <w:rFonts w:ascii="Arial" w:eastAsia="仿宋" w:hAnsi="Arial" w:cs="Arial"/>
          <w:sz w:val="28"/>
          <w:szCs w:val="28"/>
        </w:rPr>
        <w:t>万万树、壹号</w:t>
      </w:r>
      <w:proofErr w:type="gramStart"/>
      <w:r>
        <w:rPr>
          <w:rFonts w:ascii="Arial" w:eastAsia="仿宋" w:hAnsi="Arial" w:cs="Arial"/>
          <w:sz w:val="28"/>
          <w:szCs w:val="28"/>
        </w:rPr>
        <w:t>东临院等</w:t>
      </w:r>
      <w:proofErr w:type="gramEnd"/>
      <w:r>
        <w:rPr>
          <w:rFonts w:ascii="Arial" w:eastAsia="仿宋" w:hAnsi="Arial" w:cs="Arial"/>
          <w:sz w:val="28"/>
          <w:szCs w:val="28"/>
        </w:rPr>
        <w:t>社区，居住小区规模和社区发展完善程度较完善，综合评价居住社区成熟度一般。</w:t>
      </w:r>
    </w:p>
    <w:p w14:paraId="4DC1F407"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商服繁华程度</w:t>
      </w:r>
    </w:p>
    <w:p w14:paraId="24BBA249" w14:textId="77777777" w:rsidR="0062768B" w:rsidRDefault="00136729">
      <w:pPr>
        <w:adjustRightInd/>
        <w:spacing w:line="300" w:lineRule="auto"/>
        <w:ind w:firstLineChars="200" w:firstLine="560"/>
        <w:jc w:val="both"/>
        <w:rPr>
          <w:rFonts w:ascii="Arial" w:eastAsia="仿宋" w:hAnsi="Arial" w:cs="Arial"/>
          <w:sz w:val="28"/>
          <w:szCs w:val="28"/>
          <w:lang w:eastAsia="zh-Hans"/>
        </w:rPr>
      </w:pPr>
      <w:r>
        <w:rPr>
          <w:rFonts w:ascii="Arial" w:eastAsia="仿宋" w:hAnsi="Arial" w:cs="Arial"/>
          <w:sz w:val="28"/>
          <w:szCs w:val="28"/>
        </w:rPr>
        <w:lastRenderedPageBreak/>
        <w:t>估价对象位于</w:t>
      </w:r>
      <w:r>
        <w:rPr>
          <w:rFonts w:ascii="Arial" w:eastAsia="仿宋" w:hAnsi="Arial" w:cs="Arial"/>
          <w:sz w:val="28"/>
          <w:szCs w:val="28"/>
          <w:lang w:bidi="ar"/>
        </w:rPr>
        <w:t>北京市顺义区高丽营镇夏县营村</w:t>
      </w:r>
      <w:r>
        <w:rPr>
          <w:rFonts w:ascii="Arial" w:eastAsia="仿宋" w:hAnsi="Arial" w:cs="Arial"/>
          <w:sz w:val="28"/>
          <w:szCs w:val="28"/>
        </w:rPr>
        <w:t>，周边</w:t>
      </w:r>
      <w:r>
        <w:rPr>
          <w:rFonts w:ascii="Arial" w:eastAsia="仿宋" w:hAnsi="Arial" w:cs="Arial"/>
          <w:sz w:val="28"/>
          <w:szCs w:val="28"/>
          <w:lang w:bidi="ar"/>
        </w:rPr>
        <w:t>约</w:t>
      </w:r>
      <w:r>
        <w:rPr>
          <w:rFonts w:ascii="Arial" w:eastAsia="仿宋" w:hAnsi="Arial" w:cs="Arial"/>
          <w:sz w:val="28"/>
          <w:szCs w:val="28"/>
        </w:rPr>
        <w:t>2</w:t>
      </w:r>
      <w:r>
        <w:rPr>
          <w:rFonts w:ascii="Arial" w:eastAsia="仿宋" w:hAnsi="Arial" w:cs="Arial"/>
          <w:sz w:val="28"/>
          <w:szCs w:val="28"/>
        </w:rPr>
        <w:t>公里范围内有社区商业街，北京超天商贸中心、</w:t>
      </w:r>
      <w:proofErr w:type="gramStart"/>
      <w:r>
        <w:rPr>
          <w:rFonts w:ascii="Arial" w:eastAsia="仿宋" w:hAnsi="Arial" w:cs="Arial"/>
          <w:sz w:val="28"/>
          <w:szCs w:val="28"/>
        </w:rPr>
        <w:t>隆华购物中心</w:t>
      </w:r>
      <w:proofErr w:type="gramEnd"/>
      <w:r>
        <w:rPr>
          <w:rFonts w:ascii="Arial" w:eastAsia="仿宋" w:hAnsi="Arial" w:cs="Arial"/>
          <w:sz w:val="28"/>
          <w:szCs w:val="28"/>
        </w:rPr>
        <w:t>以及零星临街商铺，无大型购物中心，商业繁华度较差。</w:t>
      </w:r>
    </w:p>
    <w:p w14:paraId="4D4D9A05" w14:textId="77777777" w:rsidR="0062768B" w:rsidRDefault="00136729">
      <w:pPr>
        <w:adjustRightInd/>
        <w:spacing w:line="300" w:lineRule="auto"/>
        <w:ind w:firstLineChars="200" w:firstLine="560"/>
        <w:jc w:val="both"/>
        <w:rPr>
          <w:rFonts w:ascii="Arial" w:eastAsia="仿宋" w:hAnsi="Arial" w:cs="Arial"/>
          <w:sz w:val="28"/>
          <w:szCs w:val="28"/>
          <w:lang w:eastAsia="zh-Hans"/>
        </w:rPr>
      </w:pPr>
      <w:r>
        <w:rPr>
          <w:rFonts w:ascii="Arial" w:eastAsia="仿宋" w:hAnsi="Arial" w:cs="Arial"/>
          <w:sz w:val="28"/>
          <w:szCs w:val="28"/>
          <w:lang w:eastAsia="zh-Hans"/>
        </w:rPr>
        <w:t>8.</w:t>
      </w:r>
      <w:r>
        <w:rPr>
          <w:rFonts w:ascii="Arial" w:eastAsia="仿宋" w:hAnsi="Arial" w:cs="Arial"/>
          <w:sz w:val="28"/>
          <w:szCs w:val="28"/>
          <w:lang w:eastAsia="zh-Hans"/>
        </w:rPr>
        <w:t>物业集聚程度</w:t>
      </w:r>
    </w:p>
    <w:p w14:paraId="351A80F1" w14:textId="77777777" w:rsidR="0062768B" w:rsidRDefault="00136729">
      <w:pPr>
        <w:adjustRightInd/>
        <w:spacing w:line="300" w:lineRule="auto"/>
        <w:ind w:firstLineChars="200" w:firstLine="560"/>
        <w:jc w:val="both"/>
        <w:rPr>
          <w:rFonts w:ascii="Arial" w:eastAsia="仿宋" w:hAnsi="Arial" w:cs="Arial"/>
          <w:sz w:val="28"/>
          <w:szCs w:val="28"/>
          <w:lang w:eastAsia="zh-Hans"/>
        </w:rPr>
      </w:pPr>
      <w:r>
        <w:rPr>
          <w:rFonts w:ascii="Arial" w:eastAsia="仿宋" w:hAnsi="Arial" w:cs="Arial"/>
          <w:sz w:val="28"/>
          <w:szCs w:val="28"/>
        </w:rPr>
        <w:t>估价对象位于</w:t>
      </w:r>
      <w:r>
        <w:rPr>
          <w:rFonts w:ascii="Arial" w:eastAsia="仿宋" w:hAnsi="Arial" w:cs="Arial"/>
          <w:sz w:val="28"/>
          <w:szCs w:val="28"/>
          <w:lang w:bidi="ar"/>
        </w:rPr>
        <w:t>北京市顺义区高丽营镇夏县营村</w:t>
      </w:r>
      <w:r>
        <w:rPr>
          <w:rFonts w:ascii="Arial" w:eastAsia="仿宋" w:hAnsi="Arial" w:cs="Arial"/>
          <w:sz w:val="28"/>
          <w:szCs w:val="28"/>
        </w:rPr>
        <w:t>，</w:t>
      </w:r>
      <w:r>
        <w:rPr>
          <w:rFonts w:ascii="Arial" w:eastAsia="仿宋" w:hAnsi="Arial" w:cs="Arial"/>
          <w:sz w:val="28"/>
          <w:szCs w:val="28"/>
          <w:lang w:eastAsia="zh-Hans"/>
        </w:rPr>
        <w:t>周边</w:t>
      </w:r>
      <w:r>
        <w:rPr>
          <w:rFonts w:ascii="Arial" w:eastAsia="仿宋" w:hAnsi="Arial" w:cs="Arial"/>
          <w:sz w:val="28"/>
          <w:szCs w:val="28"/>
          <w:lang w:bidi="ar"/>
        </w:rPr>
        <w:t>约</w:t>
      </w:r>
      <w:r>
        <w:rPr>
          <w:rFonts w:ascii="Arial" w:eastAsia="仿宋" w:hAnsi="Arial" w:cs="Arial"/>
          <w:sz w:val="28"/>
          <w:szCs w:val="28"/>
          <w:lang w:eastAsia="zh-Hans"/>
        </w:rPr>
        <w:t>2</w:t>
      </w:r>
      <w:r>
        <w:rPr>
          <w:rFonts w:ascii="Arial" w:eastAsia="仿宋" w:hAnsi="Arial" w:cs="Arial"/>
          <w:sz w:val="28"/>
          <w:szCs w:val="28"/>
          <w:lang w:eastAsia="zh-Hans"/>
        </w:rPr>
        <w:t>公里范围内</w:t>
      </w:r>
      <w:proofErr w:type="gramStart"/>
      <w:r>
        <w:rPr>
          <w:rFonts w:ascii="Arial" w:eastAsia="仿宋" w:hAnsi="Arial" w:cs="Arial"/>
          <w:sz w:val="28"/>
          <w:szCs w:val="28"/>
          <w:lang w:eastAsia="zh-Hans"/>
        </w:rPr>
        <w:t>有双悦大楼</w:t>
      </w:r>
      <w:proofErr w:type="gramEnd"/>
      <w:r>
        <w:rPr>
          <w:rFonts w:ascii="Arial" w:eastAsia="仿宋" w:hAnsi="Arial" w:cs="Arial"/>
          <w:sz w:val="28"/>
          <w:szCs w:val="28"/>
          <w:lang w:eastAsia="zh-Hans"/>
        </w:rPr>
        <w:t>、智慧谷商务中心等办公项目，周边公共服务物业数量较少，物业集聚程度较差。</w:t>
      </w:r>
    </w:p>
    <w:p w14:paraId="54D17032"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9.</w:t>
      </w:r>
      <w:r>
        <w:rPr>
          <w:rFonts w:ascii="Arial" w:eastAsia="仿宋" w:hAnsi="Arial" w:cs="Arial"/>
          <w:sz w:val="28"/>
          <w:szCs w:val="28"/>
        </w:rPr>
        <w:t>规划限制</w:t>
      </w:r>
    </w:p>
    <w:p w14:paraId="01CA156B"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w:t>
      </w:r>
      <w:r>
        <w:rPr>
          <w:rFonts w:ascii="Arial" w:eastAsia="仿宋" w:hAnsi="Arial" w:cs="Arial"/>
          <w:sz w:val="28"/>
          <w:szCs w:val="28"/>
          <w:lang w:bidi="ar"/>
        </w:rPr>
        <w:t>北京市顺义区高丽营镇夏县营村</w:t>
      </w:r>
      <w:r>
        <w:rPr>
          <w:rFonts w:ascii="Arial" w:eastAsia="仿宋" w:hAnsi="Arial" w:cs="Arial"/>
          <w:sz w:val="28"/>
          <w:szCs w:val="28"/>
        </w:rPr>
        <w:t>，无特别规划限制，对估价对象土地发展利用无不利影响。</w:t>
      </w:r>
    </w:p>
    <w:p w14:paraId="40A468E3"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综上所述，估价对象所处区域</w:t>
      </w:r>
      <w:r>
        <w:rPr>
          <w:rFonts w:ascii="Arial" w:eastAsia="仿宋" w:hAnsi="Arial" w:cs="Arial"/>
          <w:iCs/>
          <w:sz w:val="28"/>
          <w:szCs w:val="28"/>
        </w:rPr>
        <w:t>地理位置条件</w:t>
      </w:r>
      <w:r>
        <w:rPr>
          <w:rFonts w:ascii="Arial" w:eastAsia="仿宋" w:hAnsi="Arial" w:cs="Arial"/>
          <w:iCs/>
          <w:sz w:val="28"/>
          <w:szCs w:val="28"/>
          <w:lang w:eastAsia="zh-Hans"/>
        </w:rPr>
        <w:t>较差</w:t>
      </w:r>
      <w:r>
        <w:rPr>
          <w:rFonts w:ascii="Arial" w:eastAsia="仿宋" w:hAnsi="Arial" w:cs="Arial"/>
          <w:iCs/>
          <w:sz w:val="28"/>
          <w:szCs w:val="28"/>
        </w:rPr>
        <w:t>、交通条件</w:t>
      </w:r>
      <w:r>
        <w:rPr>
          <w:rFonts w:ascii="Arial" w:eastAsia="仿宋" w:hAnsi="Arial" w:cs="Arial"/>
          <w:iCs/>
          <w:sz w:val="28"/>
          <w:szCs w:val="28"/>
          <w:lang w:eastAsia="zh-Hans"/>
        </w:rPr>
        <w:t>较差</w:t>
      </w:r>
      <w:r>
        <w:rPr>
          <w:rFonts w:ascii="Arial" w:eastAsia="仿宋" w:hAnsi="Arial" w:cs="Arial"/>
          <w:iCs/>
          <w:sz w:val="28"/>
          <w:szCs w:val="28"/>
        </w:rPr>
        <w:t>，公用设施一般，基础设施水平好，环境条件</w:t>
      </w:r>
      <w:r>
        <w:rPr>
          <w:rFonts w:ascii="Arial" w:eastAsia="仿宋" w:hAnsi="Arial" w:cs="Arial"/>
          <w:iCs/>
          <w:sz w:val="28"/>
          <w:szCs w:val="28"/>
          <w:lang w:eastAsia="zh-Hans"/>
        </w:rPr>
        <w:t>一般</w:t>
      </w:r>
      <w:r>
        <w:rPr>
          <w:rFonts w:ascii="Arial" w:eastAsia="仿宋" w:hAnsi="Arial" w:cs="Arial"/>
          <w:iCs/>
          <w:sz w:val="28"/>
          <w:szCs w:val="28"/>
        </w:rPr>
        <w:t>，</w:t>
      </w:r>
      <w:r>
        <w:rPr>
          <w:rFonts w:ascii="Arial" w:eastAsia="仿宋" w:hAnsi="Arial" w:cs="Arial"/>
          <w:iCs/>
          <w:sz w:val="28"/>
          <w:szCs w:val="28"/>
          <w:lang w:eastAsia="zh-Hans"/>
        </w:rPr>
        <w:t>居住社区成熟度一般，商业繁华程度较差，</w:t>
      </w:r>
      <w:r>
        <w:rPr>
          <w:rFonts w:ascii="Arial" w:eastAsia="仿宋" w:hAnsi="Arial" w:cs="Arial"/>
          <w:sz w:val="28"/>
          <w:szCs w:val="28"/>
          <w:lang w:eastAsia="zh-Hans"/>
        </w:rPr>
        <w:t>物业集聚程度</w:t>
      </w:r>
      <w:r>
        <w:rPr>
          <w:rFonts w:ascii="Arial" w:eastAsia="仿宋" w:hAnsi="Arial" w:cs="Arial"/>
          <w:iCs/>
          <w:sz w:val="28"/>
          <w:szCs w:val="28"/>
          <w:lang w:eastAsia="zh-Hans"/>
        </w:rPr>
        <w:t>较差</w:t>
      </w:r>
      <w:r>
        <w:rPr>
          <w:rFonts w:ascii="Arial" w:eastAsia="仿宋" w:hAnsi="Arial" w:cs="Arial"/>
          <w:iCs/>
          <w:sz w:val="28"/>
          <w:szCs w:val="28"/>
        </w:rPr>
        <w:t>。综合区域发展空间进行综合评价，</w:t>
      </w:r>
      <w:r>
        <w:rPr>
          <w:rFonts w:ascii="Arial" w:eastAsia="仿宋" w:hAnsi="Arial" w:cs="Arial"/>
          <w:sz w:val="28"/>
          <w:szCs w:val="28"/>
        </w:rPr>
        <w:t>总体评价影响估价对象的区域因素</w:t>
      </w:r>
      <w:r>
        <w:rPr>
          <w:rFonts w:ascii="Arial" w:eastAsia="仿宋" w:hAnsi="Arial" w:cs="Arial"/>
          <w:iCs/>
          <w:sz w:val="28"/>
          <w:szCs w:val="28"/>
          <w:lang w:eastAsia="zh-Hans"/>
        </w:rPr>
        <w:t>较差</w:t>
      </w:r>
      <w:r>
        <w:rPr>
          <w:rFonts w:ascii="Arial" w:eastAsia="仿宋" w:hAnsi="Arial" w:cs="Arial"/>
          <w:sz w:val="28"/>
          <w:szCs w:val="28"/>
        </w:rPr>
        <w:t>。</w:t>
      </w:r>
    </w:p>
    <w:p w14:paraId="7E589D16" w14:textId="77777777" w:rsidR="0062768B" w:rsidRDefault="00136729">
      <w:pPr>
        <w:adjustRightInd/>
        <w:spacing w:line="300" w:lineRule="auto"/>
        <w:jc w:val="both"/>
        <w:rPr>
          <w:rFonts w:ascii="Arial" w:eastAsia="仿宋" w:hAnsi="Arial" w:cs="Arial"/>
          <w:sz w:val="28"/>
          <w:szCs w:val="28"/>
        </w:rPr>
      </w:pPr>
      <w:r>
        <w:rPr>
          <w:rFonts w:ascii="Arial" w:eastAsia="仿宋" w:hAnsi="Arial" w:cs="Arial"/>
          <w:sz w:val="28"/>
          <w:szCs w:val="28"/>
        </w:rPr>
        <w:t>（三）个别因素</w:t>
      </w:r>
    </w:p>
    <w:p w14:paraId="288F56EB"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w:t>
      </w:r>
      <w:r>
        <w:rPr>
          <w:rFonts w:ascii="Arial" w:eastAsia="仿宋" w:hAnsi="Arial" w:cs="Arial"/>
          <w:sz w:val="28"/>
          <w:szCs w:val="28"/>
          <w:lang w:bidi="ar"/>
        </w:rPr>
        <w:t>北京市顺义区高丽营镇夏县营村</w:t>
      </w:r>
      <w:r>
        <w:rPr>
          <w:rFonts w:ascii="Arial" w:eastAsia="仿宋" w:hAnsi="Arial" w:cs="Arial"/>
          <w:sz w:val="28"/>
          <w:szCs w:val="28"/>
        </w:rPr>
        <w:t>，为北京市顺义区高丽营镇夏县营村</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地块</w:t>
      </w:r>
      <w:r>
        <w:rPr>
          <w:rFonts w:ascii="Arial" w:eastAsia="仿宋" w:hAnsi="Arial" w:cs="Arial"/>
          <w:sz w:val="28"/>
          <w:szCs w:val="28"/>
        </w:rPr>
        <w:t>R2</w:t>
      </w:r>
      <w:proofErr w:type="gramStart"/>
      <w:r>
        <w:rPr>
          <w:rFonts w:ascii="Arial" w:eastAsia="仿宋" w:hAnsi="Arial" w:cs="Arial"/>
          <w:sz w:val="28"/>
          <w:szCs w:val="28"/>
        </w:rPr>
        <w:t>二</w:t>
      </w:r>
      <w:proofErr w:type="gramEnd"/>
      <w:r>
        <w:rPr>
          <w:rFonts w:ascii="Arial" w:eastAsia="仿宋" w:hAnsi="Arial" w:cs="Arial"/>
          <w:sz w:val="28"/>
          <w:szCs w:val="28"/>
        </w:rPr>
        <w:t>类居住用地及</w:t>
      </w:r>
      <w:r>
        <w:rPr>
          <w:rFonts w:ascii="Arial" w:eastAsia="仿宋" w:hAnsi="Arial" w:cs="Arial"/>
          <w:sz w:val="28"/>
          <w:szCs w:val="28"/>
        </w:rPr>
        <w:t>01-020</w:t>
      </w:r>
      <w:r>
        <w:rPr>
          <w:rFonts w:ascii="Arial" w:eastAsia="仿宋" w:hAnsi="Arial" w:cs="Arial"/>
          <w:sz w:val="28"/>
          <w:szCs w:val="28"/>
        </w:rPr>
        <w:t>地块</w:t>
      </w:r>
      <w:r>
        <w:rPr>
          <w:rFonts w:ascii="Arial" w:eastAsia="仿宋" w:hAnsi="Arial" w:cs="Arial"/>
          <w:sz w:val="28"/>
          <w:szCs w:val="28"/>
        </w:rPr>
        <w:t>A334</w:t>
      </w:r>
      <w:r>
        <w:rPr>
          <w:rFonts w:ascii="Arial" w:eastAsia="仿宋" w:hAnsi="Arial" w:cs="Arial"/>
          <w:sz w:val="28"/>
          <w:szCs w:val="28"/>
        </w:rPr>
        <w:t>托幼用地项目。根据《北京市人民政府关于更新出让国有建设用地使用权基准地价的通知》（京政发（</w:t>
      </w:r>
      <w:r>
        <w:rPr>
          <w:rFonts w:ascii="Arial" w:eastAsia="仿宋" w:hAnsi="Arial" w:cs="Arial"/>
          <w:sz w:val="28"/>
          <w:szCs w:val="28"/>
        </w:rPr>
        <w:t>2022</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号）的规定，估价对象属于住宅类九级</w:t>
      </w:r>
      <w:r>
        <w:rPr>
          <w:rFonts w:ascii="Arial" w:eastAsia="仿宋" w:hAnsi="Arial" w:cs="Arial"/>
          <w:sz w:val="28"/>
          <w:szCs w:val="28"/>
        </w:rPr>
        <w:t>IX-</w:t>
      </w:r>
      <w:r>
        <w:rPr>
          <w:rFonts w:ascii="Arial" w:eastAsia="仿宋" w:hAnsi="Arial" w:cs="Arial"/>
          <w:sz w:val="28"/>
          <w:szCs w:val="28"/>
        </w:rPr>
        <w:t>顺</w:t>
      </w:r>
      <w:r>
        <w:rPr>
          <w:rFonts w:ascii="Arial" w:eastAsia="仿宋" w:hAnsi="Arial" w:cs="Arial"/>
          <w:sz w:val="28"/>
          <w:szCs w:val="28"/>
        </w:rPr>
        <w:t>5</w:t>
      </w:r>
      <w:r>
        <w:rPr>
          <w:rFonts w:ascii="Arial" w:eastAsia="仿宋" w:hAnsi="Arial" w:cs="Arial"/>
          <w:sz w:val="28"/>
          <w:szCs w:val="28"/>
        </w:rPr>
        <w:t>区片、</w:t>
      </w:r>
      <w:proofErr w:type="gramStart"/>
      <w:r>
        <w:rPr>
          <w:rFonts w:ascii="Arial" w:eastAsia="仿宋" w:hAnsi="Arial" w:cs="Arial"/>
          <w:sz w:val="28"/>
          <w:szCs w:val="28"/>
        </w:rPr>
        <w:t>商服类九级</w:t>
      </w:r>
      <w:proofErr w:type="gramEnd"/>
      <w:r>
        <w:rPr>
          <w:rFonts w:ascii="Arial" w:eastAsia="仿宋" w:hAnsi="Arial" w:cs="Arial"/>
          <w:sz w:val="28"/>
          <w:szCs w:val="28"/>
        </w:rPr>
        <w:t>IX-</w:t>
      </w:r>
      <w:r>
        <w:rPr>
          <w:rFonts w:ascii="Arial" w:eastAsia="仿宋" w:hAnsi="Arial" w:cs="Arial"/>
          <w:sz w:val="28"/>
          <w:szCs w:val="28"/>
        </w:rPr>
        <w:t>顺</w:t>
      </w:r>
      <w:r>
        <w:rPr>
          <w:rFonts w:ascii="Arial" w:eastAsia="仿宋" w:hAnsi="Arial" w:cs="Arial"/>
          <w:sz w:val="28"/>
          <w:szCs w:val="28"/>
        </w:rPr>
        <w:t>5</w:t>
      </w:r>
      <w:r>
        <w:rPr>
          <w:rFonts w:ascii="Arial" w:eastAsia="仿宋" w:hAnsi="Arial" w:cs="Arial"/>
          <w:sz w:val="28"/>
          <w:szCs w:val="28"/>
        </w:rPr>
        <w:t>区片、公共服务类九级</w:t>
      </w:r>
      <w:r>
        <w:rPr>
          <w:rFonts w:ascii="Arial" w:eastAsia="仿宋" w:hAnsi="Arial" w:cs="Arial"/>
          <w:sz w:val="28"/>
          <w:szCs w:val="28"/>
        </w:rPr>
        <w:t>IX-</w:t>
      </w:r>
      <w:r>
        <w:rPr>
          <w:rFonts w:ascii="Arial" w:eastAsia="仿宋" w:hAnsi="Arial" w:cs="Arial"/>
          <w:sz w:val="28"/>
          <w:szCs w:val="28"/>
        </w:rPr>
        <w:t>顺</w:t>
      </w:r>
      <w:r>
        <w:rPr>
          <w:rFonts w:ascii="Arial" w:eastAsia="仿宋" w:hAnsi="Arial" w:cs="Arial"/>
          <w:sz w:val="28"/>
          <w:szCs w:val="28"/>
        </w:rPr>
        <w:t>5</w:t>
      </w:r>
      <w:r>
        <w:rPr>
          <w:rFonts w:ascii="Arial" w:eastAsia="仿宋" w:hAnsi="Arial" w:cs="Arial"/>
          <w:sz w:val="28"/>
          <w:szCs w:val="28"/>
        </w:rPr>
        <w:t>区</w:t>
      </w:r>
      <w:proofErr w:type="gramStart"/>
      <w:r>
        <w:rPr>
          <w:rFonts w:ascii="Arial" w:eastAsia="仿宋" w:hAnsi="Arial" w:cs="Arial"/>
          <w:sz w:val="28"/>
          <w:szCs w:val="28"/>
        </w:rPr>
        <w:t>片范围</w:t>
      </w:r>
      <w:proofErr w:type="gramEnd"/>
      <w:r>
        <w:rPr>
          <w:rFonts w:ascii="Arial" w:eastAsia="仿宋" w:hAnsi="Arial" w:cs="Arial"/>
          <w:sz w:val="28"/>
          <w:szCs w:val="28"/>
        </w:rPr>
        <w:t>内。</w:t>
      </w:r>
    </w:p>
    <w:p w14:paraId="1E064E03"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临街道路状况</w:t>
      </w:r>
    </w:p>
    <w:p w14:paraId="72EB9E5B"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bCs/>
          <w:sz w:val="28"/>
          <w:szCs w:val="28"/>
        </w:rPr>
        <w:t>估价对象紧邻城市主干道</w:t>
      </w:r>
      <w:r>
        <w:rPr>
          <w:rFonts w:ascii="Arial" w:eastAsia="仿宋" w:hAnsi="Arial" w:cs="Arial"/>
          <w:bCs/>
          <w:sz w:val="28"/>
          <w:szCs w:val="28"/>
        </w:rPr>
        <w:t>——</w:t>
      </w:r>
      <w:proofErr w:type="gramStart"/>
      <w:r>
        <w:rPr>
          <w:rFonts w:ascii="Arial" w:eastAsia="仿宋" w:hAnsi="Arial" w:cs="Arial"/>
          <w:sz w:val="28"/>
          <w:szCs w:val="28"/>
        </w:rPr>
        <w:t>火寺路</w:t>
      </w:r>
      <w:proofErr w:type="gramEnd"/>
      <w:r>
        <w:rPr>
          <w:rFonts w:ascii="Arial" w:eastAsia="仿宋" w:hAnsi="Arial" w:cs="Arial"/>
          <w:bCs/>
          <w:sz w:val="28"/>
          <w:szCs w:val="28"/>
        </w:rPr>
        <w:t>。</w:t>
      </w:r>
      <w:r>
        <w:rPr>
          <w:rFonts w:ascii="Arial" w:eastAsia="仿宋" w:hAnsi="Arial" w:cs="Arial"/>
          <w:sz w:val="28"/>
          <w:szCs w:val="28"/>
        </w:rPr>
        <w:t>道路状况较好。</w:t>
      </w:r>
    </w:p>
    <w:p w14:paraId="5426FE05"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临街宽度和深度</w:t>
      </w:r>
    </w:p>
    <w:p w14:paraId="76EBF47C"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经土地估价专业评估师实地查勘，估价对象临街宽度与深度比例值较适合于住宅项目的开发，临街宽度和深度条件一般。</w:t>
      </w:r>
    </w:p>
    <w:p w14:paraId="550F1DC0"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宗地形状及可利用程度</w:t>
      </w:r>
    </w:p>
    <w:p w14:paraId="3FF52D62"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宗地形状规则，对宗地利用无不利影响</w:t>
      </w:r>
      <w:r>
        <w:rPr>
          <w:rFonts w:ascii="Arial" w:eastAsia="仿宋" w:hAnsi="Arial" w:cs="Arial"/>
          <w:sz w:val="28"/>
          <w:szCs w:val="28"/>
        </w:rPr>
        <w:t xml:space="preserve"> </w:t>
      </w:r>
      <w:r>
        <w:rPr>
          <w:rFonts w:ascii="Arial" w:eastAsia="仿宋" w:hAnsi="Arial" w:cs="Arial"/>
          <w:sz w:val="28"/>
          <w:szCs w:val="28"/>
        </w:rPr>
        <w:t>宗地形状及可利用程度好。</w:t>
      </w:r>
    </w:p>
    <w:p w14:paraId="3BDAF240"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地形、地质条件</w:t>
      </w:r>
    </w:p>
    <w:p w14:paraId="598C5F6F"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估价对象地形平坦，地基承载力基本满足建筑要求。</w:t>
      </w:r>
    </w:p>
    <w:p w14:paraId="79360B86"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 w:hAnsi="Arial" w:cs="Arial"/>
          <w:sz w:val="28"/>
          <w:szCs w:val="28"/>
        </w:rPr>
        <w:t>容积率</w:t>
      </w:r>
    </w:p>
    <w:p w14:paraId="29650A98"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估价对象容积率设定为</w:t>
      </w:r>
      <w:r>
        <w:rPr>
          <w:rFonts w:ascii="Arial" w:eastAsia="仿宋" w:hAnsi="Arial" w:cs="Arial"/>
          <w:sz w:val="28"/>
          <w:szCs w:val="28"/>
        </w:rPr>
        <w:t>1.2</w:t>
      </w:r>
      <w:r>
        <w:rPr>
          <w:rFonts w:ascii="Arial" w:eastAsia="仿宋" w:hAnsi="Arial" w:cs="Arial"/>
          <w:sz w:val="28"/>
          <w:szCs w:val="28"/>
        </w:rPr>
        <w:t>。</w:t>
      </w:r>
    </w:p>
    <w:p w14:paraId="245426E3"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 w:hAnsi="Arial" w:cs="Arial"/>
          <w:sz w:val="28"/>
          <w:szCs w:val="28"/>
        </w:rPr>
        <w:t>土地开发程度</w:t>
      </w:r>
    </w:p>
    <w:p w14:paraId="4B6498BF" w14:textId="2A09AEBC"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本次评估设定的估价对象土地开发程度为</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sidR="00835791">
        <w:rPr>
          <w:rFonts w:ascii="Arial" w:eastAsia="仿宋" w:hAnsi="Arial" w:cs="Arial"/>
          <w:sz w:val="28"/>
          <w:szCs w:val="28"/>
        </w:rPr>
        <w:t>（通路、通上水（自来水、中水）、通下水（雨水、污水）、通电、通燃气、通热力）</w:t>
      </w:r>
      <w:r>
        <w:rPr>
          <w:rFonts w:ascii="Arial" w:eastAsia="仿宋" w:hAnsi="Arial" w:cs="Arial"/>
          <w:sz w:val="28"/>
          <w:szCs w:val="28"/>
        </w:rPr>
        <w:t>。</w:t>
      </w:r>
    </w:p>
    <w:p w14:paraId="6D44BFC2"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规划条件</w:t>
      </w:r>
    </w:p>
    <w:p w14:paraId="017D76A8"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根据《北京市规划和自然资源委员会顺义分局关于顺义区高丽营镇夏县营村棚户区改造土地开发项目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01-015-1</w:t>
      </w:r>
      <w:r>
        <w:rPr>
          <w:rFonts w:ascii="Arial" w:eastAsia="仿宋" w:hAnsi="Arial" w:cs="Arial"/>
          <w:sz w:val="28"/>
          <w:szCs w:val="28"/>
        </w:rPr>
        <w:t>、</w:t>
      </w:r>
      <w:r>
        <w:rPr>
          <w:rFonts w:ascii="Arial" w:eastAsia="仿宋" w:hAnsi="Arial" w:cs="Arial"/>
          <w:sz w:val="28"/>
          <w:szCs w:val="28"/>
        </w:rPr>
        <w:t>01-015-2</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w:t>
      </w:r>
      <w:r>
        <w:rPr>
          <w:rFonts w:ascii="Arial" w:eastAsia="仿宋" w:hAnsi="Arial" w:cs="Arial"/>
          <w:sz w:val="28"/>
          <w:szCs w:val="28"/>
        </w:rPr>
        <w:t>01-025</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等二类居住用地、托幼用地、商业用地地块</w:t>
      </w:r>
      <w:r>
        <w:rPr>
          <w:rFonts w:ascii="Arial" w:eastAsia="仿宋" w:hAnsi="Arial" w:cs="Arial"/>
          <w:sz w:val="28"/>
          <w:szCs w:val="28"/>
        </w:rPr>
        <w:t>“</w:t>
      </w:r>
      <w:r>
        <w:rPr>
          <w:rFonts w:ascii="Arial" w:eastAsia="仿宋" w:hAnsi="Arial" w:cs="Arial"/>
          <w:sz w:val="28"/>
          <w:szCs w:val="28"/>
        </w:rPr>
        <w:t>多规合一</w:t>
      </w:r>
      <w:r>
        <w:rPr>
          <w:rFonts w:ascii="Arial" w:eastAsia="仿宋" w:hAnsi="Arial" w:cs="Arial"/>
          <w:sz w:val="28"/>
          <w:szCs w:val="28"/>
        </w:rPr>
        <w:t>”</w:t>
      </w:r>
      <w:r>
        <w:rPr>
          <w:rFonts w:ascii="Arial" w:eastAsia="仿宋" w:hAnsi="Arial" w:cs="Arial"/>
          <w:sz w:val="28"/>
          <w:szCs w:val="28"/>
        </w:rPr>
        <w:t>协同平台供地审核意见的函》（京</w:t>
      </w:r>
      <w:proofErr w:type="gramStart"/>
      <w:r>
        <w:rPr>
          <w:rFonts w:ascii="Arial" w:eastAsia="仿宋" w:hAnsi="Arial" w:cs="Arial"/>
          <w:sz w:val="28"/>
          <w:szCs w:val="28"/>
        </w:rPr>
        <w:t>规</w:t>
      </w:r>
      <w:proofErr w:type="gramEnd"/>
      <w:r>
        <w:rPr>
          <w:rFonts w:ascii="Arial" w:eastAsia="仿宋" w:hAnsi="Arial" w:cs="Arial"/>
          <w:sz w:val="28"/>
          <w:szCs w:val="28"/>
        </w:rPr>
        <w:t>自（顺）</w:t>
      </w:r>
      <w:proofErr w:type="gramStart"/>
      <w:r>
        <w:rPr>
          <w:rFonts w:ascii="Arial" w:eastAsia="仿宋" w:hAnsi="Arial" w:cs="Arial"/>
          <w:sz w:val="28"/>
          <w:szCs w:val="28"/>
        </w:rPr>
        <w:t>供审函</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0004</w:t>
      </w:r>
      <w:r>
        <w:rPr>
          <w:rFonts w:ascii="Arial" w:eastAsia="仿宋" w:hAnsi="Arial" w:cs="Arial"/>
          <w:sz w:val="28"/>
          <w:szCs w:val="28"/>
        </w:rPr>
        <w:t>号），本次估价对象</w:t>
      </w:r>
      <w:r>
        <w:rPr>
          <w:rFonts w:ascii="Arial" w:eastAsia="仿宋" w:hAnsi="Arial" w:cs="Arial"/>
          <w:sz w:val="28"/>
          <w:szCs w:val="28"/>
        </w:rPr>
        <w:t>01-008</w:t>
      </w:r>
      <w:r>
        <w:rPr>
          <w:rFonts w:ascii="Arial" w:eastAsia="仿宋" w:hAnsi="Arial" w:cs="Arial"/>
          <w:sz w:val="28"/>
          <w:szCs w:val="28"/>
        </w:rPr>
        <w:t>等地块共</w:t>
      </w:r>
      <w:r>
        <w:rPr>
          <w:rFonts w:ascii="Arial" w:eastAsia="仿宋" w:hAnsi="Arial" w:cs="Arial"/>
          <w:sz w:val="28"/>
          <w:szCs w:val="28"/>
        </w:rPr>
        <w:t>4</w:t>
      </w:r>
      <w:r>
        <w:rPr>
          <w:rFonts w:ascii="Arial" w:eastAsia="仿宋" w:hAnsi="Arial" w:cs="Arial"/>
          <w:sz w:val="28"/>
          <w:szCs w:val="28"/>
        </w:rPr>
        <w:t>宗地，用地规模合计为</w:t>
      </w:r>
      <w:r>
        <w:rPr>
          <w:rFonts w:ascii="Arial" w:eastAsia="仿宋" w:hAnsi="Arial" w:cs="Arial"/>
          <w:sz w:val="28"/>
          <w:szCs w:val="28"/>
        </w:rPr>
        <w:t>60990.43</w:t>
      </w:r>
      <w:r>
        <w:rPr>
          <w:rFonts w:ascii="Arial" w:eastAsia="仿宋" w:hAnsi="Arial" w:cs="Arial"/>
          <w:sz w:val="28"/>
          <w:szCs w:val="28"/>
        </w:rPr>
        <w:t>平方米，全部为建设用地，建筑规模合计为</w:t>
      </w:r>
      <w:r>
        <w:rPr>
          <w:rFonts w:ascii="Arial" w:eastAsia="仿宋" w:hAnsi="Arial" w:cs="Arial"/>
          <w:sz w:val="28"/>
          <w:szCs w:val="28"/>
        </w:rPr>
        <w:t>71508.52</w:t>
      </w:r>
      <w:r>
        <w:rPr>
          <w:rFonts w:ascii="Arial" w:eastAsia="仿宋" w:hAnsi="Arial" w:cs="Arial"/>
          <w:sz w:val="28"/>
          <w:szCs w:val="28"/>
        </w:rPr>
        <w:t>平方米。其中，估价对象</w:t>
      </w:r>
      <w:r>
        <w:rPr>
          <w:rFonts w:ascii="Arial" w:eastAsia="仿宋" w:hAnsi="Arial" w:cs="Arial"/>
          <w:sz w:val="28"/>
          <w:szCs w:val="28"/>
        </w:rPr>
        <w:t>01-008</w:t>
      </w:r>
      <w:r>
        <w:rPr>
          <w:rFonts w:ascii="Arial" w:eastAsia="仿宋" w:hAnsi="Arial" w:cs="Arial"/>
          <w:sz w:val="28"/>
          <w:szCs w:val="28"/>
        </w:rPr>
        <w:t>地块（</w:t>
      </w:r>
      <w:r>
        <w:rPr>
          <w:rFonts w:ascii="Arial" w:eastAsia="仿宋" w:hAnsi="Arial" w:cs="Arial"/>
          <w:sz w:val="28"/>
          <w:szCs w:val="28"/>
        </w:rPr>
        <w:t>R2</w:t>
      </w:r>
      <w:proofErr w:type="gramStart"/>
      <w:r>
        <w:rPr>
          <w:rFonts w:ascii="Arial" w:eastAsia="仿宋" w:hAnsi="Arial" w:cs="Arial"/>
          <w:sz w:val="28"/>
          <w:szCs w:val="28"/>
        </w:rPr>
        <w:t>二</w:t>
      </w:r>
      <w:proofErr w:type="gramEnd"/>
      <w:r>
        <w:rPr>
          <w:rFonts w:ascii="Arial" w:eastAsia="仿宋" w:hAnsi="Arial" w:cs="Arial"/>
          <w:sz w:val="28"/>
          <w:szCs w:val="28"/>
        </w:rPr>
        <w:t>类居住用地）建设用地规模为</w:t>
      </w:r>
      <w:r>
        <w:rPr>
          <w:rFonts w:ascii="Arial" w:eastAsia="仿宋" w:hAnsi="Arial" w:cs="Arial"/>
          <w:sz w:val="28"/>
          <w:szCs w:val="28"/>
        </w:rPr>
        <w:t>24804.85</w:t>
      </w:r>
      <w:r>
        <w:rPr>
          <w:rFonts w:ascii="Arial" w:eastAsia="仿宋" w:hAnsi="Arial" w:cs="Arial"/>
          <w:sz w:val="28"/>
          <w:szCs w:val="28"/>
        </w:rPr>
        <w:t>平方米，地上建筑规模为</w:t>
      </w:r>
      <w:r>
        <w:rPr>
          <w:rFonts w:ascii="Arial" w:eastAsia="仿宋" w:hAnsi="Arial" w:cs="Arial"/>
          <w:sz w:val="28"/>
          <w:szCs w:val="28"/>
        </w:rPr>
        <w:t>29765.82</w:t>
      </w:r>
      <w:r>
        <w:rPr>
          <w:rFonts w:ascii="Arial" w:eastAsia="仿宋" w:hAnsi="Arial" w:cs="Arial"/>
          <w:sz w:val="28"/>
          <w:szCs w:val="28"/>
        </w:rPr>
        <w:t>平方米，容积率为</w:t>
      </w:r>
      <w:r>
        <w:rPr>
          <w:rFonts w:ascii="Arial" w:eastAsia="仿宋" w:hAnsi="Arial" w:cs="Arial"/>
          <w:sz w:val="28"/>
          <w:szCs w:val="28"/>
        </w:rPr>
        <w:t>1.2</w:t>
      </w:r>
      <w:r>
        <w:rPr>
          <w:rFonts w:ascii="Arial" w:eastAsia="仿宋" w:hAnsi="Arial" w:cs="Arial"/>
          <w:sz w:val="28"/>
          <w:szCs w:val="28"/>
        </w:rPr>
        <w:t>；估价对象</w:t>
      </w:r>
      <w:r>
        <w:rPr>
          <w:rFonts w:ascii="Arial" w:eastAsia="仿宋" w:hAnsi="Arial" w:cs="Arial"/>
          <w:sz w:val="28"/>
          <w:szCs w:val="28"/>
        </w:rPr>
        <w:t>01-016</w:t>
      </w:r>
      <w:r>
        <w:rPr>
          <w:rFonts w:ascii="Arial" w:eastAsia="仿宋" w:hAnsi="Arial" w:cs="Arial"/>
          <w:sz w:val="28"/>
          <w:szCs w:val="28"/>
        </w:rPr>
        <w:t>地块（</w:t>
      </w:r>
      <w:r>
        <w:rPr>
          <w:rFonts w:ascii="Arial" w:eastAsia="仿宋" w:hAnsi="Arial" w:cs="Arial"/>
          <w:sz w:val="28"/>
          <w:szCs w:val="28"/>
        </w:rPr>
        <w:t>R2</w:t>
      </w:r>
      <w:proofErr w:type="gramStart"/>
      <w:r>
        <w:rPr>
          <w:rFonts w:ascii="Arial" w:eastAsia="仿宋" w:hAnsi="Arial" w:cs="Arial"/>
          <w:sz w:val="28"/>
          <w:szCs w:val="28"/>
        </w:rPr>
        <w:t>二</w:t>
      </w:r>
      <w:proofErr w:type="gramEnd"/>
      <w:r>
        <w:rPr>
          <w:rFonts w:ascii="Arial" w:eastAsia="仿宋" w:hAnsi="Arial" w:cs="Arial"/>
          <w:sz w:val="28"/>
          <w:szCs w:val="28"/>
        </w:rPr>
        <w:t>类居住用地）建设用地规模为</w:t>
      </w:r>
      <w:r>
        <w:rPr>
          <w:rFonts w:ascii="Arial" w:eastAsia="仿宋" w:hAnsi="Arial" w:cs="Arial"/>
          <w:sz w:val="28"/>
          <w:szCs w:val="28"/>
        </w:rPr>
        <w:t>23103.85</w:t>
      </w:r>
      <w:r>
        <w:rPr>
          <w:rFonts w:ascii="Arial" w:eastAsia="仿宋" w:hAnsi="Arial" w:cs="Arial"/>
          <w:sz w:val="28"/>
          <w:szCs w:val="28"/>
        </w:rPr>
        <w:t>平方米，地上建筑规模为</w:t>
      </w:r>
      <w:r>
        <w:rPr>
          <w:rFonts w:ascii="Arial" w:eastAsia="仿宋" w:hAnsi="Arial" w:cs="Arial"/>
          <w:sz w:val="28"/>
          <w:szCs w:val="28"/>
        </w:rPr>
        <w:t>27724.62</w:t>
      </w:r>
      <w:r>
        <w:rPr>
          <w:rFonts w:ascii="Arial" w:eastAsia="仿宋" w:hAnsi="Arial" w:cs="Arial"/>
          <w:sz w:val="28"/>
          <w:szCs w:val="28"/>
        </w:rPr>
        <w:t>平方米，容积率为</w:t>
      </w:r>
      <w:r>
        <w:rPr>
          <w:rFonts w:ascii="Arial" w:eastAsia="仿宋" w:hAnsi="Arial" w:cs="Arial"/>
          <w:sz w:val="28"/>
          <w:szCs w:val="28"/>
        </w:rPr>
        <w:t>1.2</w:t>
      </w:r>
      <w:r>
        <w:rPr>
          <w:rFonts w:ascii="Arial" w:eastAsia="仿宋" w:hAnsi="Arial" w:cs="Arial"/>
          <w:sz w:val="28"/>
          <w:szCs w:val="28"/>
        </w:rPr>
        <w:t>；</w:t>
      </w:r>
      <w:r>
        <w:rPr>
          <w:rFonts w:ascii="Arial" w:eastAsia="仿宋" w:hAnsi="Arial" w:cs="Arial"/>
          <w:sz w:val="28"/>
          <w:szCs w:val="28"/>
        </w:rPr>
        <w:t xml:space="preserve"> </w:t>
      </w:r>
      <w:r>
        <w:rPr>
          <w:rFonts w:ascii="Arial" w:eastAsia="仿宋" w:hAnsi="Arial" w:cs="Arial"/>
          <w:sz w:val="28"/>
          <w:szCs w:val="28"/>
        </w:rPr>
        <w:t>估价对象</w:t>
      </w:r>
      <w:r>
        <w:rPr>
          <w:rFonts w:ascii="Arial" w:eastAsia="仿宋" w:hAnsi="Arial" w:cs="Arial"/>
          <w:sz w:val="28"/>
          <w:szCs w:val="28"/>
        </w:rPr>
        <w:t>01-026-1</w:t>
      </w:r>
      <w:r>
        <w:rPr>
          <w:rFonts w:ascii="Arial" w:eastAsia="仿宋" w:hAnsi="Arial" w:cs="Arial"/>
          <w:sz w:val="28"/>
          <w:szCs w:val="28"/>
        </w:rPr>
        <w:t>地块（</w:t>
      </w:r>
      <w:r>
        <w:rPr>
          <w:rFonts w:ascii="Arial" w:eastAsia="仿宋" w:hAnsi="Arial" w:cs="Arial"/>
          <w:sz w:val="28"/>
          <w:szCs w:val="28"/>
        </w:rPr>
        <w:t>R2</w:t>
      </w:r>
      <w:proofErr w:type="gramStart"/>
      <w:r>
        <w:rPr>
          <w:rFonts w:ascii="Arial" w:eastAsia="仿宋" w:hAnsi="Arial" w:cs="Arial"/>
          <w:sz w:val="28"/>
          <w:szCs w:val="28"/>
        </w:rPr>
        <w:t>二</w:t>
      </w:r>
      <w:proofErr w:type="gramEnd"/>
      <w:r>
        <w:rPr>
          <w:rFonts w:ascii="Arial" w:eastAsia="仿宋" w:hAnsi="Arial" w:cs="Arial"/>
          <w:sz w:val="28"/>
          <w:szCs w:val="28"/>
        </w:rPr>
        <w:t>类居住用地）建设用地规模为</w:t>
      </w:r>
      <w:r>
        <w:rPr>
          <w:rFonts w:ascii="Arial" w:eastAsia="仿宋" w:hAnsi="Arial" w:cs="Arial"/>
          <w:sz w:val="28"/>
          <w:szCs w:val="28"/>
        </w:rPr>
        <w:t>8881.75</w:t>
      </w:r>
      <w:r>
        <w:rPr>
          <w:rFonts w:ascii="Arial" w:eastAsia="仿宋" w:hAnsi="Arial" w:cs="Arial"/>
          <w:sz w:val="28"/>
          <w:szCs w:val="28"/>
        </w:rPr>
        <w:t>平方米，地上建筑规模为</w:t>
      </w:r>
      <w:r>
        <w:rPr>
          <w:rFonts w:ascii="Arial" w:eastAsia="仿宋" w:hAnsi="Arial" w:cs="Arial"/>
          <w:sz w:val="28"/>
          <w:szCs w:val="28"/>
        </w:rPr>
        <w:t>10658.10</w:t>
      </w:r>
      <w:r>
        <w:rPr>
          <w:rFonts w:ascii="Arial" w:eastAsia="仿宋" w:hAnsi="Arial" w:cs="Arial"/>
          <w:sz w:val="28"/>
          <w:szCs w:val="28"/>
        </w:rPr>
        <w:t>平方米，容积率为</w:t>
      </w:r>
      <w:r>
        <w:rPr>
          <w:rFonts w:ascii="Arial" w:eastAsia="仿宋" w:hAnsi="Arial" w:cs="Arial"/>
          <w:sz w:val="28"/>
          <w:szCs w:val="28"/>
        </w:rPr>
        <w:t>1.2</w:t>
      </w:r>
      <w:r>
        <w:rPr>
          <w:rFonts w:ascii="Arial" w:eastAsia="仿宋" w:hAnsi="Arial" w:cs="Arial"/>
          <w:sz w:val="28"/>
          <w:szCs w:val="28"/>
        </w:rPr>
        <w:t>；另有估价对象</w:t>
      </w:r>
      <w:r>
        <w:rPr>
          <w:rFonts w:ascii="Arial" w:eastAsia="仿宋" w:hAnsi="Arial" w:cs="Arial"/>
          <w:sz w:val="28"/>
          <w:szCs w:val="28"/>
        </w:rPr>
        <w:t>01-020</w:t>
      </w:r>
      <w:r>
        <w:rPr>
          <w:rFonts w:ascii="Arial" w:eastAsia="仿宋" w:hAnsi="Arial" w:cs="Arial"/>
          <w:sz w:val="28"/>
          <w:szCs w:val="28"/>
        </w:rPr>
        <w:t>地块（</w:t>
      </w:r>
      <w:r>
        <w:rPr>
          <w:rFonts w:ascii="Arial" w:eastAsia="仿宋" w:hAnsi="Arial" w:cs="Arial"/>
          <w:sz w:val="28"/>
          <w:szCs w:val="28"/>
        </w:rPr>
        <w:t>A334</w:t>
      </w:r>
      <w:r>
        <w:rPr>
          <w:rFonts w:ascii="Arial" w:eastAsia="仿宋" w:hAnsi="Arial" w:cs="Arial"/>
          <w:sz w:val="28"/>
          <w:szCs w:val="28"/>
        </w:rPr>
        <w:t>托幼用地，不出让）建设用地规模为</w:t>
      </w:r>
      <w:r>
        <w:rPr>
          <w:rFonts w:ascii="Arial" w:eastAsia="仿宋" w:hAnsi="Arial" w:cs="Arial"/>
          <w:sz w:val="28"/>
          <w:szCs w:val="28"/>
        </w:rPr>
        <w:t>4199.98</w:t>
      </w:r>
      <w:r>
        <w:rPr>
          <w:rFonts w:ascii="Arial" w:eastAsia="仿宋" w:hAnsi="Arial" w:cs="Arial"/>
          <w:sz w:val="28"/>
          <w:szCs w:val="28"/>
        </w:rPr>
        <w:t>平方米，地上建筑规模为</w:t>
      </w:r>
      <w:r>
        <w:rPr>
          <w:rFonts w:ascii="Arial" w:eastAsia="仿宋" w:hAnsi="Arial" w:cs="Arial"/>
          <w:sz w:val="28"/>
          <w:szCs w:val="28"/>
        </w:rPr>
        <w:t>3359.98</w:t>
      </w:r>
      <w:r>
        <w:rPr>
          <w:rFonts w:ascii="Arial" w:eastAsia="仿宋" w:hAnsi="Arial" w:cs="Arial"/>
          <w:sz w:val="28"/>
          <w:szCs w:val="28"/>
        </w:rPr>
        <w:t>平方米，容积率为</w:t>
      </w:r>
      <w:r>
        <w:rPr>
          <w:rFonts w:ascii="Arial" w:eastAsia="仿宋" w:hAnsi="Arial" w:cs="Arial"/>
          <w:sz w:val="28"/>
          <w:szCs w:val="28"/>
        </w:rPr>
        <w:t>0.8</w:t>
      </w:r>
      <w:r>
        <w:rPr>
          <w:rFonts w:ascii="Arial" w:eastAsia="仿宋" w:hAnsi="Arial" w:cs="Arial"/>
          <w:sz w:val="28"/>
          <w:szCs w:val="28"/>
        </w:rPr>
        <w:t>。根据《北京市人民政府关于更新出让国有建设用地使用权基准地价的通知》（京政发（</w:t>
      </w:r>
      <w:r>
        <w:rPr>
          <w:rFonts w:ascii="Arial" w:eastAsia="仿宋" w:hAnsi="Arial" w:cs="Arial"/>
          <w:sz w:val="28"/>
          <w:szCs w:val="28"/>
        </w:rPr>
        <w:t>2022</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号）中的相关规定，本次评估</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地块（</w:t>
      </w:r>
      <w:r>
        <w:rPr>
          <w:rFonts w:ascii="Arial" w:eastAsia="仿宋" w:hAnsi="Arial" w:cs="Arial"/>
          <w:sz w:val="28"/>
          <w:szCs w:val="28"/>
        </w:rPr>
        <w:t>R2</w:t>
      </w:r>
      <w:proofErr w:type="gramStart"/>
      <w:r>
        <w:rPr>
          <w:rFonts w:ascii="Arial" w:eastAsia="仿宋" w:hAnsi="Arial" w:cs="Arial"/>
          <w:sz w:val="28"/>
          <w:szCs w:val="28"/>
        </w:rPr>
        <w:t>二</w:t>
      </w:r>
      <w:proofErr w:type="gramEnd"/>
      <w:r>
        <w:rPr>
          <w:rFonts w:ascii="Arial" w:eastAsia="仿宋" w:hAnsi="Arial" w:cs="Arial"/>
          <w:sz w:val="28"/>
          <w:szCs w:val="28"/>
        </w:rPr>
        <w:t>类居住用地）容积率为</w:t>
      </w:r>
      <w:r>
        <w:rPr>
          <w:rFonts w:ascii="Arial" w:eastAsia="仿宋" w:hAnsi="Arial" w:cs="Arial"/>
          <w:sz w:val="28"/>
          <w:szCs w:val="28"/>
        </w:rPr>
        <w:t>1.2</w:t>
      </w:r>
      <w:r>
        <w:rPr>
          <w:rFonts w:ascii="Arial" w:eastAsia="仿宋" w:hAnsi="Arial" w:cs="Arial"/>
          <w:sz w:val="28"/>
          <w:szCs w:val="28"/>
        </w:rPr>
        <w:t>。</w:t>
      </w:r>
    </w:p>
    <w:p w14:paraId="453DC434"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本次拟出让建设用地规模为</w:t>
      </w:r>
      <w:r>
        <w:rPr>
          <w:rFonts w:ascii="Arial" w:eastAsia="仿宋" w:hAnsi="Arial" w:cs="Arial"/>
          <w:sz w:val="28"/>
          <w:szCs w:val="28"/>
        </w:rPr>
        <w:t>56790.45</w:t>
      </w:r>
      <w:r>
        <w:rPr>
          <w:rFonts w:ascii="Arial" w:eastAsia="仿宋" w:hAnsi="Arial" w:cs="Arial"/>
          <w:sz w:val="28"/>
          <w:szCs w:val="28"/>
        </w:rPr>
        <w:t>平方米，具体规划主要技术经济指标详见下表：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443"/>
        <w:gridCol w:w="1119"/>
        <w:gridCol w:w="1248"/>
        <w:gridCol w:w="1586"/>
        <w:gridCol w:w="862"/>
        <w:gridCol w:w="1671"/>
        <w:gridCol w:w="1294"/>
        <w:gridCol w:w="849"/>
      </w:tblGrid>
      <w:tr w:rsidR="0062768B" w14:paraId="30080589" w14:textId="77777777">
        <w:trPr>
          <w:cantSplit/>
          <w:jc w:val="center"/>
        </w:trPr>
        <w:tc>
          <w:tcPr>
            <w:tcW w:w="244" w:type="pct"/>
            <w:vAlign w:val="center"/>
          </w:tcPr>
          <w:p w14:paraId="207E1DE4"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序号</w:t>
            </w:r>
          </w:p>
        </w:tc>
        <w:tc>
          <w:tcPr>
            <w:tcW w:w="617" w:type="pct"/>
            <w:vAlign w:val="center"/>
          </w:tcPr>
          <w:p w14:paraId="214D6B0D"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规划地块编号</w:t>
            </w:r>
          </w:p>
        </w:tc>
        <w:tc>
          <w:tcPr>
            <w:tcW w:w="688" w:type="pct"/>
            <w:vAlign w:val="center"/>
          </w:tcPr>
          <w:p w14:paraId="3210A68B"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用地性质</w:t>
            </w:r>
          </w:p>
        </w:tc>
        <w:tc>
          <w:tcPr>
            <w:tcW w:w="874" w:type="pct"/>
            <w:vAlign w:val="center"/>
          </w:tcPr>
          <w:p w14:paraId="43D1EDA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建设用地规模</w:t>
            </w:r>
          </w:p>
          <w:p w14:paraId="6796DA43"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（平方米）</w:t>
            </w:r>
          </w:p>
        </w:tc>
        <w:tc>
          <w:tcPr>
            <w:tcW w:w="475" w:type="pct"/>
            <w:vAlign w:val="center"/>
          </w:tcPr>
          <w:p w14:paraId="214017D4"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容积率</w:t>
            </w:r>
          </w:p>
        </w:tc>
        <w:tc>
          <w:tcPr>
            <w:tcW w:w="921" w:type="pct"/>
            <w:vAlign w:val="center"/>
          </w:tcPr>
          <w:p w14:paraId="32DEF18A"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地上建筑规模</w:t>
            </w:r>
          </w:p>
          <w:p w14:paraId="2DE5069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（平方米）</w:t>
            </w:r>
          </w:p>
        </w:tc>
        <w:tc>
          <w:tcPr>
            <w:tcW w:w="713" w:type="pct"/>
            <w:vAlign w:val="center"/>
          </w:tcPr>
          <w:p w14:paraId="463A7EF6" w14:textId="77777777" w:rsidR="0062768B" w:rsidRDefault="00136729">
            <w:pPr>
              <w:widowControl/>
              <w:adjustRightInd/>
              <w:spacing w:line="240" w:lineRule="exact"/>
              <w:jc w:val="center"/>
              <w:textAlignment w:val="auto"/>
              <w:rPr>
                <w:rFonts w:ascii="Arial" w:eastAsia="仿宋" w:hAnsi="Arial" w:cs="Arial"/>
                <w:sz w:val="18"/>
                <w:szCs w:val="18"/>
              </w:rPr>
            </w:pPr>
            <w:r>
              <w:rPr>
                <w:rFonts w:ascii="Arial" w:eastAsia="仿宋" w:hAnsi="Arial" w:cs="Arial"/>
                <w:sz w:val="18"/>
                <w:szCs w:val="18"/>
              </w:rPr>
              <w:t>控制高度（</w:t>
            </w:r>
            <w:r>
              <w:rPr>
                <w:rFonts w:ascii="Arial" w:eastAsia="仿宋" w:hAnsi="Arial" w:cs="Arial"/>
                <w:sz w:val="18"/>
                <w:szCs w:val="18"/>
              </w:rPr>
              <w:t>m</w:t>
            </w:r>
            <w:r>
              <w:rPr>
                <w:rFonts w:ascii="Arial" w:eastAsia="仿宋" w:hAnsi="Arial" w:cs="Arial"/>
                <w:sz w:val="18"/>
                <w:szCs w:val="18"/>
              </w:rPr>
              <w:t>）</w:t>
            </w:r>
          </w:p>
        </w:tc>
        <w:tc>
          <w:tcPr>
            <w:tcW w:w="468" w:type="pct"/>
            <w:vAlign w:val="center"/>
          </w:tcPr>
          <w:p w14:paraId="4D256E5F"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是否出让</w:t>
            </w:r>
          </w:p>
        </w:tc>
      </w:tr>
      <w:tr w:rsidR="0062768B" w14:paraId="7F9E1D5B" w14:textId="77777777">
        <w:trPr>
          <w:cantSplit/>
          <w:jc w:val="center"/>
        </w:trPr>
        <w:tc>
          <w:tcPr>
            <w:tcW w:w="244" w:type="pct"/>
            <w:vAlign w:val="center"/>
          </w:tcPr>
          <w:p w14:paraId="3EC91623"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w:t>
            </w:r>
          </w:p>
        </w:tc>
        <w:tc>
          <w:tcPr>
            <w:tcW w:w="617" w:type="pct"/>
            <w:vAlign w:val="center"/>
          </w:tcPr>
          <w:p w14:paraId="43630D7D"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01-008</w:t>
            </w:r>
          </w:p>
        </w:tc>
        <w:tc>
          <w:tcPr>
            <w:tcW w:w="688" w:type="pct"/>
            <w:vMerge w:val="restart"/>
            <w:vAlign w:val="center"/>
          </w:tcPr>
          <w:p w14:paraId="4A0946E8"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p>
        </w:tc>
        <w:tc>
          <w:tcPr>
            <w:tcW w:w="874" w:type="pct"/>
            <w:vAlign w:val="center"/>
          </w:tcPr>
          <w:p w14:paraId="60F20B98"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24804.85</w:t>
            </w:r>
          </w:p>
        </w:tc>
        <w:tc>
          <w:tcPr>
            <w:tcW w:w="475" w:type="pct"/>
            <w:vMerge w:val="restart"/>
            <w:vAlign w:val="center"/>
          </w:tcPr>
          <w:p w14:paraId="40B3B3D7"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1.2</w:t>
            </w:r>
          </w:p>
        </w:tc>
        <w:tc>
          <w:tcPr>
            <w:tcW w:w="921" w:type="pct"/>
            <w:vAlign w:val="center"/>
          </w:tcPr>
          <w:p w14:paraId="49070EFB"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29765.82</w:t>
            </w:r>
          </w:p>
        </w:tc>
        <w:tc>
          <w:tcPr>
            <w:tcW w:w="713" w:type="pct"/>
            <w:vMerge w:val="restart"/>
            <w:vAlign w:val="center"/>
          </w:tcPr>
          <w:p w14:paraId="2ED67ECA"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30</w:t>
            </w:r>
          </w:p>
        </w:tc>
        <w:tc>
          <w:tcPr>
            <w:tcW w:w="468" w:type="pct"/>
            <w:vMerge w:val="restart"/>
            <w:vAlign w:val="center"/>
          </w:tcPr>
          <w:p w14:paraId="75CAC96C"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出让</w:t>
            </w:r>
          </w:p>
        </w:tc>
      </w:tr>
      <w:tr w:rsidR="0062768B" w14:paraId="74C602B7" w14:textId="77777777">
        <w:trPr>
          <w:cantSplit/>
          <w:jc w:val="center"/>
        </w:trPr>
        <w:tc>
          <w:tcPr>
            <w:tcW w:w="244" w:type="pct"/>
            <w:vAlign w:val="center"/>
          </w:tcPr>
          <w:p w14:paraId="6FD92644"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w:t>
            </w:r>
          </w:p>
        </w:tc>
        <w:tc>
          <w:tcPr>
            <w:tcW w:w="617" w:type="pct"/>
            <w:vAlign w:val="center"/>
          </w:tcPr>
          <w:p w14:paraId="789DE26E"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01-016</w:t>
            </w:r>
          </w:p>
        </w:tc>
        <w:tc>
          <w:tcPr>
            <w:tcW w:w="688" w:type="pct"/>
            <w:vMerge/>
            <w:vAlign w:val="center"/>
          </w:tcPr>
          <w:p w14:paraId="5C048D2C" w14:textId="77777777" w:rsidR="0062768B" w:rsidRDefault="0062768B">
            <w:pPr>
              <w:adjustRightInd/>
              <w:spacing w:line="240" w:lineRule="exact"/>
              <w:jc w:val="center"/>
              <w:rPr>
                <w:rFonts w:ascii="Arial" w:eastAsia="仿宋" w:hAnsi="Arial" w:cs="Arial"/>
                <w:sz w:val="18"/>
                <w:szCs w:val="18"/>
              </w:rPr>
            </w:pPr>
          </w:p>
        </w:tc>
        <w:tc>
          <w:tcPr>
            <w:tcW w:w="874" w:type="pct"/>
            <w:vAlign w:val="center"/>
          </w:tcPr>
          <w:p w14:paraId="35A8AA8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23103.85</w:t>
            </w:r>
          </w:p>
        </w:tc>
        <w:tc>
          <w:tcPr>
            <w:tcW w:w="475" w:type="pct"/>
            <w:vMerge/>
            <w:vAlign w:val="center"/>
          </w:tcPr>
          <w:p w14:paraId="22A2B2D8" w14:textId="77777777" w:rsidR="0062768B" w:rsidRDefault="0062768B">
            <w:pPr>
              <w:adjustRightInd/>
              <w:spacing w:line="240" w:lineRule="exact"/>
              <w:jc w:val="center"/>
              <w:rPr>
                <w:rFonts w:ascii="Arial" w:eastAsia="仿宋" w:hAnsi="Arial" w:cs="Arial"/>
                <w:sz w:val="18"/>
                <w:szCs w:val="18"/>
              </w:rPr>
            </w:pPr>
          </w:p>
        </w:tc>
        <w:tc>
          <w:tcPr>
            <w:tcW w:w="921" w:type="pct"/>
            <w:vAlign w:val="center"/>
          </w:tcPr>
          <w:p w14:paraId="56B3CBFA"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27724.62</w:t>
            </w:r>
          </w:p>
        </w:tc>
        <w:tc>
          <w:tcPr>
            <w:tcW w:w="713" w:type="pct"/>
            <w:vMerge/>
            <w:vAlign w:val="center"/>
          </w:tcPr>
          <w:p w14:paraId="4AA528E9" w14:textId="77777777" w:rsidR="0062768B" w:rsidRDefault="0062768B">
            <w:pPr>
              <w:adjustRightInd/>
              <w:spacing w:line="240" w:lineRule="exact"/>
              <w:jc w:val="center"/>
              <w:rPr>
                <w:rFonts w:ascii="Arial" w:eastAsia="仿宋" w:hAnsi="Arial" w:cs="Arial"/>
                <w:sz w:val="18"/>
                <w:szCs w:val="18"/>
              </w:rPr>
            </w:pPr>
          </w:p>
        </w:tc>
        <w:tc>
          <w:tcPr>
            <w:tcW w:w="468" w:type="pct"/>
            <w:vMerge/>
            <w:vAlign w:val="center"/>
          </w:tcPr>
          <w:p w14:paraId="3D1F4C7C" w14:textId="77777777" w:rsidR="0062768B" w:rsidRDefault="0062768B">
            <w:pPr>
              <w:adjustRightInd/>
              <w:spacing w:line="240" w:lineRule="exact"/>
              <w:jc w:val="center"/>
              <w:rPr>
                <w:rFonts w:ascii="Arial" w:eastAsia="仿宋" w:hAnsi="Arial" w:cs="Arial"/>
                <w:sz w:val="18"/>
                <w:szCs w:val="18"/>
              </w:rPr>
            </w:pPr>
          </w:p>
        </w:tc>
      </w:tr>
      <w:tr w:rsidR="0062768B" w14:paraId="77D7CAC5" w14:textId="77777777">
        <w:trPr>
          <w:cantSplit/>
          <w:jc w:val="center"/>
        </w:trPr>
        <w:tc>
          <w:tcPr>
            <w:tcW w:w="244" w:type="pct"/>
            <w:vAlign w:val="center"/>
          </w:tcPr>
          <w:p w14:paraId="6B63263B"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3</w:t>
            </w:r>
          </w:p>
        </w:tc>
        <w:tc>
          <w:tcPr>
            <w:tcW w:w="617" w:type="pct"/>
            <w:vAlign w:val="center"/>
          </w:tcPr>
          <w:p w14:paraId="55BE9A19"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01-026-1</w:t>
            </w:r>
          </w:p>
        </w:tc>
        <w:tc>
          <w:tcPr>
            <w:tcW w:w="688" w:type="pct"/>
            <w:vMerge/>
            <w:vAlign w:val="center"/>
          </w:tcPr>
          <w:p w14:paraId="0C2A83E2" w14:textId="77777777" w:rsidR="0062768B" w:rsidRDefault="0062768B">
            <w:pPr>
              <w:adjustRightInd/>
              <w:spacing w:line="240" w:lineRule="exact"/>
              <w:jc w:val="center"/>
              <w:rPr>
                <w:rFonts w:ascii="Arial" w:eastAsia="仿宋" w:hAnsi="Arial" w:cs="Arial"/>
                <w:sz w:val="18"/>
                <w:szCs w:val="18"/>
              </w:rPr>
            </w:pPr>
          </w:p>
        </w:tc>
        <w:tc>
          <w:tcPr>
            <w:tcW w:w="874" w:type="pct"/>
            <w:vAlign w:val="center"/>
          </w:tcPr>
          <w:p w14:paraId="56121D90"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8881.75</w:t>
            </w:r>
          </w:p>
        </w:tc>
        <w:tc>
          <w:tcPr>
            <w:tcW w:w="475" w:type="pct"/>
            <w:vMerge/>
            <w:vAlign w:val="center"/>
          </w:tcPr>
          <w:p w14:paraId="1004FA74" w14:textId="77777777" w:rsidR="0062768B" w:rsidRDefault="0062768B">
            <w:pPr>
              <w:adjustRightInd/>
              <w:spacing w:line="240" w:lineRule="exact"/>
              <w:jc w:val="center"/>
              <w:rPr>
                <w:rFonts w:ascii="Arial" w:eastAsia="仿宋" w:hAnsi="Arial" w:cs="Arial"/>
                <w:sz w:val="18"/>
                <w:szCs w:val="18"/>
              </w:rPr>
            </w:pPr>
          </w:p>
        </w:tc>
        <w:tc>
          <w:tcPr>
            <w:tcW w:w="921" w:type="pct"/>
            <w:vAlign w:val="center"/>
          </w:tcPr>
          <w:p w14:paraId="2A08DF27"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10658.10</w:t>
            </w:r>
          </w:p>
        </w:tc>
        <w:tc>
          <w:tcPr>
            <w:tcW w:w="713" w:type="pct"/>
            <w:vMerge/>
            <w:vAlign w:val="center"/>
          </w:tcPr>
          <w:p w14:paraId="316598AF" w14:textId="77777777" w:rsidR="0062768B" w:rsidRDefault="0062768B">
            <w:pPr>
              <w:adjustRightInd/>
              <w:spacing w:line="240" w:lineRule="exact"/>
              <w:jc w:val="center"/>
              <w:rPr>
                <w:rFonts w:ascii="Arial" w:eastAsia="仿宋" w:hAnsi="Arial" w:cs="Arial"/>
                <w:sz w:val="18"/>
                <w:szCs w:val="18"/>
              </w:rPr>
            </w:pPr>
          </w:p>
        </w:tc>
        <w:tc>
          <w:tcPr>
            <w:tcW w:w="468" w:type="pct"/>
            <w:vMerge/>
            <w:vAlign w:val="center"/>
          </w:tcPr>
          <w:p w14:paraId="219F5049" w14:textId="77777777" w:rsidR="0062768B" w:rsidRDefault="0062768B">
            <w:pPr>
              <w:adjustRightInd/>
              <w:spacing w:line="240" w:lineRule="exact"/>
              <w:jc w:val="center"/>
              <w:rPr>
                <w:rFonts w:ascii="Arial" w:eastAsia="仿宋" w:hAnsi="Arial" w:cs="Arial"/>
                <w:sz w:val="18"/>
                <w:szCs w:val="18"/>
              </w:rPr>
            </w:pPr>
          </w:p>
        </w:tc>
      </w:tr>
      <w:tr w:rsidR="0062768B" w14:paraId="0F8689B7" w14:textId="77777777">
        <w:trPr>
          <w:cantSplit/>
          <w:jc w:val="center"/>
        </w:trPr>
        <w:tc>
          <w:tcPr>
            <w:tcW w:w="1549" w:type="pct"/>
            <w:gridSpan w:val="3"/>
            <w:vAlign w:val="center"/>
          </w:tcPr>
          <w:p w14:paraId="2C8AE7FF"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合计</w:t>
            </w:r>
          </w:p>
        </w:tc>
        <w:tc>
          <w:tcPr>
            <w:tcW w:w="874" w:type="pct"/>
            <w:vAlign w:val="center"/>
          </w:tcPr>
          <w:p w14:paraId="67F2E1FF"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56790.45</w:t>
            </w:r>
          </w:p>
        </w:tc>
        <w:tc>
          <w:tcPr>
            <w:tcW w:w="475" w:type="pct"/>
            <w:vAlign w:val="center"/>
          </w:tcPr>
          <w:p w14:paraId="6BD4F4F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1.2</w:t>
            </w:r>
          </w:p>
        </w:tc>
        <w:tc>
          <w:tcPr>
            <w:tcW w:w="921" w:type="pct"/>
            <w:vAlign w:val="center"/>
          </w:tcPr>
          <w:p w14:paraId="63C66ED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68148.54</w:t>
            </w:r>
          </w:p>
        </w:tc>
        <w:tc>
          <w:tcPr>
            <w:tcW w:w="1181" w:type="pct"/>
            <w:gridSpan w:val="2"/>
            <w:vAlign w:val="center"/>
          </w:tcPr>
          <w:p w14:paraId="4E96F01E"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w:t>
            </w:r>
          </w:p>
        </w:tc>
      </w:tr>
    </w:tbl>
    <w:p w14:paraId="375DEAA7" w14:textId="77777777" w:rsidR="0062768B" w:rsidRDefault="00136729">
      <w:pPr>
        <w:spacing w:line="300" w:lineRule="auto"/>
        <w:ind w:firstLineChars="200" w:firstLine="560"/>
        <w:jc w:val="both"/>
        <w:rPr>
          <w:rFonts w:ascii="Arial" w:eastAsia="仿宋_GB2312" w:hAnsi="Arial" w:cs="Arial"/>
          <w:i/>
          <w:sz w:val="28"/>
        </w:rPr>
      </w:pPr>
      <w:r>
        <w:rPr>
          <w:rFonts w:ascii="Arial" w:eastAsia="仿宋_GB2312" w:hAnsi="Arial" w:cs="Arial"/>
          <w:i/>
          <w:sz w:val="28"/>
        </w:rPr>
        <w:br w:type="page"/>
      </w:r>
    </w:p>
    <w:p w14:paraId="28FFD2D9" w14:textId="77777777" w:rsidR="0062768B" w:rsidRDefault="00136729">
      <w:pPr>
        <w:spacing w:line="300" w:lineRule="auto"/>
        <w:jc w:val="center"/>
        <w:outlineLvl w:val="0"/>
        <w:rPr>
          <w:rFonts w:ascii="Arial" w:hAnsi="Arial" w:cs="Arial"/>
          <w:b/>
          <w:sz w:val="32"/>
        </w:rPr>
      </w:pPr>
      <w:bookmarkStart w:id="341" w:name="_Toc138063027"/>
      <w:r>
        <w:rPr>
          <w:rFonts w:ascii="Arial" w:hAnsi="Arial" w:cs="Arial"/>
          <w:b/>
          <w:sz w:val="32"/>
        </w:rPr>
        <w:lastRenderedPageBreak/>
        <w:t>第三部分</w:t>
      </w:r>
      <w:r>
        <w:rPr>
          <w:rFonts w:ascii="Arial" w:hAnsi="Arial" w:cs="Arial"/>
          <w:b/>
          <w:sz w:val="32"/>
        </w:rPr>
        <w:t xml:space="preserve">  </w:t>
      </w:r>
      <w:r>
        <w:rPr>
          <w:rFonts w:ascii="Arial" w:hAnsi="Arial" w:cs="Arial"/>
          <w:b/>
          <w:sz w:val="32"/>
        </w:rPr>
        <w:t>土地估价</w:t>
      </w:r>
      <w:bookmarkEnd w:id="334"/>
      <w:bookmarkEnd w:id="335"/>
      <w:bookmarkEnd w:id="336"/>
      <w:bookmarkEnd w:id="337"/>
      <w:bookmarkEnd w:id="338"/>
      <w:bookmarkEnd w:id="339"/>
      <w:bookmarkEnd w:id="340"/>
      <w:bookmarkEnd w:id="341"/>
    </w:p>
    <w:p w14:paraId="7948A1ED" w14:textId="77777777" w:rsidR="0062768B" w:rsidRDefault="0062768B">
      <w:pPr>
        <w:spacing w:line="300" w:lineRule="auto"/>
        <w:rPr>
          <w:rFonts w:ascii="Arial" w:eastAsia="仿宋_GB2312" w:hAnsi="Arial" w:cs="Arial"/>
          <w:b/>
          <w:sz w:val="28"/>
        </w:rPr>
      </w:pPr>
    </w:p>
    <w:p w14:paraId="7278EBCB" w14:textId="77777777" w:rsidR="0062768B" w:rsidRDefault="00136729">
      <w:pPr>
        <w:spacing w:line="300" w:lineRule="auto"/>
        <w:outlineLvl w:val="1"/>
        <w:rPr>
          <w:rFonts w:ascii="Arial" w:eastAsia="仿宋_GB2312" w:hAnsi="Arial" w:cs="Arial"/>
          <w:sz w:val="28"/>
        </w:rPr>
      </w:pPr>
      <w:bookmarkStart w:id="342" w:name="_Toc416783600"/>
      <w:bookmarkStart w:id="343" w:name="_Toc416783696"/>
      <w:bookmarkStart w:id="344" w:name="_Toc469066169"/>
      <w:bookmarkStart w:id="345" w:name="_Toc515457823"/>
      <w:bookmarkStart w:id="346" w:name="_Toc516488205"/>
      <w:bookmarkStart w:id="347" w:name="_Toc132016639"/>
      <w:bookmarkStart w:id="348" w:name="_Toc132016756"/>
      <w:bookmarkStart w:id="349" w:name="_Toc138063028"/>
      <w:r>
        <w:rPr>
          <w:rFonts w:ascii="Arial" w:eastAsia="仿宋_GB2312" w:hAnsi="Arial" w:cs="Arial"/>
          <w:b/>
          <w:sz w:val="28"/>
        </w:rPr>
        <w:t>一、估价原则</w:t>
      </w:r>
      <w:bookmarkEnd w:id="342"/>
      <w:bookmarkEnd w:id="343"/>
      <w:bookmarkEnd w:id="344"/>
      <w:bookmarkEnd w:id="345"/>
      <w:bookmarkEnd w:id="346"/>
      <w:bookmarkEnd w:id="347"/>
      <w:bookmarkEnd w:id="348"/>
      <w:bookmarkEnd w:id="349"/>
    </w:p>
    <w:p w14:paraId="23FABDC3" w14:textId="77777777" w:rsidR="0062768B" w:rsidRDefault="00136729">
      <w:pPr>
        <w:kinsoku w:val="0"/>
        <w:overflowPunct w:val="0"/>
        <w:autoSpaceDE w:val="0"/>
        <w:autoSpaceDN w:val="0"/>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ascii="Arial" w:eastAsia="仿宋_GB2312" w:hAnsi="Arial" w:cs="Arial"/>
          <w:sz w:val="28"/>
          <w:szCs w:val="28"/>
        </w:rPr>
        <w:t xml:space="preserve">: </w:t>
      </w:r>
      <w:r>
        <w:rPr>
          <w:rFonts w:ascii="Arial" w:eastAsia="仿宋_GB2312" w:hAnsi="Arial" w:cs="Arial"/>
          <w:sz w:val="28"/>
          <w:szCs w:val="28"/>
        </w:rPr>
        <w:t>替代原则、最有效利用原则、预期收益原则、供需原则、贡献原则、价值主导原则、审慎原则、公开市场原则</w:t>
      </w:r>
      <w:r>
        <w:rPr>
          <w:rFonts w:ascii="Arial" w:eastAsia="仿宋_GB2312" w:hAnsi="Arial" w:cs="Arial" w:hint="eastAsia"/>
          <w:sz w:val="28"/>
          <w:szCs w:val="28"/>
        </w:rPr>
        <w:t>、</w:t>
      </w:r>
      <w:r>
        <w:rPr>
          <w:rFonts w:ascii="Arial" w:eastAsia="仿宋_GB2312" w:hAnsi="Arial" w:cs="Arial"/>
          <w:sz w:val="28"/>
          <w:szCs w:val="28"/>
        </w:rPr>
        <w:t>发现并模拟市场价格的原则</w:t>
      </w:r>
      <w:r>
        <w:rPr>
          <w:rFonts w:ascii="Arial" w:eastAsia="仿宋_GB2312" w:hAnsi="Arial" w:cs="Arial" w:hint="eastAsia"/>
          <w:sz w:val="28"/>
          <w:szCs w:val="28"/>
        </w:rPr>
        <w:t>、</w:t>
      </w:r>
      <w:r>
        <w:rPr>
          <w:rFonts w:ascii="Arial" w:eastAsia="仿宋_GB2312" w:hAnsi="Arial" w:cs="Arial"/>
          <w:sz w:val="28"/>
          <w:szCs w:val="28"/>
        </w:rPr>
        <w:t>区分市场定价与政策优惠的原则</w:t>
      </w:r>
      <w:r>
        <w:rPr>
          <w:rFonts w:ascii="Arial" w:eastAsia="仿宋_GB2312" w:hAnsi="Arial" w:cs="Arial" w:hint="eastAsia"/>
          <w:sz w:val="28"/>
          <w:szCs w:val="28"/>
        </w:rPr>
        <w:t>、</w:t>
      </w:r>
      <w:r>
        <w:rPr>
          <w:rFonts w:ascii="Arial" w:eastAsia="仿宋_GB2312" w:hAnsi="Arial" w:cs="Arial"/>
          <w:sz w:val="28"/>
          <w:szCs w:val="28"/>
        </w:rPr>
        <w:t>区位效用为主兼顾用途差异的原则等。</w:t>
      </w:r>
    </w:p>
    <w:p w14:paraId="654EB4C9"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替代原则</w:t>
      </w:r>
    </w:p>
    <w:p w14:paraId="177A5FC9" w14:textId="77777777" w:rsidR="0062768B" w:rsidRDefault="00136729">
      <w:pPr>
        <w:kinsoku w:val="0"/>
        <w:overflowPunct w:val="0"/>
        <w:autoSpaceDE w:val="0"/>
        <w:autoSpaceDN w:val="0"/>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4CB9508D" w14:textId="77777777" w:rsidR="0062768B" w:rsidRDefault="00136729">
      <w:pPr>
        <w:kinsoku w:val="0"/>
        <w:overflowPunct w:val="0"/>
        <w:autoSpaceDE w:val="0"/>
        <w:autoSpaceDN w:val="0"/>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7C540357" w14:textId="77777777" w:rsidR="0062768B" w:rsidRDefault="00136729">
      <w:pPr>
        <w:kinsoku w:val="0"/>
        <w:overflowPunct w:val="0"/>
        <w:autoSpaceDE w:val="0"/>
        <w:autoSpaceDN w:val="0"/>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替代原则可以概括为三点：（</w:t>
      </w:r>
      <w:r>
        <w:rPr>
          <w:rFonts w:ascii="Arial" w:eastAsia="仿宋_GB2312" w:hAnsi="Arial" w:cs="Arial"/>
          <w:sz w:val="28"/>
          <w:szCs w:val="28"/>
        </w:rPr>
        <w:t>1</w:t>
      </w:r>
      <w:r>
        <w:rPr>
          <w:rFonts w:ascii="Arial" w:eastAsia="仿宋_GB2312" w:hAnsi="Arial" w:cs="Arial"/>
          <w:sz w:val="28"/>
          <w:szCs w:val="28"/>
        </w:rPr>
        <w:t>）土地价格水平由具有相同性质的替代</w:t>
      </w:r>
      <w:proofErr w:type="gramStart"/>
      <w:r>
        <w:rPr>
          <w:rFonts w:ascii="Arial" w:eastAsia="仿宋_GB2312" w:hAnsi="Arial" w:cs="Arial"/>
          <w:sz w:val="28"/>
          <w:szCs w:val="28"/>
        </w:rPr>
        <w:t>性土地</w:t>
      </w:r>
      <w:proofErr w:type="gramEnd"/>
      <w:r>
        <w:rPr>
          <w:rFonts w:ascii="Arial" w:eastAsia="仿宋_GB2312" w:hAnsi="Arial" w:cs="Arial"/>
          <w:sz w:val="28"/>
          <w:szCs w:val="28"/>
        </w:rPr>
        <w:t>的价格所决定；（</w:t>
      </w:r>
      <w:r>
        <w:rPr>
          <w:rFonts w:ascii="Arial" w:eastAsia="仿宋_GB2312" w:hAnsi="Arial" w:cs="Arial"/>
          <w:sz w:val="28"/>
          <w:szCs w:val="28"/>
        </w:rPr>
        <w:t>2</w:t>
      </w:r>
      <w:r>
        <w:rPr>
          <w:rFonts w:ascii="Arial" w:eastAsia="仿宋_GB2312" w:hAnsi="Arial" w:cs="Arial"/>
          <w:sz w:val="28"/>
          <w:szCs w:val="28"/>
        </w:rPr>
        <w:t>）土地价格水平是由最了解行情的买卖者按市场交易实例相互比较后决定；（</w:t>
      </w:r>
      <w:r>
        <w:rPr>
          <w:rFonts w:ascii="Arial" w:eastAsia="仿宋_GB2312" w:hAnsi="Arial" w:cs="Arial"/>
          <w:sz w:val="28"/>
          <w:szCs w:val="28"/>
        </w:rPr>
        <w:t>3</w:t>
      </w:r>
      <w:r>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3E1123CE"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lastRenderedPageBreak/>
        <w:t>替代原则的适用范围广，是本次估价基准地价系数修正法、剩余法中嵌套的市场比较法的理论基础。</w:t>
      </w:r>
    </w:p>
    <w:p w14:paraId="329771C6"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最有效利用原则</w:t>
      </w:r>
    </w:p>
    <w:p w14:paraId="76F48DE5"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1EF489A6"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预期收益原则</w:t>
      </w:r>
    </w:p>
    <w:p w14:paraId="265157BC"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Pr>
          <w:rFonts w:ascii="Arial" w:eastAsia="仿宋_GB2312" w:hAnsi="Arial" w:cs="Arial"/>
          <w:sz w:val="28"/>
        </w:rPr>
        <w:t>待估宗</w:t>
      </w:r>
      <w:proofErr w:type="gramEnd"/>
      <w:r>
        <w:rPr>
          <w:rFonts w:ascii="Arial" w:eastAsia="仿宋_GB2312" w:hAnsi="Arial" w:cs="Arial"/>
          <w:sz w:val="28"/>
        </w:rPr>
        <w:t>地在正常利用条件下的未来客观有效的预期收益。本次评估在运用剩余法计算估价对象土地价格时，就是以该原则为原理。</w:t>
      </w:r>
    </w:p>
    <w:p w14:paraId="199F8424"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sz w:val="28"/>
        </w:rPr>
        <w:t>供需原则</w:t>
      </w:r>
    </w:p>
    <w:p w14:paraId="179D1F70"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ascii="Arial" w:eastAsia="仿宋_GB2312" w:hAnsi="Arial" w:cs="Arial" w:hint="eastAsia"/>
          <w:sz w:val="28"/>
        </w:rPr>
        <w:t>顺义区高丽营镇</w:t>
      </w:r>
      <w:r>
        <w:rPr>
          <w:rFonts w:ascii="Arial" w:eastAsia="仿宋_GB2312" w:hAnsi="Arial" w:cs="Arial"/>
          <w:sz w:val="28"/>
        </w:rPr>
        <w:t>，土地用途为</w:t>
      </w:r>
      <w:r>
        <w:rPr>
          <w:rFonts w:ascii="Arial" w:eastAsia="仿宋_GB2312" w:hAnsi="Arial" w:cs="Arial" w:hint="eastAsia"/>
          <w:sz w:val="28"/>
        </w:rPr>
        <w:t>住宅、商业（其他商服）、公共服务</w:t>
      </w:r>
      <w:r>
        <w:rPr>
          <w:rFonts w:ascii="Arial" w:eastAsia="仿宋_GB2312" w:hAnsi="Arial" w:cs="Arial"/>
          <w:sz w:val="28"/>
        </w:rPr>
        <w:t>，土地性质为出让国有建设用地使用权。估价对象所处区域内土地资产存在较大增值潜力。评估中剩余法的运用主要考虑此项原则。</w:t>
      </w:r>
    </w:p>
    <w:p w14:paraId="01CBD4AC"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sz w:val="28"/>
        </w:rPr>
        <w:t>贡献原则</w:t>
      </w:r>
    </w:p>
    <w:p w14:paraId="03AA7AD1"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不动产的总收益是由土地及建筑物等其他生产要素共同作用的结果。就土地部分的贡献而言，由于地价是在生产经营活动之前优先支付的，故</w:t>
      </w:r>
      <w:r>
        <w:rPr>
          <w:rFonts w:ascii="Arial" w:eastAsia="仿宋_GB2312" w:hAnsi="Arial" w:cs="Arial"/>
          <w:sz w:val="28"/>
        </w:rPr>
        <w:lastRenderedPageBreak/>
        <w:t>土地的贡献具有优先性和特殊性，评估时应特别考虑。同时，土地的价格可根据土地对不动产收益的贡献大小确定。</w:t>
      </w:r>
    </w:p>
    <w:p w14:paraId="3E365D79"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rPr>
        <w:t>6</w:t>
      </w:r>
      <w:r>
        <w:rPr>
          <w:rFonts w:ascii="Arial" w:eastAsia="仿宋_GB2312" w:hAnsi="Arial" w:cs="Arial"/>
          <w:sz w:val="28"/>
          <w:szCs w:val="28"/>
        </w:rPr>
        <w:t>.</w:t>
      </w:r>
      <w:r>
        <w:rPr>
          <w:rFonts w:ascii="Arial" w:eastAsia="仿宋_GB2312" w:hAnsi="Arial" w:cs="Arial"/>
          <w:sz w:val="28"/>
          <w:szCs w:val="28"/>
        </w:rPr>
        <w:t>价值主导原则</w:t>
      </w:r>
    </w:p>
    <w:p w14:paraId="46ACC89C"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价值主导原则是指</w:t>
      </w:r>
      <w:r>
        <w:rPr>
          <w:rFonts w:ascii="Arial" w:eastAsia="仿宋_GB2312" w:hAnsi="Arial" w:cs="Arial"/>
          <w:sz w:val="28"/>
        </w:rPr>
        <w:t>土地</w:t>
      </w:r>
      <w:r>
        <w:rPr>
          <w:rFonts w:ascii="Arial" w:eastAsia="仿宋_GB2312" w:hAnsi="Arial" w:cs="Arial"/>
          <w:sz w:val="28"/>
          <w:szCs w:val="28"/>
        </w:rPr>
        <w:t>综合质量优劣是对土地价格产生影响的主要因素。</w:t>
      </w:r>
    </w:p>
    <w:p w14:paraId="6D98D52C"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1B36E449"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估价对象位于</w:t>
      </w:r>
      <w:r>
        <w:rPr>
          <w:rFonts w:ascii="Arial" w:eastAsia="仿宋_GB2312" w:hAnsi="Arial" w:cs="Arial" w:hint="eastAsia"/>
          <w:sz w:val="28"/>
        </w:rPr>
        <w:t>顺义区高丽营镇</w:t>
      </w:r>
      <w:r>
        <w:rPr>
          <w:rFonts w:ascii="Arial" w:eastAsia="仿宋_GB2312" w:hAnsi="Arial" w:cs="Arial"/>
          <w:sz w:val="28"/>
          <w:szCs w:val="28"/>
        </w:rPr>
        <w:t>，属于</w:t>
      </w:r>
      <w:r>
        <w:rPr>
          <w:rFonts w:ascii="Arial" w:eastAsia="仿宋_GB2312" w:hAnsi="Arial" w:cs="Arial"/>
          <w:sz w:val="28"/>
        </w:rPr>
        <w:t>住宅类</w:t>
      </w:r>
      <w:r>
        <w:rPr>
          <w:rFonts w:ascii="Arial" w:eastAsia="仿宋_GB2312" w:hAnsi="Arial" w:cs="Arial" w:hint="eastAsia"/>
          <w:sz w:val="28"/>
        </w:rPr>
        <w:t>九级</w:t>
      </w:r>
      <w:r>
        <w:rPr>
          <w:rFonts w:ascii="Arial" w:eastAsia="仿宋_GB2312" w:hAnsi="Arial" w:cs="Arial"/>
          <w:sz w:val="28"/>
        </w:rPr>
        <w:t>IX-</w:t>
      </w:r>
      <w:r>
        <w:rPr>
          <w:rFonts w:ascii="Arial" w:eastAsia="仿宋_GB2312" w:hAnsi="Arial" w:cs="Arial" w:hint="eastAsia"/>
          <w:sz w:val="28"/>
        </w:rPr>
        <w:t>顺</w:t>
      </w:r>
      <w:r>
        <w:rPr>
          <w:rFonts w:ascii="Arial" w:eastAsia="仿宋_GB2312" w:hAnsi="Arial" w:cs="Arial" w:hint="eastAsia"/>
          <w:sz w:val="28"/>
        </w:rPr>
        <w:t>5</w:t>
      </w:r>
      <w:r>
        <w:rPr>
          <w:rFonts w:ascii="Arial" w:eastAsia="仿宋_GB2312" w:hAnsi="Arial" w:cs="Arial" w:hint="eastAsia"/>
          <w:sz w:val="28"/>
        </w:rPr>
        <w:t>区片</w:t>
      </w:r>
      <w:r>
        <w:rPr>
          <w:rFonts w:ascii="Arial" w:eastAsia="仿宋_GB2312" w:hAnsi="Arial" w:cs="Arial"/>
          <w:sz w:val="28"/>
        </w:rPr>
        <w:t>、</w:t>
      </w:r>
      <w:proofErr w:type="gramStart"/>
      <w:r>
        <w:rPr>
          <w:rFonts w:ascii="Arial" w:eastAsia="仿宋_GB2312" w:hAnsi="Arial" w:cs="Arial"/>
          <w:sz w:val="28"/>
        </w:rPr>
        <w:t>商</w:t>
      </w:r>
      <w:r>
        <w:rPr>
          <w:rFonts w:ascii="Arial" w:eastAsia="仿宋_GB2312" w:hAnsi="Arial" w:cs="Arial" w:hint="eastAsia"/>
          <w:sz w:val="28"/>
        </w:rPr>
        <w:t>服</w:t>
      </w:r>
      <w:r>
        <w:rPr>
          <w:rFonts w:ascii="Arial" w:eastAsia="仿宋_GB2312" w:hAnsi="Arial" w:cs="Arial"/>
          <w:sz w:val="28"/>
        </w:rPr>
        <w:t>类</w:t>
      </w:r>
      <w:r>
        <w:rPr>
          <w:rFonts w:ascii="Arial" w:eastAsia="仿宋_GB2312" w:hAnsi="Arial" w:cs="Arial" w:hint="eastAsia"/>
          <w:sz w:val="28"/>
        </w:rPr>
        <w:t>九级</w:t>
      </w:r>
      <w:proofErr w:type="gramEnd"/>
      <w:r>
        <w:rPr>
          <w:rFonts w:ascii="Arial" w:eastAsia="仿宋_GB2312" w:hAnsi="Arial" w:cs="Arial"/>
          <w:sz w:val="28"/>
        </w:rPr>
        <w:t>IX-</w:t>
      </w:r>
      <w:r>
        <w:rPr>
          <w:rFonts w:ascii="Arial" w:eastAsia="仿宋_GB2312" w:hAnsi="Arial" w:cs="Arial" w:hint="eastAsia"/>
          <w:sz w:val="28"/>
        </w:rPr>
        <w:t>顺</w:t>
      </w:r>
      <w:r>
        <w:rPr>
          <w:rFonts w:ascii="Arial" w:eastAsia="仿宋_GB2312" w:hAnsi="Arial" w:cs="Arial" w:hint="eastAsia"/>
          <w:sz w:val="28"/>
        </w:rPr>
        <w:t>5</w:t>
      </w:r>
      <w:r>
        <w:rPr>
          <w:rFonts w:ascii="Arial" w:eastAsia="仿宋_GB2312" w:hAnsi="Arial" w:cs="Arial" w:hint="eastAsia"/>
          <w:sz w:val="28"/>
        </w:rPr>
        <w:t>区片</w:t>
      </w:r>
      <w:r>
        <w:rPr>
          <w:rFonts w:ascii="Arial" w:eastAsia="仿宋_GB2312" w:hAnsi="Arial" w:cs="Arial"/>
          <w:sz w:val="28"/>
        </w:rPr>
        <w:t>、</w:t>
      </w:r>
      <w:r>
        <w:rPr>
          <w:rFonts w:ascii="Arial" w:eastAsia="仿宋_GB2312" w:hAnsi="Arial" w:cs="Arial" w:hint="eastAsia"/>
          <w:sz w:val="28"/>
        </w:rPr>
        <w:t>公共</w:t>
      </w:r>
      <w:r>
        <w:rPr>
          <w:rFonts w:ascii="Arial" w:eastAsia="仿宋_GB2312" w:hAnsi="Arial" w:cs="Arial"/>
          <w:sz w:val="28"/>
        </w:rPr>
        <w:t>服务类</w:t>
      </w:r>
      <w:r>
        <w:rPr>
          <w:rFonts w:ascii="Arial" w:eastAsia="仿宋_GB2312" w:hAnsi="Arial" w:cs="Arial" w:hint="eastAsia"/>
          <w:sz w:val="28"/>
        </w:rPr>
        <w:t>九级</w:t>
      </w:r>
      <w:r>
        <w:rPr>
          <w:rFonts w:ascii="Arial" w:eastAsia="仿宋_GB2312" w:hAnsi="Arial" w:cs="Arial"/>
          <w:sz w:val="28"/>
        </w:rPr>
        <w:t>IX-</w:t>
      </w:r>
      <w:r>
        <w:rPr>
          <w:rFonts w:ascii="Arial" w:eastAsia="仿宋_GB2312" w:hAnsi="Arial" w:cs="Arial" w:hint="eastAsia"/>
          <w:sz w:val="28"/>
        </w:rPr>
        <w:t>顺</w:t>
      </w:r>
      <w:r>
        <w:rPr>
          <w:rFonts w:ascii="Arial" w:eastAsia="仿宋_GB2312" w:hAnsi="Arial" w:cs="Arial" w:hint="eastAsia"/>
          <w:sz w:val="28"/>
        </w:rPr>
        <w:t>5</w:t>
      </w:r>
      <w:r>
        <w:rPr>
          <w:rFonts w:ascii="Arial" w:eastAsia="仿宋_GB2312" w:hAnsi="Arial" w:cs="Arial" w:hint="eastAsia"/>
          <w:sz w:val="28"/>
        </w:rPr>
        <w:t>区片</w:t>
      </w:r>
      <w:r>
        <w:rPr>
          <w:rFonts w:ascii="Arial" w:eastAsia="仿宋_GB2312" w:hAnsi="Arial" w:cs="Arial"/>
          <w:sz w:val="28"/>
          <w:szCs w:val="28"/>
        </w:rPr>
        <w:t>，估价中土地估价专业评估师是根据现场查勘，并依据《城镇土地分等定级规程》对估价对象进行综合判断。</w:t>
      </w:r>
    </w:p>
    <w:p w14:paraId="23E07C31"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sz w:val="28"/>
          <w:szCs w:val="28"/>
        </w:rPr>
        <w:t>.</w:t>
      </w:r>
      <w:r>
        <w:rPr>
          <w:rFonts w:ascii="Arial" w:eastAsia="仿宋_GB2312" w:hAnsi="Arial" w:cs="Arial"/>
          <w:sz w:val="28"/>
          <w:szCs w:val="28"/>
        </w:rPr>
        <w:t>审慎原则</w:t>
      </w:r>
      <w:r>
        <w:rPr>
          <w:rFonts w:ascii="Arial" w:eastAsia="仿宋_GB2312" w:hAnsi="Arial" w:cs="Arial"/>
          <w:sz w:val="28"/>
          <w:szCs w:val="28"/>
        </w:rPr>
        <w:t xml:space="preserve"> </w:t>
      </w:r>
    </w:p>
    <w:p w14:paraId="76093C10"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Pr>
          <w:rFonts w:ascii="Arial" w:eastAsia="仿宋_GB2312" w:hAnsi="Arial" w:cs="Arial"/>
          <w:sz w:val="28"/>
          <w:szCs w:val="28"/>
        </w:rPr>
        <w:t>不</w:t>
      </w:r>
      <w:proofErr w:type="gramEnd"/>
      <w:r>
        <w:rPr>
          <w:rFonts w:ascii="Arial" w:eastAsia="仿宋_GB2312" w:hAnsi="Arial" w:cs="Arial"/>
          <w:sz w:val="28"/>
          <w:szCs w:val="28"/>
        </w:rPr>
        <w:t>高估也不低估估价对象的价值。</w:t>
      </w:r>
    </w:p>
    <w:p w14:paraId="5B5230F7"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7B2D5702"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sz w:val="28"/>
          <w:szCs w:val="28"/>
        </w:rPr>
        <w:t>.</w:t>
      </w:r>
      <w:r>
        <w:rPr>
          <w:rFonts w:ascii="Arial" w:eastAsia="仿宋_GB2312" w:hAnsi="Arial" w:cs="Arial"/>
          <w:sz w:val="28"/>
          <w:szCs w:val="28"/>
        </w:rPr>
        <w:t>公开市场原则</w:t>
      </w:r>
    </w:p>
    <w:p w14:paraId="156FDB6B"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公开市场原则是指评估结果在公平、公正、公开的土地市场上可实现。</w:t>
      </w:r>
    </w:p>
    <w:p w14:paraId="7F415CBA"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098F4901"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9</w:t>
      </w:r>
      <w:r>
        <w:rPr>
          <w:rFonts w:ascii="Arial" w:eastAsia="仿宋_GB2312" w:hAnsi="Arial" w:cs="Arial"/>
          <w:sz w:val="28"/>
          <w:szCs w:val="28"/>
        </w:rPr>
        <w:t>.</w:t>
      </w:r>
      <w:r>
        <w:rPr>
          <w:rFonts w:ascii="Arial" w:eastAsia="仿宋_GB2312" w:hAnsi="Arial" w:cs="Arial" w:hint="eastAsia"/>
          <w:sz w:val="28"/>
          <w:szCs w:val="28"/>
        </w:rPr>
        <w:t>其他原则</w:t>
      </w:r>
    </w:p>
    <w:p w14:paraId="58F06189"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评估公共管理与公共服务用地价格</w:t>
      </w:r>
      <w:r>
        <w:rPr>
          <w:rFonts w:ascii="Arial" w:eastAsia="仿宋_GB2312" w:hAnsi="Arial" w:cs="Arial" w:hint="eastAsia"/>
          <w:sz w:val="28"/>
          <w:szCs w:val="28"/>
        </w:rPr>
        <w:t>，</w:t>
      </w:r>
      <w:r>
        <w:rPr>
          <w:rFonts w:ascii="Arial" w:eastAsia="仿宋_GB2312" w:hAnsi="Arial" w:cs="Arial"/>
          <w:sz w:val="28"/>
          <w:szCs w:val="28"/>
        </w:rPr>
        <w:t>首先应考虑发现并模拟市场价格原则</w:t>
      </w:r>
      <w:r>
        <w:rPr>
          <w:rFonts w:ascii="Arial" w:eastAsia="仿宋_GB2312" w:hAnsi="Arial" w:cs="Arial" w:hint="eastAsia"/>
          <w:sz w:val="28"/>
          <w:szCs w:val="28"/>
        </w:rPr>
        <w:t>，</w:t>
      </w:r>
      <w:r>
        <w:rPr>
          <w:rFonts w:ascii="Arial" w:eastAsia="仿宋_GB2312" w:hAnsi="Arial" w:cs="Arial"/>
          <w:sz w:val="28"/>
          <w:szCs w:val="28"/>
        </w:rPr>
        <w:t>评估该类用地的正常市场价格</w:t>
      </w:r>
      <w:r>
        <w:rPr>
          <w:rFonts w:ascii="Arial" w:eastAsia="仿宋_GB2312" w:hAnsi="Arial" w:cs="Arial" w:hint="eastAsia"/>
          <w:sz w:val="28"/>
          <w:szCs w:val="28"/>
        </w:rPr>
        <w:t>。</w:t>
      </w:r>
      <w:r>
        <w:rPr>
          <w:rFonts w:ascii="Arial" w:eastAsia="仿宋_GB2312" w:hAnsi="Arial" w:cs="Arial"/>
          <w:sz w:val="28"/>
          <w:szCs w:val="28"/>
        </w:rPr>
        <w:t>在特定市场情况下</w:t>
      </w:r>
      <w:r>
        <w:rPr>
          <w:rFonts w:ascii="Arial" w:eastAsia="仿宋_GB2312" w:hAnsi="Arial" w:cs="Arial" w:hint="eastAsia"/>
          <w:sz w:val="28"/>
          <w:szCs w:val="28"/>
        </w:rPr>
        <w:t>，</w:t>
      </w:r>
      <w:r>
        <w:rPr>
          <w:rFonts w:ascii="Arial" w:eastAsia="仿宋_GB2312" w:hAnsi="Arial" w:cs="Arial"/>
          <w:sz w:val="28"/>
          <w:szCs w:val="28"/>
        </w:rPr>
        <w:t>可根据国家及北京市的相关法规与政策</w:t>
      </w:r>
      <w:r>
        <w:rPr>
          <w:rFonts w:ascii="Arial" w:eastAsia="仿宋_GB2312" w:hAnsi="Arial" w:cs="Arial" w:hint="eastAsia"/>
          <w:sz w:val="28"/>
          <w:szCs w:val="28"/>
        </w:rPr>
        <w:t>，</w:t>
      </w:r>
      <w:r>
        <w:rPr>
          <w:rFonts w:ascii="Arial" w:eastAsia="仿宋_GB2312" w:hAnsi="Arial" w:cs="Arial"/>
          <w:sz w:val="28"/>
          <w:szCs w:val="28"/>
        </w:rPr>
        <w:t>对前述的正常市场价格进行修正</w:t>
      </w:r>
      <w:r>
        <w:rPr>
          <w:rFonts w:ascii="Arial" w:eastAsia="仿宋_GB2312" w:hAnsi="Arial" w:cs="Arial" w:hint="eastAsia"/>
          <w:sz w:val="28"/>
          <w:szCs w:val="28"/>
        </w:rPr>
        <w:t>，</w:t>
      </w:r>
      <w:r>
        <w:rPr>
          <w:rFonts w:ascii="Arial" w:eastAsia="仿宋_GB2312" w:hAnsi="Arial" w:cs="Arial"/>
          <w:sz w:val="28"/>
          <w:szCs w:val="28"/>
        </w:rPr>
        <w:t>测算基于特</w:t>
      </w:r>
      <w:r>
        <w:rPr>
          <w:rFonts w:ascii="Arial" w:eastAsia="仿宋_GB2312" w:hAnsi="Arial" w:cs="Arial"/>
          <w:sz w:val="28"/>
          <w:szCs w:val="28"/>
        </w:rPr>
        <w:lastRenderedPageBreak/>
        <w:t>定正常约束下的参考性价格</w:t>
      </w:r>
      <w:r>
        <w:rPr>
          <w:rFonts w:ascii="Arial" w:eastAsia="仿宋_GB2312" w:hAnsi="Arial" w:cs="Arial" w:hint="eastAsia"/>
          <w:sz w:val="28"/>
          <w:szCs w:val="28"/>
        </w:rPr>
        <w:t>，体现</w:t>
      </w:r>
      <w:r>
        <w:rPr>
          <w:rFonts w:ascii="Arial" w:eastAsia="仿宋_GB2312" w:hAnsi="Arial" w:cs="Arial"/>
          <w:sz w:val="28"/>
          <w:szCs w:val="28"/>
        </w:rPr>
        <w:t>区分市场定价与政策优惠的原则</w:t>
      </w:r>
      <w:r>
        <w:rPr>
          <w:rFonts w:ascii="Arial" w:eastAsia="仿宋_GB2312" w:hAnsi="Arial" w:cs="Arial" w:hint="eastAsia"/>
          <w:sz w:val="28"/>
          <w:szCs w:val="28"/>
        </w:rPr>
        <w:t>。同时，在评估时应考虑</w:t>
      </w:r>
      <w:r>
        <w:rPr>
          <w:rFonts w:ascii="Arial" w:eastAsia="仿宋_GB2312" w:hAnsi="Arial" w:cs="Arial"/>
          <w:sz w:val="28"/>
          <w:szCs w:val="28"/>
        </w:rPr>
        <w:t>区位效用为主</w:t>
      </w:r>
      <w:r>
        <w:rPr>
          <w:rFonts w:ascii="Arial" w:eastAsia="仿宋_GB2312" w:hAnsi="Arial" w:cs="Arial" w:hint="eastAsia"/>
          <w:sz w:val="28"/>
          <w:szCs w:val="28"/>
        </w:rPr>
        <w:t>、</w:t>
      </w:r>
      <w:r>
        <w:rPr>
          <w:rFonts w:ascii="Arial" w:eastAsia="仿宋_GB2312" w:hAnsi="Arial" w:cs="Arial"/>
          <w:sz w:val="28"/>
          <w:szCs w:val="28"/>
        </w:rPr>
        <w:t>兼顾用途差异的原则</w:t>
      </w:r>
      <w:r>
        <w:rPr>
          <w:rFonts w:ascii="Arial" w:eastAsia="仿宋_GB2312" w:hAnsi="Arial" w:cs="Arial" w:hint="eastAsia"/>
          <w:sz w:val="28"/>
          <w:szCs w:val="28"/>
        </w:rPr>
        <w:t>。</w:t>
      </w:r>
    </w:p>
    <w:p w14:paraId="18DAAB20" w14:textId="77777777" w:rsidR="0062768B" w:rsidRDefault="00136729">
      <w:pPr>
        <w:kinsoku w:val="0"/>
        <w:overflowPunct w:val="0"/>
        <w:autoSpaceDE w:val="0"/>
        <w:autoSpaceDN w:val="0"/>
        <w:adjustRightInd/>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估价对象土地用途为</w:t>
      </w:r>
      <w:r>
        <w:rPr>
          <w:rFonts w:ascii="Arial" w:eastAsia="仿宋" w:hAnsi="Arial" w:cs="Arial"/>
          <w:sz w:val="28"/>
          <w:szCs w:val="28"/>
        </w:rPr>
        <w:t>住宅、商业（其他商服）及公共服务</w:t>
      </w:r>
      <w:r>
        <w:rPr>
          <w:rFonts w:ascii="Arial" w:eastAsia="仿宋_GB2312" w:hAnsi="Arial" w:cs="Arial" w:hint="eastAsia"/>
          <w:sz w:val="28"/>
          <w:szCs w:val="28"/>
        </w:rPr>
        <w:t>，包含</w:t>
      </w:r>
      <w:r>
        <w:rPr>
          <w:rFonts w:ascii="Arial" w:eastAsia="仿宋_GB2312" w:hAnsi="Arial" w:cs="Arial"/>
          <w:sz w:val="28"/>
          <w:szCs w:val="28"/>
        </w:rPr>
        <w:t>公共管理与公共服务用途</w:t>
      </w:r>
      <w:r>
        <w:rPr>
          <w:rFonts w:ascii="Arial" w:eastAsia="仿宋_GB2312" w:hAnsi="Arial" w:cs="Arial" w:hint="eastAsia"/>
          <w:sz w:val="28"/>
          <w:szCs w:val="28"/>
        </w:rPr>
        <w:t>。本次评估选取周边</w:t>
      </w:r>
      <w:r>
        <w:rPr>
          <w:rFonts w:ascii="Arial" w:eastAsia="仿宋_GB2312" w:hAnsi="Arial" w:cs="Arial"/>
          <w:sz w:val="28"/>
          <w:szCs w:val="28"/>
        </w:rPr>
        <w:t>4</w:t>
      </w:r>
      <w:r>
        <w:rPr>
          <w:rFonts w:ascii="Arial" w:eastAsia="仿宋_GB2312" w:hAnsi="Arial" w:cs="Arial" w:hint="eastAsia"/>
          <w:sz w:val="28"/>
          <w:szCs w:val="28"/>
        </w:rPr>
        <w:t>公里范围</w:t>
      </w:r>
      <w:proofErr w:type="gramStart"/>
      <w:r>
        <w:rPr>
          <w:rFonts w:ascii="Arial" w:eastAsia="仿宋_GB2312" w:hAnsi="Arial" w:cs="Arial" w:hint="eastAsia"/>
          <w:sz w:val="28"/>
          <w:szCs w:val="28"/>
        </w:rPr>
        <w:t>内类似</w:t>
      </w:r>
      <w:proofErr w:type="gramEnd"/>
      <w:r>
        <w:rPr>
          <w:rFonts w:ascii="Arial" w:eastAsia="仿宋_GB2312" w:hAnsi="Arial" w:cs="Arial" w:hint="eastAsia"/>
          <w:sz w:val="28"/>
          <w:szCs w:val="28"/>
        </w:rPr>
        <w:t>不动产的交易实例，考虑用途差异进行修正，对估价对象市场价格形成过程进行模拟，正是考虑了</w:t>
      </w:r>
      <w:r>
        <w:rPr>
          <w:rFonts w:ascii="Arial" w:eastAsia="仿宋_GB2312" w:hAnsi="Arial" w:cs="Arial"/>
          <w:sz w:val="28"/>
          <w:szCs w:val="28"/>
        </w:rPr>
        <w:t>发现并模拟市场价格的原则</w:t>
      </w:r>
      <w:r>
        <w:rPr>
          <w:rFonts w:ascii="Arial" w:eastAsia="仿宋_GB2312" w:hAnsi="Arial" w:cs="Arial" w:hint="eastAsia"/>
          <w:sz w:val="28"/>
          <w:szCs w:val="28"/>
        </w:rPr>
        <w:t>、</w:t>
      </w:r>
      <w:r>
        <w:rPr>
          <w:rFonts w:ascii="Arial" w:eastAsia="仿宋_GB2312" w:hAnsi="Arial" w:cs="Arial"/>
          <w:sz w:val="28"/>
          <w:szCs w:val="28"/>
        </w:rPr>
        <w:t>区分市场定价与政策优惠的原则</w:t>
      </w:r>
      <w:r>
        <w:rPr>
          <w:rFonts w:ascii="Arial" w:eastAsia="仿宋_GB2312" w:hAnsi="Arial" w:cs="Arial" w:hint="eastAsia"/>
          <w:sz w:val="28"/>
          <w:szCs w:val="28"/>
        </w:rPr>
        <w:t>和</w:t>
      </w:r>
      <w:r>
        <w:rPr>
          <w:rFonts w:ascii="Arial" w:eastAsia="仿宋_GB2312" w:hAnsi="Arial" w:cs="Arial"/>
          <w:sz w:val="28"/>
          <w:szCs w:val="28"/>
        </w:rPr>
        <w:t>区位效用为主兼顾用途差异的原则</w:t>
      </w:r>
      <w:r>
        <w:rPr>
          <w:rFonts w:ascii="Arial" w:eastAsia="仿宋_GB2312" w:hAnsi="Arial" w:cs="Arial" w:hint="eastAsia"/>
          <w:sz w:val="28"/>
          <w:szCs w:val="28"/>
        </w:rPr>
        <w:t>。</w:t>
      </w:r>
    </w:p>
    <w:p w14:paraId="17E3A2C0" w14:textId="77777777" w:rsidR="0062768B" w:rsidRDefault="0062768B">
      <w:pPr>
        <w:spacing w:line="300" w:lineRule="auto"/>
        <w:jc w:val="both"/>
        <w:rPr>
          <w:rFonts w:ascii="Arial" w:eastAsia="仿宋_GB2312" w:hAnsi="Arial" w:cs="Arial"/>
          <w:b/>
          <w:sz w:val="28"/>
        </w:rPr>
      </w:pPr>
    </w:p>
    <w:p w14:paraId="12E7551A" w14:textId="77777777" w:rsidR="0062768B" w:rsidRDefault="00136729">
      <w:pPr>
        <w:spacing w:line="300" w:lineRule="auto"/>
        <w:jc w:val="both"/>
        <w:outlineLvl w:val="1"/>
        <w:rPr>
          <w:rFonts w:ascii="Arial" w:eastAsia="仿宋_GB2312" w:hAnsi="Arial" w:cs="Arial"/>
          <w:b/>
          <w:sz w:val="28"/>
        </w:rPr>
      </w:pPr>
      <w:bookmarkStart w:id="350" w:name="_Toc416783601"/>
      <w:bookmarkStart w:id="351" w:name="_Toc416783697"/>
      <w:bookmarkStart w:id="352" w:name="_Toc469066170"/>
      <w:bookmarkStart w:id="353" w:name="_Toc515457824"/>
      <w:bookmarkStart w:id="354" w:name="_Toc516488206"/>
      <w:bookmarkStart w:id="355" w:name="_Toc132016640"/>
      <w:bookmarkStart w:id="356" w:name="_Toc132016757"/>
      <w:bookmarkStart w:id="357" w:name="_Toc138063029"/>
      <w:r>
        <w:rPr>
          <w:rFonts w:ascii="Arial" w:eastAsia="仿宋_GB2312" w:hAnsi="Arial" w:cs="Arial"/>
          <w:b/>
          <w:sz w:val="28"/>
        </w:rPr>
        <w:t>二、估价方法与估价过程</w:t>
      </w:r>
      <w:bookmarkEnd w:id="350"/>
      <w:bookmarkEnd w:id="351"/>
      <w:bookmarkEnd w:id="352"/>
      <w:bookmarkEnd w:id="353"/>
      <w:bookmarkEnd w:id="354"/>
      <w:bookmarkEnd w:id="355"/>
      <w:bookmarkEnd w:id="356"/>
      <w:bookmarkEnd w:id="357"/>
    </w:p>
    <w:p w14:paraId="4FB88682" w14:textId="77777777" w:rsidR="0062768B" w:rsidRDefault="00136729">
      <w:pPr>
        <w:pStyle w:val="11"/>
        <w:autoSpaceDE w:val="0"/>
        <w:autoSpaceDN w:val="0"/>
        <w:adjustRightInd/>
        <w:spacing w:line="300" w:lineRule="auto"/>
        <w:jc w:val="both"/>
        <w:textAlignment w:val="bottom"/>
        <w:rPr>
          <w:rFonts w:ascii="Arial" w:eastAsia="仿宋_GB2312" w:hAnsi="Arial" w:cs="Arial"/>
          <w:bCs/>
          <w:sz w:val="28"/>
        </w:rPr>
      </w:pPr>
      <w:r>
        <w:rPr>
          <w:rFonts w:ascii="Arial" w:eastAsia="仿宋_GB2312" w:hAnsi="Arial" w:cs="Arial"/>
          <w:bCs/>
          <w:sz w:val="28"/>
        </w:rPr>
        <w:t>（一）估价方法选择</w:t>
      </w:r>
    </w:p>
    <w:p w14:paraId="750D0EAD" w14:textId="77777777" w:rsidR="0062768B" w:rsidRDefault="00136729">
      <w:pPr>
        <w:adjustRightInd/>
        <w:spacing w:line="300" w:lineRule="auto"/>
        <w:ind w:firstLineChars="200" w:firstLine="560"/>
        <w:jc w:val="both"/>
        <w:rPr>
          <w:rFonts w:ascii="Arial" w:eastAsia="仿宋_GB2312" w:hAnsi="Arial" w:cs="Arial"/>
          <w:sz w:val="28"/>
        </w:rPr>
      </w:pPr>
      <w:bookmarkStart w:id="358" w:name="_Toc416783698"/>
      <w:bookmarkStart w:id="359" w:name="_Toc416783602"/>
      <w:r>
        <w:rPr>
          <w:rFonts w:ascii="Arial" w:eastAsia="仿宋_GB2312" w:hAnsi="Arial" w:cs="Arial"/>
          <w:sz w:val="28"/>
        </w:rPr>
        <w:t>1.</w:t>
      </w:r>
      <w:r>
        <w:rPr>
          <w:rFonts w:ascii="Arial" w:eastAsia="仿宋_GB2312" w:hAnsi="Arial" w:cs="Arial"/>
          <w:sz w:val="28"/>
        </w:rPr>
        <w:t>方法选择</w:t>
      </w:r>
    </w:p>
    <w:p w14:paraId="10F900CE" w14:textId="77777777" w:rsidR="0062768B" w:rsidRDefault="00136729">
      <w:pPr>
        <w:adjustRightInd/>
        <w:spacing w:line="300" w:lineRule="auto"/>
        <w:ind w:firstLine="562"/>
        <w:jc w:val="both"/>
        <w:rPr>
          <w:rFonts w:ascii="Arial" w:eastAsia="仿宋_GB2312" w:hAnsi="Arial" w:cs="Arial"/>
          <w:sz w:val="28"/>
          <w:szCs w:val="28"/>
        </w:rPr>
      </w:pPr>
      <w:r>
        <w:rPr>
          <w:rFonts w:ascii="Arial" w:eastAsia="仿宋_GB2312" w:hAnsi="Arial" w:cs="Arial"/>
          <w:noProof/>
          <w:sz w:val="28"/>
          <w:szCs w:val="28"/>
        </w:rPr>
        <w:drawing>
          <wp:anchor distT="0" distB="0" distL="114300" distR="114300" simplePos="0" relativeHeight="251663360" behindDoc="0" locked="0" layoutInCell="1" allowOverlap="0" wp14:anchorId="66044C48" wp14:editId="4DEF471D">
            <wp:simplePos x="0" y="0"/>
            <wp:positionH relativeFrom="page">
              <wp:posOffset>804545</wp:posOffset>
            </wp:positionH>
            <wp:positionV relativeFrom="page">
              <wp:posOffset>4762500</wp:posOffset>
            </wp:positionV>
            <wp:extent cx="24130" cy="12065"/>
            <wp:effectExtent l="0" t="0" r="0" b="0"/>
            <wp:wrapSquare wrapText="bothSides"/>
            <wp:docPr id="27" name="Picture 20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0430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4130" cy="12065"/>
                    </a:xfrm>
                    <a:prstGeom prst="rect">
                      <a:avLst/>
                    </a:prstGeom>
                    <a:noFill/>
                    <a:ln>
                      <a:noFill/>
                    </a:ln>
                  </pic:spPr>
                </pic:pic>
              </a:graphicData>
            </a:graphic>
          </wp:anchor>
        </w:drawing>
      </w:r>
      <w:r>
        <w:rPr>
          <w:rFonts w:ascii="Arial" w:eastAsia="仿宋_GB2312" w:hAnsi="Arial" w:cs="Arial"/>
          <w:sz w:val="28"/>
          <w:szCs w:val="28"/>
        </w:rPr>
        <w:t>根据《城镇土地估价规程》</w:t>
      </w:r>
      <w:r>
        <w:rPr>
          <w:rFonts w:ascii="Arial" w:eastAsia="仿宋_GB2312" w:hAnsi="Arial" w:cs="Arial"/>
          <w:sz w:val="28"/>
        </w:rPr>
        <w:t>（</w:t>
      </w:r>
      <w:r>
        <w:rPr>
          <w:rFonts w:ascii="Arial" w:eastAsia="仿宋_GB2312" w:hAnsi="Arial" w:cs="Arial"/>
          <w:sz w:val="28"/>
        </w:rPr>
        <w:t>GB/T 18508-2014</w:t>
      </w:r>
      <w:r>
        <w:rPr>
          <w:rFonts w:ascii="Arial" w:eastAsia="仿宋_GB2312" w:hAnsi="Arial" w:cs="Arial"/>
          <w:sz w:val="28"/>
        </w:rPr>
        <w:t>）</w:t>
      </w:r>
      <w:r>
        <w:rPr>
          <w:rFonts w:ascii="Arial" w:eastAsia="仿宋_GB2312" w:hAnsi="Arial" w:cs="Arial"/>
          <w:sz w:val="28"/>
          <w:szCs w:val="28"/>
        </w:rPr>
        <w:t>，通行的估价方法有市场比较法、收益还原法、剩余法、成本逼近法、公示地价系数修正法等。估价方法的选择应按照《城镇土地估价规程》</w:t>
      </w:r>
      <w:r>
        <w:rPr>
          <w:rFonts w:ascii="Arial" w:eastAsia="仿宋_GB2312" w:hAnsi="Arial" w:cs="Arial"/>
          <w:sz w:val="28"/>
        </w:rPr>
        <w:t>（</w:t>
      </w:r>
      <w:r>
        <w:rPr>
          <w:rFonts w:ascii="Arial" w:eastAsia="仿宋_GB2312" w:hAnsi="Arial" w:cs="Arial"/>
          <w:sz w:val="28"/>
        </w:rPr>
        <w:t>GB/T 18508-2014</w:t>
      </w:r>
      <w:r>
        <w:rPr>
          <w:rFonts w:ascii="Arial" w:eastAsia="仿宋_GB2312" w:hAnsi="Arial" w:cs="Arial"/>
          <w:sz w:val="28"/>
        </w:rPr>
        <w:t>）</w:t>
      </w:r>
      <w:r>
        <w:rPr>
          <w:rFonts w:ascii="Arial" w:eastAsia="仿宋_GB2312" w:hAnsi="Arial" w:cs="Arial"/>
          <w:sz w:val="28"/>
          <w:szCs w:val="28"/>
        </w:rPr>
        <w:t>，根据区域内地产市场发育情况并结合估价对象的特点及估价目的等，选择适当的估价方法。在一项土地估价中所选方法不少于两种。</w:t>
      </w:r>
    </w:p>
    <w:p w14:paraId="3BA09F5A" w14:textId="77777777" w:rsidR="0062768B" w:rsidRDefault="00136729">
      <w:pPr>
        <w:adjustRightInd/>
        <w:spacing w:line="300" w:lineRule="auto"/>
        <w:ind w:firstLine="557"/>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sz w:val="28"/>
        </w:rPr>
        <w:t>国土资源部办公厅关于发布</w:t>
      </w:r>
      <w:r>
        <w:rPr>
          <w:rFonts w:ascii="Arial" w:eastAsia="仿宋_GB2312" w:hAnsi="Arial" w:cs="Arial"/>
          <w:sz w:val="28"/>
        </w:rPr>
        <w:t>&lt;</w:t>
      </w:r>
      <w:r>
        <w:rPr>
          <w:rFonts w:ascii="Arial" w:eastAsia="仿宋_GB2312" w:hAnsi="Arial" w:cs="Arial"/>
          <w:sz w:val="28"/>
        </w:rPr>
        <w:t>国有建设用地使用权出让地价评估技术规范</w:t>
      </w:r>
      <w:r>
        <w:rPr>
          <w:rFonts w:ascii="Arial" w:eastAsia="仿宋_GB2312" w:hAnsi="Arial" w:cs="Arial"/>
          <w:sz w:val="28"/>
        </w:rPr>
        <w:t>&gt;</w:t>
      </w:r>
      <w:r>
        <w:rPr>
          <w:rFonts w:ascii="Arial" w:eastAsia="仿宋_GB2312" w:hAnsi="Arial" w:cs="Arial"/>
          <w:sz w:val="28"/>
        </w:rPr>
        <w:t>的通知》（</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hint="eastAsia"/>
          <w:sz w:val="28"/>
        </w:rPr>
        <w:t>）</w:t>
      </w:r>
      <w:r>
        <w:rPr>
          <w:rFonts w:ascii="Arial" w:eastAsia="仿宋_GB2312" w:hAnsi="Arial" w:cs="Arial"/>
          <w:sz w:val="28"/>
          <w:szCs w:val="28"/>
        </w:rPr>
        <w:t>，出让地价评估，应至少采用两种评估方法，包括市场比较法、收益还原法、剩余法之一，以及成本逼近法或公示地价系数修正法。</w:t>
      </w:r>
    </w:p>
    <w:p w14:paraId="1C0E023C" w14:textId="77777777" w:rsidR="0062768B" w:rsidRDefault="00136729">
      <w:pPr>
        <w:pStyle w:val="11"/>
        <w:autoSpaceDE w:val="0"/>
        <w:autoSpaceDN w:val="0"/>
        <w:adjustRightInd/>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规划新建项目，符合剩余法的应用条件及适用范围。</w:t>
      </w:r>
    </w:p>
    <w:p w14:paraId="607876A9" w14:textId="77777777" w:rsidR="0062768B" w:rsidRDefault="00136729">
      <w:pPr>
        <w:pStyle w:val="11"/>
        <w:autoSpaceDE w:val="0"/>
        <w:autoSpaceDN w:val="0"/>
        <w:adjustRightInd/>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本次评估所采用的估价方法简述如下：</w:t>
      </w:r>
    </w:p>
    <w:p w14:paraId="086D1A73"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）基准地价系数修正法</w:t>
      </w:r>
    </w:p>
    <w:p w14:paraId="5C9C5437"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Pr>
          <w:rFonts w:ascii="Arial" w:eastAsia="仿宋_GB2312" w:hAnsi="Arial" w:cs="Arial"/>
          <w:sz w:val="28"/>
          <w:szCs w:val="28"/>
        </w:rPr>
        <w:t>待估宗</w:t>
      </w:r>
      <w:proofErr w:type="gramEnd"/>
      <w:r>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Pr>
          <w:rFonts w:ascii="Arial" w:eastAsia="仿宋_GB2312" w:hAnsi="Arial" w:cs="Arial"/>
          <w:sz w:val="28"/>
          <w:szCs w:val="28"/>
        </w:rPr>
        <w:t>待估宗</w:t>
      </w:r>
      <w:proofErr w:type="gramEnd"/>
      <w:r>
        <w:rPr>
          <w:rFonts w:ascii="Arial" w:eastAsia="仿宋_GB2312" w:hAnsi="Arial" w:cs="Arial"/>
          <w:sz w:val="28"/>
          <w:szCs w:val="28"/>
        </w:rPr>
        <w:t>地价格的方法。基准</w:t>
      </w:r>
      <w:r>
        <w:rPr>
          <w:rFonts w:ascii="Arial" w:eastAsia="仿宋_GB2312" w:hAnsi="Arial" w:cs="Arial"/>
          <w:sz w:val="28"/>
          <w:szCs w:val="28"/>
        </w:rPr>
        <w:lastRenderedPageBreak/>
        <w:t>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Pr>
          <w:rFonts w:ascii="Arial" w:eastAsia="仿宋_GB2312" w:hAnsi="Arial" w:cs="Arial"/>
          <w:sz w:val="28"/>
          <w:szCs w:val="28"/>
        </w:rPr>
        <w:t>其他宗</w:t>
      </w:r>
      <w:proofErr w:type="gramEnd"/>
      <w:r>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Pr>
          <w:rFonts w:ascii="Arial" w:eastAsia="仿宋_GB2312" w:hAnsi="Arial" w:cs="Arial"/>
          <w:sz w:val="28"/>
          <w:szCs w:val="28"/>
        </w:rPr>
        <w:t>待估宗</w:t>
      </w:r>
      <w:proofErr w:type="gramEnd"/>
      <w:r>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Pr>
          <w:rFonts w:ascii="Arial" w:eastAsia="仿宋_GB2312" w:hAnsi="Arial" w:cs="Arial"/>
          <w:sz w:val="28"/>
          <w:szCs w:val="28"/>
        </w:rPr>
        <w:t>待估宗</w:t>
      </w:r>
      <w:proofErr w:type="gramEnd"/>
      <w:r>
        <w:rPr>
          <w:rFonts w:ascii="Arial" w:eastAsia="仿宋_GB2312" w:hAnsi="Arial" w:cs="Arial"/>
          <w:sz w:val="28"/>
          <w:szCs w:val="28"/>
        </w:rPr>
        <w:t>地地价。</w:t>
      </w:r>
    </w:p>
    <w:p w14:paraId="7457A2C9"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）剩余法</w:t>
      </w:r>
    </w:p>
    <w:p w14:paraId="610CECEF"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Pr>
          <w:rFonts w:ascii="宋体" w:hAnsi="宋体" w:cs="宋体" w:hint="eastAsia"/>
          <w:sz w:val="28"/>
        </w:rPr>
        <w:t>①</w:t>
      </w:r>
      <w:r>
        <w:rPr>
          <w:rFonts w:ascii="Arial" w:eastAsia="仿宋_GB2312" w:hAnsi="Arial" w:cs="Arial"/>
          <w:sz w:val="28"/>
        </w:rPr>
        <w:t>待开发房地产或待拆迁改造后再开发房地产的土地估价；</w:t>
      </w:r>
      <w:r>
        <w:rPr>
          <w:rFonts w:ascii="宋体" w:hAnsi="宋体" w:cs="宋体" w:hint="eastAsia"/>
          <w:sz w:val="28"/>
        </w:rPr>
        <w:t>②</w:t>
      </w:r>
      <w:r>
        <w:rPr>
          <w:rFonts w:ascii="Arial" w:eastAsia="仿宋_GB2312" w:hAnsi="Arial" w:cs="Arial"/>
          <w:sz w:val="28"/>
        </w:rPr>
        <w:t>仅将土地开发整理成可供直接利用的土地估价；</w:t>
      </w:r>
      <w:r>
        <w:rPr>
          <w:rFonts w:ascii="宋体" w:hAnsi="宋体" w:cs="宋体" w:hint="eastAsia"/>
          <w:sz w:val="28"/>
        </w:rPr>
        <w:t>③</w:t>
      </w:r>
      <w:r>
        <w:rPr>
          <w:rFonts w:ascii="Arial" w:eastAsia="仿宋_GB2312" w:hAnsi="Arial" w:cs="Arial"/>
          <w:sz w:val="28"/>
        </w:rPr>
        <w:t>现有房地产中地价的单独评估。</w:t>
      </w:r>
    </w:p>
    <w:p w14:paraId="47EA66AA"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）评估待开发土地价格的公式为：</w:t>
      </w:r>
    </w:p>
    <w:p w14:paraId="0671596F" w14:textId="77777777" w:rsidR="0062768B" w:rsidRDefault="00136729">
      <w:pPr>
        <w:adjustRightInd/>
        <w:spacing w:line="300" w:lineRule="auto"/>
        <w:ind w:firstLineChars="200" w:firstLine="560"/>
        <w:jc w:val="both"/>
        <w:rPr>
          <w:rFonts w:ascii="Arial" w:eastAsia="仿宋_GB2312" w:hAnsi="Arial" w:cs="Arial"/>
          <w:sz w:val="28"/>
        </w:rPr>
      </w:pPr>
      <w:proofErr w:type="gramStart"/>
      <w:r>
        <w:rPr>
          <w:rFonts w:ascii="Arial" w:eastAsia="仿宋_GB2312" w:hAnsi="Arial" w:cs="Arial"/>
          <w:sz w:val="28"/>
        </w:rPr>
        <w:t>待估宗</w:t>
      </w:r>
      <w:proofErr w:type="gramEnd"/>
      <w:r>
        <w:rPr>
          <w:rFonts w:ascii="Arial" w:eastAsia="仿宋_GB2312" w:hAnsi="Arial" w:cs="Arial"/>
          <w:sz w:val="28"/>
        </w:rPr>
        <w:t>地价格</w:t>
      </w:r>
      <w:r>
        <w:rPr>
          <w:rFonts w:ascii="Arial" w:eastAsia="仿宋_GB2312" w:hAnsi="Arial" w:cs="Arial"/>
          <w:sz w:val="28"/>
        </w:rPr>
        <w:t>=</w:t>
      </w:r>
      <w:r>
        <w:rPr>
          <w:rFonts w:ascii="Arial" w:eastAsia="仿宋_GB2312" w:hAnsi="Arial" w:cs="Arial"/>
          <w:sz w:val="28"/>
        </w:rPr>
        <w:t>不动产总价</w:t>
      </w:r>
      <w:r>
        <w:rPr>
          <w:rFonts w:ascii="Arial" w:eastAsia="仿宋_GB2312" w:hAnsi="Arial" w:cs="Arial"/>
          <w:sz w:val="28"/>
        </w:rPr>
        <w:t>-</w:t>
      </w:r>
      <w:r>
        <w:rPr>
          <w:rFonts w:ascii="Arial" w:eastAsia="仿宋_GB2312" w:hAnsi="Arial" w:cs="Arial"/>
          <w:sz w:val="28"/>
        </w:rPr>
        <w:t>开发项目整体的开发成本</w:t>
      </w:r>
      <w:r>
        <w:rPr>
          <w:rFonts w:ascii="Arial" w:eastAsia="仿宋_GB2312" w:hAnsi="Arial" w:cs="Arial"/>
          <w:sz w:val="28"/>
        </w:rPr>
        <w:t>-</w:t>
      </w:r>
      <w:r>
        <w:rPr>
          <w:rFonts w:ascii="Arial" w:eastAsia="仿宋_GB2312" w:hAnsi="Arial" w:cs="Arial"/>
          <w:sz w:val="28"/>
        </w:rPr>
        <w:t>客观开发利润</w:t>
      </w:r>
      <w:r>
        <w:rPr>
          <w:rFonts w:ascii="Arial" w:eastAsia="仿宋_GB2312" w:hAnsi="Arial" w:cs="Arial"/>
          <w:sz w:val="28"/>
        </w:rPr>
        <w:t xml:space="preserve">    </w:t>
      </w:r>
    </w:p>
    <w:p w14:paraId="4580AA5A"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）评估现有不动产中所含土地价格的公式为：</w:t>
      </w:r>
    </w:p>
    <w:p w14:paraId="74140CEB" w14:textId="77777777" w:rsidR="0062768B" w:rsidRDefault="00136729">
      <w:pPr>
        <w:adjustRightInd/>
        <w:spacing w:line="300" w:lineRule="auto"/>
        <w:ind w:firstLineChars="200" w:firstLine="560"/>
        <w:jc w:val="both"/>
        <w:rPr>
          <w:rFonts w:ascii="Arial" w:eastAsia="仿宋_GB2312" w:hAnsi="Arial" w:cs="Arial"/>
          <w:sz w:val="28"/>
        </w:rPr>
      </w:pPr>
      <w:proofErr w:type="gramStart"/>
      <w:r>
        <w:rPr>
          <w:rFonts w:ascii="Arial" w:eastAsia="仿宋_GB2312" w:hAnsi="Arial" w:cs="Arial"/>
          <w:sz w:val="28"/>
        </w:rPr>
        <w:t>待估宗</w:t>
      </w:r>
      <w:proofErr w:type="gramEnd"/>
      <w:r>
        <w:rPr>
          <w:rFonts w:ascii="Arial" w:eastAsia="仿宋_GB2312" w:hAnsi="Arial" w:cs="Arial"/>
          <w:sz w:val="28"/>
        </w:rPr>
        <w:t>地价格</w:t>
      </w:r>
      <w:r>
        <w:rPr>
          <w:rFonts w:ascii="Arial" w:eastAsia="仿宋_GB2312" w:hAnsi="Arial" w:cs="Arial"/>
          <w:sz w:val="28"/>
        </w:rPr>
        <w:t>=</w:t>
      </w:r>
      <w:r>
        <w:rPr>
          <w:rFonts w:ascii="Arial" w:eastAsia="仿宋_GB2312" w:hAnsi="Arial" w:cs="Arial"/>
          <w:sz w:val="28"/>
        </w:rPr>
        <w:t>不动产交易价格</w:t>
      </w:r>
      <w:r>
        <w:rPr>
          <w:rFonts w:ascii="Arial" w:eastAsia="仿宋_GB2312" w:hAnsi="Arial" w:cs="Arial"/>
          <w:sz w:val="28"/>
        </w:rPr>
        <w:t>-</w:t>
      </w:r>
      <w:r>
        <w:rPr>
          <w:rFonts w:ascii="Arial" w:eastAsia="仿宋_GB2312" w:hAnsi="Arial" w:cs="Arial"/>
          <w:sz w:val="28"/>
        </w:rPr>
        <w:t>房屋现值</w:t>
      </w:r>
      <w:r>
        <w:rPr>
          <w:rFonts w:ascii="Arial" w:eastAsia="仿宋_GB2312" w:hAnsi="Arial" w:cs="Arial"/>
          <w:sz w:val="28"/>
        </w:rPr>
        <w:t>-</w:t>
      </w:r>
      <w:r>
        <w:rPr>
          <w:rFonts w:ascii="Arial" w:eastAsia="仿宋_GB2312" w:hAnsi="Arial" w:cs="Arial"/>
          <w:sz w:val="28"/>
        </w:rPr>
        <w:t>交易税费</w:t>
      </w:r>
    </w:p>
    <w:p w14:paraId="4040857D"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未选取的估价方法以及理由如下：</w:t>
      </w:r>
    </w:p>
    <w:p w14:paraId="064DD877"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市场比较法是以在估价期</w:t>
      </w:r>
      <w:proofErr w:type="gramStart"/>
      <w:r>
        <w:rPr>
          <w:rFonts w:ascii="Arial" w:eastAsia="仿宋_GB2312" w:hAnsi="Arial" w:cs="Arial"/>
          <w:sz w:val="28"/>
        </w:rPr>
        <w:t>日近期</w:t>
      </w:r>
      <w:proofErr w:type="gramEnd"/>
      <w:r>
        <w:rPr>
          <w:rFonts w:ascii="Arial" w:eastAsia="仿宋_GB2312" w:hAnsi="Arial" w:cs="Arial"/>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73760EB7"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由于估价对象现状为空地，难以找到土地租赁案例，故未采用收益还原法。</w:t>
      </w:r>
    </w:p>
    <w:p w14:paraId="131F793F"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成本逼近法是将构成土地成本的各项费用累加来测算土地的价值，估价对象成本资料不易获得，各项</w:t>
      </w:r>
      <w:proofErr w:type="gramStart"/>
      <w:r>
        <w:rPr>
          <w:rFonts w:ascii="Arial" w:eastAsia="仿宋_GB2312" w:hAnsi="Arial" w:cs="Arial"/>
          <w:sz w:val="28"/>
        </w:rPr>
        <w:t>目成本</w:t>
      </w:r>
      <w:proofErr w:type="gramEnd"/>
      <w:r>
        <w:rPr>
          <w:rFonts w:ascii="Arial" w:eastAsia="仿宋_GB2312" w:hAnsi="Arial" w:cs="Arial"/>
          <w:sz w:val="28"/>
        </w:rPr>
        <w:t>内涵不一致，且土地增值额的确定没有权威依据，故未采用成本逼近法。</w:t>
      </w:r>
    </w:p>
    <w:p w14:paraId="397B159E" w14:textId="77777777" w:rsidR="0062768B" w:rsidRDefault="00136729">
      <w:pPr>
        <w:spacing w:line="300" w:lineRule="auto"/>
        <w:jc w:val="both"/>
        <w:rPr>
          <w:rFonts w:ascii="Arial" w:eastAsia="仿宋_GB2312" w:hAnsi="Arial" w:cs="Arial"/>
          <w:sz w:val="28"/>
        </w:rPr>
      </w:pPr>
      <w:r>
        <w:rPr>
          <w:rFonts w:ascii="Arial" w:eastAsia="仿宋_GB2312" w:hAnsi="Arial" w:cs="Arial"/>
          <w:sz w:val="28"/>
        </w:rPr>
        <w:t>（二）估价过程</w:t>
      </w:r>
      <w:bookmarkEnd w:id="358"/>
      <w:bookmarkEnd w:id="359"/>
    </w:p>
    <w:p w14:paraId="41F91CEC" w14:textId="77777777" w:rsidR="0062768B" w:rsidRDefault="00136729">
      <w:pPr>
        <w:pStyle w:val="11"/>
        <w:autoSpaceDE w:val="0"/>
        <w:autoSpaceDN w:val="0"/>
        <w:spacing w:line="300" w:lineRule="auto"/>
        <w:ind w:right="140" w:firstLineChars="200" w:firstLine="562"/>
        <w:jc w:val="both"/>
        <w:textAlignment w:val="bottom"/>
        <w:rPr>
          <w:rFonts w:ascii="Arial" w:eastAsia="仿宋_GB2312" w:hAnsi="Arial" w:cs="Arial"/>
          <w:b/>
          <w:sz w:val="28"/>
        </w:rPr>
      </w:pPr>
      <w:r>
        <w:rPr>
          <w:rFonts w:ascii="Arial" w:eastAsia="仿宋_GB2312" w:hAnsi="Arial" w:cs="Arial"/>
          <w:b/>
          <w:sz w:val="28"/>
        </w:rPr>
        <w:t>相关参数</w:t>
      </w:r>
    </w:p>
    <w:p w14:paraId="0CD7715D" w14:textId="77777777" w:rsidR="0062768B" w:rsidRDefault="00136729">
      <w:pPr>
        <w:pStyle w:val="11"/>
        <w:autoSpaceDE w:val="0"/>
        <w:autoSpaceDN w:val="0"/>
        <w:adjustRightInd/>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lastRenderedPageBreak/>
        <w:t>1.</w:t>
      </w:r>
      <w:r>
        <w:rPr>
          <w:rFonts w:ascii="Arial" w:eastAsia="仿宋_GB2312" w:hAnsi="Arial" w:cs="Arial"/>
          <w:sz w:val="28"/>
        </w:rPr>
        <w:t>估价对象土地及建筑物经济技术指标</w:t>
      </w:r>
    </w:p>
    <w:p w14:paraId="4024B847" w14:textId="77777777" w:rsidR="0062768B" w:rsidRDefault="00136729">
      <w:pPr>
        <w:tabs>
          <w:tab w:val="left" w:pos="9027"/>
        </w:tabs>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方米</w:t>
      </w:r>
      <w:r>
        <w:rPr>
          <w:rFonts w:ascii="Arial" w:eastAsia="仿宋_GB2312" w:hAnsi="Arial" w:cs="Arial" w:hint="eastAsia"/>
          <w:sz w:val="28"/>
        </w:rPr>
        <w:t>，容积率为</w:t>
      </w:r>
      <w:r>
        <w:rPr>
          <w:rFonts w:ascii="Arial" w:eastAsia="仿宋_GB2312" w:hAnsi="Arial" w:cs="Arial" w:hint="eastAsia"/>
          <w:sz w:val="28"/>
        </w:rPr>
        <w:t>1.2</w:t>
      </w:r>
      <w:r>
        <w:rPr>
          <w:rFonts w:ascii="Arial" w:eastAsia="仿宋_GB2312" w:hAnsi="Arial" w:cs="Arial" w:hint="eastAsia"/>
          <w:sz w:val="28"/>
        </w:rPr>
        <w:t>；</w:t>
      </w:r>
      <w:r>
        <w:rPr>
          <w:rFonts w:ascii="Arial" w:eastAsia="仿宋_GB2312" w:hAnsi="Arial" w:cs="Arial" w:hint="eastAsia"/>
          <w:sz w:val="28"/>
        </w:rPr>
        <w:t xml:space="preserve"> </w:t>
      </w:r>
      <w:r>
        <w:rPr>
          <w:rFonts w:ascii="Arial" w:eastAsia="仿宋_GB2312" w:hAnsi="Arial" w:cs="Arial" w:hint="eastAsia"/>
          <w:sz w:val="28"/>
        </w:rPr>
        <w:t>另有</w:t>
      </w:r>
      <w:r>
        <w:rPr>
          <w:rFonts w:ascii="Arial" w:eastAsia="仿宋_GB2312" w:hAnsi="Arial" w:cs="Arial"/>
          <w:sz w:val="28"/>
          <w:szCs w:val="28"/>
        </w:rPr>
        <w:t>估价对象</w:t>
      </w:r>
      <w:r>
        <w:rPr>
          <w:rFonts w:ascii="Arial" w:eastAsia="仿宋_GB2312" w:hAnsi="Arial" w:cs="Arial"/>
          <w:sz w:val="28"/>
        </w:rPr>
        <w:t>01-020</w:t>
      </w:r>
      <w:r>
        <w:rPr>
          <w:rFonts w:ascii="Arial" w:eastAsia="仿宋_GB2312" w:hAnsi="Arial" w:cs="Arial" w:hint="eastAsia"/>
          <w:sz w:val="28"/>
        </w:rPr>
        <w:t>地块</w:t>
      </w:r>
      <w:r>
        <w:rPr>
          <w:rFonts w:ascii="Arial" w:eastAsia="仿宋_GB2312" w:hAnsi="Arial" w:cs="Arial"/>
          <w:sz w:val="28"/>
        </w:rPr>
        <w:t>（</w:t>
      </w:r>
      <w:r>
        <w:rPr>
          <w:rFonts w:ascii="Arial" w:eastAsia="仿宋_GB2312" w:hAnsi="Arial" w:cs="Arial"/>
          <w:sz w:val="28"/>
        </w:rPr>
        <w:t>A334</w:t>
      </w:r>
      <w:r>
        <w:rPr>
          <w:rFonts w:ascii="Arial" w:eastAsia="仿宋_GB2312" w:hAnsi="Arial" w:cs="Arial" w:hint="eastAsia"/>
          <w:sz w:val="28"/>
        </w:rPr>
        <w:t>托幼</w:t>
      </w:r>
      <w:r>
        <w:rPr>
          <w:rFonts w:ascii="Arial" w:eastAsia="仿宋_GB2312" w:hAnsi="Arial" w:cs="Arial"/>
          <w:sz w:val="28"/>
        </w:rPr>
        <w:t>用地</w:t>
      </w:r>
      <w:r>
        <w:rPr>
          <w:rFonts w:ascii="Arial" w:eastAsia="仿宋_GB2312" w:hAnsi="Arial" w:cs="Arial" w:hint="eastAsia"/>
          <w:sz w:val="28"/>
        </w:rPr>
        <w:t>，不出让</w:t>
      </w:r>
      <w:r>
        <w:rPr>
          <w:rFonts w:ascii="Arial" w:eastAsia="仿宋_GB2312" w:hAnsi="Arial" w:cs="Arial"/>
          <w:sz w:val="28"/>
        </w:rPr>
        <w:t>）</w:t>
      </w:r>
      <w:r>
        <w:rPr>
          <w:rFonts w:ascii="Arial" w:eastAsia="仿宋_GB2312" w:hAnsi="Arial" w:cs="Arial" w:hint="eastAsia"/>
          <w:sz w:val="28"/>
        </w:rPr>
        <w:t>建设</w:t>
      </w:r>
      <w:r>
        <w:rPr>
          <w:rFonts w:ascii="Arial" w:eastAsia="仿宋_GB2312" w:hAnsi="Arial" w:cs="Arial"/>
          <w:sz w:val="28"/>
        </w:rPr>
        <w:t>用地规模为</w:t>
      </w:r>
      <w:r>
        <w:rPr>
          <w:rFonts w:ascii="Arial" w:eastAsia="仿宋_GB2312" w:hAnsi="Arial" w:cs="Arial"/>
          <w:sz w:val="28"/>
        </w:rPr>
        <w:t>4199.98</w:t>
      </w:r>
      <w:r>
        <w:rPr>
          <w:rFonts w:ascii="Arial" w:eastAsia="仿宋_GB2312" w:hAnsi="Arial" w:cs="Arial"/>
          <w:sz w:val="28"/>
        </w:rPr>
        <w:t>平方米，地上建筑规模为</w:t>
      </w:r>
      <w:r>
        <w:rPr>
          <w:rFonts w:ascii="Arial" w:eastAsia="仿宋_GB2312" w:hAnsi="Arial" w:cs="Arial"/>
          <w:sz w:val="28"/>
        </w:rPr>
        <w:t>3359.98</w:t>
      </w:r>
      <w:r>
        <w:rPr>
          <w:rFonts w:ascii="Arial" w:eastAsia="仿宋_GB2312" w:hAnsi="Arial" w:cs="Arial"/>
          <w:sz w:val="28"/>
        </w:rPr>
        <w:t>平方米</w:t>
      </w:r>
      <w:r>
        <w:rPr>
          <w:rFonts w:ascii="Arial" w:eastAsia="仿宋_GB2312" w:hAnsi="Arial" w:cs="Arial" w:hint="eastAsia"/>
          <w:sz w:val="28"/>
        </w:rPr>
        <w:t>，容积率</w:t>
      </w:r>
      <w:r>
        <w:rPr>
          <w:rFonts w:ascii="Arial" w:eastAsia="仿宋_GB2312" w:hAnsi="Arial" w:cs="Arial"/>
          <w:sz w:val="28"/>
        </w:rPr>
        <w:t>为</w:t>
      </w:r>
      <w:r>
        <w:rPr>
          <w:rFonts w:ascii="Arial" w:eastAsia="仿宋_GB2312" w:hAnsi="Arial" w:cs="Arial"/>
          <w:sz w:val="28"/>
        </w:rPr>
        <w:t>0.8</w:t>
      </w:r>
      <w:r>
        <w:rPr>
          <w:rFonts w:ascii="Arial" w:eastAsia="仿宋_GB2312" w:hAnsi="Arial" w:cs="Arial"/>
          <w:sz w:val="28"/>
        </w:rPr>
        <w:t>。根据《</w:t>
      </w:r>
      <w:r>
        <w:rPr>
          <w:rFonts w:ascii="Arial" w:eastAsia="仿宋_GB2312" w:hAnsi="Arial" w:hint="eastAsia"/>
          <w:sz w:val="28"/>
        </w:rPr>
        <w:t>北京市人民政府关于更新出让国有建设用地使用权基准地价的通知》（京政发（</w:t>
      </w:r>
      <w:r>
        <w:rPr>
          <w:rFonts w:ascii="Arial" w:eastAsia="仿宋_GB2312" w:hAnsi="Arial" w:hint="eastAsia"/>
          <w:sz w:val="28"/>
        </w:rPr>
        <w:t>2022</w:t>
      </w:r>
      <w:r>
        <w:rPr>
          <w:rFonts w:ascii="Arial" w:eastAsia="仿宋_GB2312" w:hAnsi="Arial" w:hint="eastAsia"/>
          <w:sz w:val="28"/>
        </w:rPr>
        <w:t>）</w:t>
      </w:r>
      <w:r>
        <w:rPr>
          <w:rFonts w:ascii="Arial" w:eastAsia="仿宋_GB2312" w:hAnsi="Arial" w:hint="eastAsia"/>
          <w:sz w:val="28"/>
        </w:rPr>
        <w:t>12</w:t>
      </w:r>
      <w:r>
        <w:rPr>
          <w:rFonts w:ascii="Arial" w:eastAsia="仿宋_GB2312" w:hAnsi="Arial" w:hint="eastAsia"/>
          <w:sz w:val="28"/>
        </w:rPr>
        <w:t>号）</w:t>
      </w:r>
      <w:r>
        <w:rPr>
          <w:rFonts w:ascii="Arial" w:eastAsia="仿宋_GB2312" w:hAnsi="Arial" w:cs="Arial"/>
          <w:sz w:val="28"/>
        </w:rPr>
        <w:t>中的相关规定，本次评估</w:t>
      </w:r>
      <w:r>
        <w:rPr>
          <w:rFonts w:ascii="Arial" w:eastAsia="仿宋_GB2312" w:hAnsi="Arial" w:cs="Arial"/>
          <w:sz w:val="28"/>
        </w:rPr>
        <w:t>01-008</w:t>
      </w:r>
      <w:r>
        <w:rPr>
          <w:rFonts w:ascii="Arial" w:eastAsia="仿宋_GB2312" w:hAnsi="Arial" w:cs="Arial" w:hint="eastAsia"/>
          <w:sz w:val="28"/>
        </w:rPr>
        <w:t>、</w:t>
      </w:r>
      <w:r>
        <w:rPr>
          <w:rFonts w:ascii="Arial" w:eastAsia="仿宋_GB2312" w:hAnsi="Arial" w:cs="Arial"/>
          <w:sz w:val="28"/>
        </w:rPr>
        <w:t>01-016</w:t>
      </w:r>
      <w:r>
        <w:rPr>
          <w:rFonts w:ascii="Arial" w:eastAsia="仿宋_GB2312" w:hAnsi="Arial" w:cs="Arial" w:hint="eastAsia"/>
          <w:sz w:val="28"/>
        </w:rPr>
        <w:t>、</w:t>
      </w:r>
      <w:r>
        <w:rPr>
          <w:rFonts w:ascii="Arial" w:eastAsia="仿宋_GB2312" w:hAnsi="Arial" w:cs="Arial"/>
          <w:sz w:val="28"/>
        </w:rPr>
        <w:t>01-026-1</w:t>
      </w:r>
      <w:r>
        <w:rPr>
          <w:rFonts w:ascii="Arial" w:eastAsia="仿宋_GB2312" w:hAnsi="Arial" w:cs="Arial" w:hint="eastAsia"/>
          <w:sz w:val="28"/>
        </w:rPr>
        <w:t>地块</w:t>
      </w:r>
      <w:r>
        <w:rPr>
          <w:rFonts w:ascii="Arial" w:eastAsia="仿宋_GB2312" w:hAnsi="Arial" w:cs="Arial"/>
          <w:sz w:val="28"/>
        </w:rPr>
        <w:t>（</w:t>
      </w:r>
      <w:r>
        <w:rPr>
          <w:rFonts w:ascii="Arial" w:eastAsia="仿宋_GB2312" w:hAnsi="Arial" w:cs="Arial"/>
          <w:sz w:val="28"/>
        </w:rPr>
        <w:t>R2</w:t>
      </w:r>
      <w:proofErr w:type="gramStart"/>
      <w:r>
        <w:rPr>
          <w:rFonts w:ascii="Arial" w:eastAsia="仿宋_GB2312" w:hAnsi="Arial" w:cs="Arial"/>
          <w:sz w:val="28"/>
        </w:rPr>
        <w:t>二</w:t>
      </w:r>
      <w:proofErr w:type="gramEnd"/>
      <w:r>
        <w:rPr>
          <w:rFonts w:ascii="Arial" w:eastAsia="仿宋_GB2312" w:hAnsi="Arial" w:cs="Arial"/>
          <w:sz w:val="28"/>
        </w:rPr>
        <w:t>类居住用地）容积率为</w:t>
      </w:r>
      <w:r>
        <w:rPr>
          <w:rFonts w:ascii="Arial" w:eastAsia="仿宋_GB2312" w:hAnsi="Arial" w:cs="Arial" w:hint="eastAsia"/>
          <w:sz w:val="28"/>
        </w:rPr>
        <w:t>1.2</w:t>
      </w:r>
      <w:r>
        <w:rPr>
          <w:rFonts w:ascii="Arial" w:eastAsia="仿宋_GB2312" w:hAnsi="Arial" w:cs="Arial" w:hint="eastAsia"/>
          <w:sz w:val="28"/>
        </w:rPr>
        <w:t>；</w:t>
      </w:r>
      <w:r>
        <w:rPr>
          <w:rFonts w:ascii="Arial" w:eastAsia="仿宋_GB2312" w:hAnsi="Arial" w:cs="Arial"/>
          <w:sz w:val="28"/>
        </w:rPr>
        <w:t>具体详见下表：</w:t>
      </w:r>
    </w:p>
    <w:p w14:paraId="5BBE5E2C" w14:textId="77777777" w:rsidR="0062768B" w:rsidRDefault="00136729">
      <w:pPr>
        <w:tabs>
          <w:tab w:val="left" w:pos="9027"/>
        </w:tabs>
        <w:spacing w:line="300" w:lineRule="auto"/>
        <w:jc w:val="center"/>
        <w:rPr>
          <w:rFonts w:ascii="Arial" w:eastAsia="仿宋_GB2312" w:hAnsi="Arial" w:cs="Arial"/>
          <w:b/>
          <w:sz w:val="28"/>
          <w:szCs w:val="28"/>
        </w:rPr>
      </w:pPr>
      <w:r>
        <w:rPr>
          <w:rFonts w:ascii="Arial" w:eastAsia="仿宋_GB2312" w:hAnsi="Arial" w:cs="Arial"/>
          <w:b/>
          <w:sz w:val="28"/>
          <w:szCs w:val="28"/>
        </w:rPr>
        <w:t>土地用途及建筑规模表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561"/>
        <w:gridCol w:w="2126"/>
        <w:gridCol w:w="1560"/>
        <w:gridCol w:w="1132"/>
        <w:gridCol w:w="1702"/>
        <w:gridCol w:w="991"/>
      </w:tblGrid>
      <w:tr w:rsidR="0062768B" w14:paraId="74DE3A57" w14:textId="77777777">
        <w:trPr>
          <w:cantSplit/>
          <w:jc w:val="center"/>
        </w:trPr>
        <w:tc>
          <w:tcPr>
            <w:tcW w:w="860" w:type="pct"/>
            <w:vAlign w:val="center"/>
          </w:tcPr>
          <w:p w14:paraId="312FAAC8"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规划地块编号</w:t>
            </w:r>
          </w:p>
        </w:tc>
        <w:tc>
          <w:tcPr>
            <w:tcW w:w="1172" w:type="pct"/>
            <w:vAlign w:val="center"/>
          </w:tcPr>
          <w:p w14:paraId="0CB78A9C"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用地性质</w:t>
            </w:r>
          </w:p>
        </w:tc>
        <w:tc>
          <w:tcPr>
            <w:tcW w:w="860" w:type="pct"/>
            <w:vAlign w:val="center"/>
          </w:tcPr>
          <w:p w14:paraId="784D2EE0"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建设用地规模</w:t>
            </w:r>
          </w:p>
          <w:p w14:paraId="440C4E05"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（平方米）</w:t>
            </w:r>
          </w:p>
        </w:tc>
        <w:tc>
          <w:tcPr>
            <w:tcW w:w="624" w:type="pct"/>
            <w:vAlign w:val="center"/>
          </w:tcPr>
          <w:p w14:paraId="2719FF64"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容积率</w:t>
            </w:r>
          </w:p>
        </w:tc>
        <w:tc>
          <w:tcPr>
            <w:tcW w:w="938" w:type="pct"/>
            <w:vAlign w:val="center"/>
          </w:tcPr>
          <w:p w14:paraId="2B67768C"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地上建筑规模</w:t>
            </w:r>
          </w:p>
          <w:p w14:paraId="3B3B9CD2"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（平方米）</w:t>
            </w:r>
          </w:p>
        </w:tc>
        <w:tc>
          <w:tcPr>
            <w:tcW w:w="546" w:type="pct"/>
            <w:vAlign w:val="center"/>
          </w:tcPr>
          <w:p w14:paraId="78FBF47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备注</w:t>
            </w:r>
          </w:p>
        </w:tc>
      </w:tr>
      <w:tr w:rsidR="0062768B" w14:paraId="781B660F" w14:textId="77777777">
        <w:trPr>
          <w:cantSplit/>
          <w:jc w:val="center"/>
        </w:trPr>
        <w:tc>
          <w:tcPr>
            <w:tcW w:w="860" w:type="pct"/>
            <w:vAlign w:val="center"/>
          </w:tcPr>
          <w:p w14:paraId="0C7115F8"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01-008</w:t>
            </w:r>
          </w:p>
        </w:tc>
        <w:tc>
          <w:tcPr>
            <w:tcW w:w="1172" w:type="pct"/>
            <w:vMerge w:val="restart"/>
            <w:vAlign w:val="center"/>
          </w:tcPr>
          <w:p w14:paraId="69647008"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p>
        </w:tc>
        <w:tc>
          <w:tcPr>
            <w:tcW w:w="860" w:type="pct"/>
            <w:vAlign w:val="center"/>
          </w:tcPr>
          <w:p w14:paraId="4D2AD1CD"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24804.85</w:t>
            </w:r>
          </w:p>
        </w:tc>
        <w:tc>
          <w:tcPr>
            <w:tcW w:w="624" w:type="pct"/>
            <w:vMerge w:val="restart"/>
            <w:vAlign w:val="center"/>
          </w:tcPr>
          <w:p w14:paraId="7EBF78B7"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1.2</w:t>
            </w:r>
          </w:p>
        </w:tc>
        <w:tc>
          <w:tcPr>
            <w:tcW w:w="938" w:type="pct"/>
            <w:vAlign w:val="center"/>
          </w:tcPr>
          <w:p w14:paraId="1286FD1E"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29765.82</w:t>
            </w:r>
          </w:p>
        </w:tc>
        <w:tc>
          <w:tcPr>
            <w:tcW w:w="546" w:type="pct"/>
            <w:vAlign w:val="center"/>
          </w:tcPr>
          <w:p w14:paraId="5FA92C75"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w:t>
            </w:r>
          </w:p>
        </w:tc>
      </w:tr>
      <w:tr w:rsidR="0062768B" w14:paraId="6600F413" w14:textId="77777777">
        <w:trPr>
          <w:cantSplit/>
          <w:jc w:val="center"/>
        </w:trPr>
        <w:tc>
          <w:tcPr>
            <w:tcW w:w="860" w:type="pct"/>
            <w:vAlign w:val="center"/>
          </w:tcPr>
          <w:p w14:paraId="4E273A52"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01-016</w:t>
            </w:r>
          </w:p>
        </w:tc>
        <w:tc>
          <w:tcPr>
            <w:tcW w:w="1172" w:type="pct"/>
            <w:vMerge/>
            <w:vAlign w:val="center"/>
          </w:tcPr>
          <w:p w14:paraId="51F532C8" w14:textId="77777777" w:rsidR="0062768B" w:rsidRDefault="0062768B">
            <w:pPr>
              <w:adjustRightInd/>
              <w:spacing w:line="240" w:lineRule="exact"/>
              <w:jc w:val="center"/>
              <w:rPr>
                <w:rFonts w:ascii="Arial" w:eastAsia="仿宋" w:hAnsi="Arial" w:cs="Arial"/>
                <w:sz w:val="18"/>
                <w:szCs w:val="18"/>
              </w:rPr>
            </w:pPr>
          </w:p>
        </w:tc>
        <w:tc>
          <w:tcPr>
            <w:tcW w:w="860" w:type="pct"/>
            <w:vAlign w:val="center"/>
          </w:tcPr>
          <w:p w14:paraId="46A9F813"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23103.85</w:t>
            </w:r>
          </w:p>
        </w:tc>
        <w:tc>
          <w:tcPr>
            <w:tcW w:w="624" w:type="pct"/>
            <w:vMerge/>
            <w:vAlign w:val="center"/>
          </w:tcPr>
          <w:p w14:paraId="019ECD71" w14:textId="77777777" w:rsidR="0062768B" w:rsidRDefault="0062768B">
            <w:pPr>
              <w:adjustRightInd/>
              <w:spacing w:line="240" w:lineRule="exact"/>
              <w:jc w:val="center"/>
              <w:rPr>
                <w:rFonts w:ascii="Arial" w:eastAsia="仿宋" w:hAnsi="Arial" w:cs="Arial"/>
                <w:sz w:val="18"/>
                <w:szCs w:val="18"/>
              </w:rPr>
            </w:pPr>
          </w:p>
        </w:tc>
        <w:tc>
          <w:tcPr>
            <w:tcW w:w="938" w:type="pct"/>
            <w:vAlign w:val="center"/>
          </w:tcPr>
          <w:p w14:paraId="443C280A"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27724.62</w:t>
            </w:r>
          </w:p>
        </w:tc>
        <w:tc>
          <w:tcPr>
            <w:tcW w:w="546" w:type="pct"/>
            <w:vAlign w:val="center"/>
          </w:tcPr>
          <w:p w14:paraId="52D8E61E"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w:t>
            </w:r>
          </w:p>
        </w:tc>
      </w:tr>
      <w:tr w:rsidR="0062768B" w14:paraId="539DAA39" w14:textId="77777777">
        <w:trPr>
          <w:cantSplit/>
          <w:jc w:val="center"/>
        </w:trPr>
        <w:tc>
          <w:tcPr>
            <w:tcW w:w="860" w:type="pct"/>
            <w:vAlign w:val="center"/>
          </w:tcPr>
          <w:p w14:paraId="4DA05B50"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01-026-1</w:t>
            </w:r>
          </w:p>
        </w:tc>
        <w:tc>
          <w:tcPr>
            <w:tcW w:w="1172" w:type="pct"/>
            <w:vMerge/>
            <w:vAlign w:val="center"/>
          </w:tcPr>
          <w:p w14:paraId="1BDBE0CF" w14:textId="77777777" w:rsidR="0062768B" w:rsidRDefault="0062768B">
            <w:pPr>
              <w:adjustRightInd/>
              <w:spacing w:line="240" w:lineRule="exact"/>
              <w:jc w:val="center"/>
              <w:rPr>
                <w:rFonts w:ascii="Arial" w:eastAsia="仿宋" w:hAnsi="Arial" w:cs="Arial"/>
                <w:sz w:val="18"/>
                <w:szCs w:val="18"/>
              </w:rPr>
            </w:pPr>
          </w:p>
        </w:tc>
        <w:tc>
          <w:tcPr>
            <w:tcW w:w="860" w:type="pct"/>
            <w:vAlign w:val="center"/>
          </w:tcPr>
          <w:p w14:paraId="5D4C2962"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8881.75</w:t>
            </w:r>
          </w:p>
        </w:tc>
        <w:tc>
          <w:tcPr>
            <w:tcW w:w="624" w:type="pct"/>
            <w:vMerge/>
            <w:vAlign w:val="center"/>
          </w:tcPr>
          <w:p w14:paraId="4DDC79AE" w14:textId="77777777" w:rsidR="0062768B" w:rsidRDefault="0062768B">
            <w:pPr>
              <w:adjustRightInd/>
              <w:spacing w:line="240" w:lineRule="exact"/>
              <w:jc w:val="center"/>
              <w:rPr>
                <w:rFonts w:ascii="Arial" w:eastAsia="仿宋" w:hAnsi="Arial" w:cs="Arial"/>
                <w:sz w:val="18"/>
                <w:szCs w:val="18"/>
              </w:rPr>
            </w:pPr>
          </w:p>
        </w:tc>
        <w:tc>
          <w:tcPr>
            <w:tcW w:w="938" w:type="pct"/>
            <w:vAlign w:val="center"/>
          </w:tcPr>
          <w:p w14:paraId="1E34E353"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10658.10</w:t>
            </w:r>
          </w:p>
        </w:tc>
        <w:tc>
          <w:tcPr>
            <w:tcW w:w="546" w:type="pct"/>
            <w:vAlign w:val="center"/>
          </w:tcPr>
          <w:p w14:paraId="6E01BC32"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w:t>
            </w:r>
          </w:p>
        </w:tc>
      </w:tr>
      <w:tr w:rsidR="0062768B" w14:paraId="663C7B30" w14:textId="77777777">
        <w:trPr>
          <w:cantSplit/>
          <w:jc w:val="center"/>
        </w:trPr>
        <w:tc>
          <w:tcPr>
            <w:tcW w:w="2032" w:type="pct"/>
            <w:gridSpan w:val="2"/>
            <w:vAlign w:val="center"/>
          </w:tcPr>
          <w:p w14:paraId="62982173"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小计</w:t>
            </w:r>
          </w:p>
        </w:tc>
        <w:tc>
          <w:tcPr>
            <w:tcW w:w="860" w:type="pct"/>
            <w:vAlign w:val="center"/>
          </w:tcPr>
          <w:p w14:paraId="01482354"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56790.45</w:t>
            </w:r>
          </w:p>
        </w:tc>
        <w:tc>
          <w:tcPr>
            <w:tcW w:w="624" w:type="pct"/>
            <w:vAlign w:val="center"/>
          </w:tcPr>
          <w:p w14:paraId="47800C3B"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1.2</w:t>
            </w:r>
          </w:p>
        </w:tc>
        <w:tc>
          <w:tcPr>
            <w:tcW w:w="938" w:type="pct"/>
            <w:vAlign w:val="center"/>
          </w:tcPr>
          <w:p w14:paraId="16620E8D"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68148.54</w:t>
            </w:r>
          </w:p>
        </w:tc>
        <w:tc>
          <w:tcPr>
            <w:tcW w:w="546" w:type="pct"/>
            <w:vAlign w:val="center"/>
          </w:tcPr>
          <w:p w14:paraId="4AD4F15E" w14:textId="77777777" w:rsidR="0062768B" w:rsidRDefault="0062768B">
            <w:pPr>
              <w:adjustRightInd/>
              <w:spacing w:line="240" w:lineRule="exact"/>
              <w:jc w:val="center"/>
              <w:rPr>
                <w:rFonts w:ascii="Arial" w:eastAsia="仿宋" w:hAnsi="Arial" w:cs="Arial"/>
                <w:sz w:val="18"/>
                <w:szCs w:val="18"/>
              </w:rPr>
            </w:pPr>
          </w:p>
        </w:tc>
      </w:tr>
      <w:tr w:rsidR="0062768B" w14:paraId="61804B01" w14:textId="77777777">
        <w:trPr>
          <w:cantSplit/>
          <w:jc w:val="center"/>
        </w:trPr>
        <w:tc>
          <w:tcPr>
            <w:tcW w:w="860" w:type="pct"/>
            <w:vAlign w:val="center"/>
          </w:tcPr>
          <w:p w14:paraId="394ECAB0"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01-020</w:t>
            </w:r>
          </w:p>
        </w:tc>
        <w:tc>
          <w:tcPr>
            <w:tcW w:w="1172" w:type="pct"/>
            <w:vAlign w:val="center"/>
          </w:tcPr>
          <w:p w14:paraId="1EC28B25"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A334</w:t>
            </w:r>
            <w:r>
              <w:rPr>
                <w:rFonts w:ascii="Arial" w:eastAsia="仿宋" w:hAnsi="Arial" w:cs="Arial"/>
                <w:sz w:val="18"/>
                <w:szCs w:val="18"/>
              </w:rPr>
              <w:t>托幼用地</w:t>
            </w:r>
          </w:p>
        </w:tc>
        <w:tc>
          <w:tcPr>
            <w:tcW w:w="860" w:type="pct"/>
            <w:vAlign w:val="center"/>
          </w:tcPr>
          <w:p w14:paraId="2860CFAD"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4199.98</w:t>
            </w:r>
          </w:p>
        </w:tc>
        <w:tc>
          <w:tcPr>
            <w:tcW w:w="624" w:type="pct"/>
            <w:vAlign w:val="center"/>
          </w:tcPr>
          <w:p w14:paraId="250BF365"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0.8</w:t>
            </w:r>
          </w:p>
        </w:tc>
        <w:tc>
          <w:tcPr>
            <w:tcW w:w="938" w:type="pct"/>
            <w:vAlign w:val="center"/>
          </w:tcPr>
          <w:p w14:paraId="56853179"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3359.98</w:t>
            </w:r>
          </w:p>
        </w:tc>
        <w:tc>
          <w:tcPr>
            <w:tcW w:w="546" w:type="pct"/>
            <w:vAlign w:val="center"/>
          </w:tcPr>
          <w:p w14:paraId="4EC7C93F"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不出让</w:t>
            </w:r>
          </w:p>
        </w:tc>
      </w:tr>
      <w:tr w:rsidR="0062768B" w14:paraId="4BA8A7C1" w14:textId="77777777">
        <w:trPr>
          <w:cantSplit/>
          <w:jc w:val="center"/>
        </w:trPr>
        <w:tc>
          <w:tcPr>
            <w:tcW w:w="2032" w:type="pct"/>
            <w:gridSpan w:val="2"/>
            <w:vAlign w:val="center"/>
          </w:tcPr>
          <w:p w14:paraId="11CA4C65"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小计</w:t>
            </w:r>
          </w:p>
        </w:tc>
        <w:tc>
          <w:tcPr>
            <w:tcW w:w="860" w:type="pct"/>
            <w:vAlign w:val="center"/>
          </w:tcPr>
          <w:p w14:paraId="18E168CE"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4199.98</w:t>
            </w:r>
          </w:p>
        </w:tc>
        <w:tc>
          <w:tcPr>
            <w:tcW w:w="624" w:type="pct"/>
            <w:vAlign w:val="center"/>
          </w:tcPr>
          <w:p w14:paraId="1A7E5D7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0.8</w:t>
            </w:r>
          </w:p>
        </w:tc>
        <w:tc>
          <w:tcPr>
            <w:tcW w:w="938" w:type="pct"/>
            <w:vAlign w:val="center"/>
          </w:tcPr>
          <w:p w14:paraId="7CD43B4D"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3359.98</w:t>
            </w:r>
          </w:p>
        </w:tc>
        <w:tc>
          <w:tcPr>
            <w:tcW w:w="546" w:type="pct"/>
            <w:vAlign w:val="center"/>
          </w:tcPr>
          <w:p w14:paraId="74F3E517" w14:textId="77777777" w:rsidR="0062768B" w:rsidRDefault="0062768B">
            <w:pPr>
              <w:adjustRightInd/>
              <w:spacing w:line="240" w:lineRule="exact"/>
              <w:jc w:val="center"/>
              <w:rPr>
                <w:rFonts w:ascii="Arial" w:eastAsia="仿宋" w:hAnsi="Arial" w:cs="Arial"/>
                <w:sz w:val="18"/>
                <w:szCs w:val="18"/>
              </w:rPr>
            </w:pPr>
          </w:p>
        </w:tc>
      </w:tr>
      <w:tr w:rsidR="0062768B" w14:paraId="366A7CC4" w14:textId="77777777">
        <w:trPr>
          <w:cantSplit/>
          <w:jc w:val="center"/>
        </w:trPr>
        <w:tc>
          <w:tcPr>
            <w:tcW w:w="2032" w:type="pct"/>
            <w:gridSpan w:val="2"/>
            <w:vAlign w:val="center"/>
          </w:tcPr>
          <w:p w14:paraId="20386F75"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合计</w:t>
            </w:r>
          </w:p>
        </w:tc>
        <w:tc>
          <w:tcPr>
            <w:tcW w:w="860" w:type="pct"/>
            <w:vAlign w:val="center"/>
          </w:tcPr>
          <w:p w14:paraId="301894E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60990.43</w:t>
            </w:r>
          </w:p>
        </w:tc>
        <w:tc>
          <w:tcPr>
            <w:tcW w:w="624" w:type="pct"/>
            <w:vAlign w:val="center"/>
          </w:tcPr>
          <w:p w14:paraId="3A151AA4"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w:t>
            </w:r>
          </w:p>
        </w:tc>
        <w:tc>
          <w:tcPr>
            <w:tcW w:w="938" w:type="pct"/>
            <w:vAlign w:val="center"/>
          </w:tcPr>
          <w:p w14:paraId="56ABCC4F"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71508.52</w:t>
            </w:r>
          </w:p>
        </w:tc>
        <w:tc>
          <w:tcPr>
            <w:tcW w:w="546" w:type="pct"/>
            <w:vAlign w:val="center"/>
          </w:tcPr>
          <w:p w14:paraId="17C9DE8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w:t>
            </w:r>
          </w:p>
        </w:tc>
      </w:tr>
    </w:tbl>
    <w:p w14:paraId="2E414CFC" w14:textId="77777777" w:rsidR="0062768B" w:rsidRDefault="0062768B">
      <w:pPr>
        <w:tabs>
          <w:tab w:val="left" w:pos="9027"/>
        </w:tabs>
        <w:adjustRightInd/>
        <w:spacing w:line="240" w:lineRule="exact"/>
        <w:ind w:firstLineChars="200" w:firstLine="360"/>
        <w:jc w:val="both"/>
        <w:rPr>
          <w:rFonts w:ascii="Arial" w:eastAsia="仿宋_GB2312" w:hAnsi="Arial" w:cs="Arial"/>
          <w:sz w:val="18"/>
          <w:szCs w:val="18"/>
        </w:rPr>
      </w:pPr>
    </w:p>
    <w:p w14:paraId="1A333AF6" w14:textId="77777777" w:rsidR="0062768B" w:rsidRDefault="00136729">
      <w:pPr>
        <w:tabs>
          <w:tab w:val="left" w:pos="9027"/>
        </w:tabs>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w:t>
      </w:r>
      <w:r>
        <w:rPr>
          <w:rFonts w:ascii="Arial" w:eastAsia="仿宋_GB2312" w:hAnsi="Arial" w:cs="Arial" w:hint="eastAsia"/>
          <w:sz w:val="28"/>
        </w:rPr>
        <w:t>开发</w:t>
      </w:r>
      <w:r>
        <w:rPr>
          <w:rFonts w:ascii="Arial" w:eastAsia="仿宋_GB2312" w:hAnsi="Arial" w:cs="Arial"/>
          <w:sz w:val="28"/>
        </w:rPr>
        <w:t>利润率</w:t>
      </w:r>
    </w:p>
    <w:p w14:paraId="3A69B9EC"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土地估价专业评估师的调查以及查阅相关资料，房地产开发利润受开发环境、政策等众多因素影响，项目开发周期长，开发价值相对较高。而且，近年来北京市住宅、综合等各用途开发利润率均有较大幅度的增长。</w:t>
      </w:r>
    </w:p>
    <w:p w14:paraId="050E6250" w14:textId="77777777" w:rsidR="0062768B" w:rsidRDefault="00136729">
      <w:pPr>
        <w:pStyle w:val="11"/>
        <w:autoSpaceDE w:val="0"/>
        <w:autoSpaceDN w:val="0"/>
        <w:adjustRightInd/>
        <w:spacing w:line="300" w:lineRule="auto"/>
        <w:ind w:firstLineChars="203" w:firstLine="568"/>
        <w:jc w:val="both"/>
        <w:textAlignment w:val="bottom"/>
        <w:rPr>
          <w:rFonts w:ascii="Arial" w:eastAsia="仿宋_GB2312" w:hAnsi="Arial" w:cs="Arial"/>
          <w:sz w:val="28"/>
        </w:rPr>
      </w:pPr>
      <w:r>
        <w:rPr>
          <w:rFonts w:ascii="Arial" w:eastAsia="仿宋_GB2312" w:hAnsi="Arial" w:cs="Arial"/>
          <w:sz w:val="28"/>
        </w:rPr>
        <w:t>估价对象位于北京市</w:t>
      </w:r>
      <w:r>
        <w:rPr>
          <w:rFonts w:ascii="Arial" w:eastAsia="仿宋_GB2312" w:hAnsi="Arial" w:cs="Arial" w:hint="eastAsia"/>
          <w:sz w:val="28"/>
        </w:rPr>
        <w:t>顺义</w:t>
      </w:r>
      <w:r>
        <w:rPr>
          <w:rFonts w:ascii="Arial" w:eastAsia="仿宋_GB2312" w:hAnsi="Arial" w:cs="Arial"/>
          <w:sz w:val="28"/>
        </w:rPr>
        <w:t>区，</w:t>
      </w:r>
      <w:r>
        <w:rPr>
          <w:rFonts w:ascii="Arial" w:eastAsia="仿宋_GB2312" w:hAnsi="Arial" w:cs="Arial" w:hint="eastAsia"/>
          <w:sz w:val="28"/>
        </w:rPr>
        <w:t>规划用途为</w:t>
      </w:r>
      <w:r>
        <w:rPr>
          <w:rFonts w:ascii="Arial" w:eastAsia="仿宋" w:hAnsi="Arial" w:cs="Arial"/>
          <w:sz w:val="28"/>
        </w:rPr>
        <w:t>住宅、商业（其他商服）、公共服务用地</w:t>
      </w:r>
      <w:r>
        <w:rPr>
          <w:rFonts w:ascii="Arial" w:eastAsia="仿宋_GB2312" w:hAnsi="Arial" w:cs="Arial" w:hint="eastAsia"/>
          <w:sz w:val="28"/>
        </w:rPr>
        <w:t>。</w:t>
      </w:r>
      <w:r>
        <w:rPr>
          <w:rFonts w:ascii="Arial" w:eastAsia="仿宋_GB2312" w:hAnsi="Arial" w:cs="Arial"/>
          <w:sz w:val="28"/>
        </w:rPr>
        <w:t>根据估价对象的实际情况，本次</w:t>
      </w:r>
      <w:proofErr w:type="gramStart"/>
      <w:r>
        <w:rPr>
          <w:rFonts w:ascii="Arial" w:eastAsia="仿宋_GB2312" w:hAnsi="Arial" w:cs="Arial"/>
          <w:sz w:val="28"/>
        </w:rPr>
        <w:t>取项目</w:t>
      </w:r>
      <w:proofErr w:type="gramEnd"/>
      <w:r>
        <w:rPr>
          <w:rFonts w:ascii="Arial" w:eastAsia="仿宋_GB2312" w:hAnsi="Arial" w:cs="Arial" w:hint="eastAsia"/>
          <w:sz w:val="28"/>
        </w:rPr>
        <w:t>住宅</w:t>
      </w:r>
      <w:r>
        <w:rPr>
          <w:rFonts w:ascii="Arial" w:eastAsia="仿宋_GB2312" w:hAnsi="Arial" w:cs="Arial"/>
          <w:sz w:val="28"/>
        </w:rPr>
        <w:t>用途综合利润率为</w:t>
      </w:r>
      <w:r>
        <w:rPr>
          <w:rFonts w:ascii="Arial" w:eastAsia="仿宋_GB2312" w:hAnsi="Arial" w:cs="Arial"/>
          <w:sz w:val="28"/>
        </w:rPr>
        <w:t>30%</w:t>
      </w:r>
      <w:r>
        <w:rPr>
          <w:rFonts w:ascii="Arial" w:eastAsia="仿宋_GB2312" w:hAnsi="Arial" w:cs="Arial" w:hint="eastAsia"/>
          <w:sz w:val="28"/>
        </w:rPr>
        <w:t>，</w:t>
      </w:r>
      <w:r>
        <w:rPr>
          <w:rFonts w:ascii="Arial" w:eastAsia="仿宋_GB2312" w:hAnsi="Arial" w:cs="Arial"/>
          <w:sz w:val="28"/>
        </w:rPr>
        <w:t>商业</w:t>
      </w:r>
      <w:r>
        <w:rPr>
          <w:rFonts w:ascii="Arial" w:eastAsia="仿宋_GB2312" w:hAnsi="Arial" w:cs="Arial" w:hint="eastAsia"/>
          <w:sz w:val="28"/>
        </w:rPr>
        <w:t>（其他商服）</w:t>
      </w:r>
      <w:r>
        <w:rPr>
          <w:rFonts w:ascii="Arial" w:eastAsia="仿宋_GB2312" w:hAnsi="Arial" w:cs="Arial"/>
          <w:sz w:val="28"/>
        </w:rPr>
        <w:t>用途综合利润率为</w:t>
      </w:r>
      <w:r>
        <w:rPr>
          <w:rFonts w:ascii="Arial" w:eastAsia="仿宋_GB2312" w:hAnsi="Arial" w:cs="Arial"/>
          <w:sz w:val="28"/>
        </w:rPr>
        <w:t>2</w:t>
      </w:r>
      <w:r>
        <w:rPr>
          <w:rFonts w:ascii="Arial" w:eastAsia="仿宋_GB2312" w:hAnsi="Arial" w:cs="Arial" w:hint="eastAsia"/>
          <w:sz w:val="28"/>
        </w:rPr>
        <w:t>0</w:t>
      </w:r>
      <w:r>
        <w:rPr>
          <w:rFonts w:ascii="Arial" w:eastAsia="仿宋_GB2312" w:hAnsi="Arial" w:cs="Arial"/>
          <w:sz w:val="28"/>
        </w:rPr>
        <w:t>%</w:t>
      </w:r>
      <w:r>
        <w:rPr>
          <w:rFonts w:ascii="Arial" w:eastAsia="仿宋_GB2312" w:hAnsi="Arial" w:cs="Arial" w:hint="eastAsia"/>
          <w:sz w:val="28"/>
        </w:rPr>
        <w:t>，公共服务</w:t>
      </w:r>
      <w:r>
        <w:rPr>
          <w:rFonts w:ascii="Arial" w:eastAsia="仿宋_GB2312" w:hAnsi="Arial" w:cs="Arial"/>
          <w:sz w:val="28"/>
        </w:rPr>
        <w:t>用途综合利润率为</w:t>
      </w:r>
      <w:r>
        <w:rPr>
          <w:rFonts w:ascii="Arial" w:eastAsia="仿宋_GB2312" w:hAnsi="Arial" w:cs="Arial"/>
          <w:sz w:val="28"/>
        </w:rPr>
        <w:t>10%</w:t>
      </w:r>
      <w:r>
        <w:rPr>
          <w:rFonts w:ascii="Arial" w:eastAsia="仿宋_GB2312" w:hAnsi="Arial" w:cs="Arial"/>
          <w:sz w:val="28"/>
        </w:rPr>
        <w:t>。</w:t>
      </w:r>
    </w:p>
    <w:p w14:paraId="13DE46CB" w14:textId="77777777" w:rsidR="0062768B" w:rsidRDefault="00136729">
      <w:pPr>
        <w:pStyle w:val="11"/>
        <w:autoSpaceDE w:val="0"/>
        <w:autoSpaceDN w:val="0"/>
        <w:adjustRightInd/>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工期情况说明：</w:t>
      </w:r>
    </w:p>
    <w:p w14:paraId="514EA845" w14:textId="77777777" w:rsidR="0062768B" w:rsidRDefault="00136729">
      <w:pPr>
        <w:pStyle w:val="11"/>
        <w:autoSpaceDE w:val="0"/>
        <w:autoSpaceDN w:val="0"/>
        <w:adjustRightInd/>
        <w:spacing w:line="300" w:lineRule="auto"/>
        <w:ind w:firstLine="570"/>
        <w:jc w:val="both"/>
        <w:textAlignment w:val="bottom"/>
        <w:rPr>
          <w:rFonts w:ascii="Arial" w:eastAsia="仿宋_GB2312" w:hAnsi="Arial" w:cs="Arial"/>
          <w:sz w:val="28"/>
        </w:rPr>
      </w:pPr>
      <w:r>
        <w:rPr>
          <w:rFonts w:ascii="Arial" w:eastAsia="仿宋_GB2312" w:hAnsi="Arial" w:cs="Arial"/>
          <w:sz w:val="28"/>
        </w:rPr>
        <w:t>土地开发期：</w:t>
      </w:r>
      <w:r>
        <w:rPr>
          <w:rFonts w:ascii="Arial" w:eastAsia="仿宋_GB2312" w:hAnsi="Arial" w:cs="Arial"/>
          <w:sz w:val="28"/>
        </w:rPr>
        <w:t>0</w:t>
      </w:r>
      <w:r>
        <w:rPr>
          <w:rFonts w:ascii="Arial" w:eastAsia="仿宋_GB2312" w:hAnsi="Arial" w:cs="Arial"/>
          <w:sz w:val="28"/>
        </w:rPr>
        <w:t>年</w:t>
      </w:r>
    </w:p>
    <w:p w14:paraId="519A46B1" w14:textId="77777777" w:rsidR="0062768B" w:rsidRDefault="00136729">
      <w:pPr>
        <w:pStyle w:val="11"/>
        <w:autoSpaceDE w:val="0"/>
        <w:autoSpaceDN w:val="0"/>
        <w:adjustRightInd/>
        <w:spacing w:line="300" w:lineRule="auto"/>
        <w:ind w:firstLine="570"/>
        <w:jc w:val="both"/>
        <w:textAlignment w:val="bottom"/>
        <w:rPr>
          <w:rFonts w:ascii="Arial" w:eastAsia="仿宋_GB2312" w:hAnsi="Arial" w:cs="Arial"/>
          <w:sz w:val="28"/>
        </w:rPr>
      </w:pPr>
      <w:r>
        <w:rPr>
          <w:rFonts w:ascii="Arial" w:eastAsia="仿宋_GB2312" w:hAnsi="Arial" w:cs="Arial"/>
          <w:sz w:val="28"/>
        </w:rPr>
        <w:t>建筑物建设期：</w:t>
      </w:r>
      <w:r>
        <w:rPr>
          <w:rFonts w:ascii="Arial" w:eastAsia="仿宋_GB2312" w:hAnsi="Arial" w:cs="Arial"/>
          <w:sz w:val="28"/>
        </w:rPr>
        <w:t>2.5</w:t>
      </w:r>
      <w:r>
        <w:rPr>
          <w:rFonts w:ascii="Arial" w:eastAsia="仿宋_GB2312" w:hAnsi="Arial" w:cs="Arial"/>
          <w:sz w:val="28"/>
        </w:rPr>
        <w:t>年</w:t>
      </w:r>
    </w:p>
    <w:p w14:paraId="2696D629" w14:textId="77777777" w:rsidR="0062768B" w:rsidRDefault="0062768B">
      <w:pPr>
        <w:pStyle w:val="11"/>
        <w:autoSpaceDE w:val="0"/>
        <w:autoSpaceDN w:val="0"/>
        <w:spacing w:line="300" w:lineRule="auto"/>
        <w:ind w:right="140" w:firstLine="570"/>
        <w:jc w:val="both"/>
        <w:textAlignment w:val="bottom"/>
        <w:rPr>
          <w:rFonts w:ascii="Arial" w:eastAsia="仿宋_GB2312" w:hAnsi="Arial" w:cs="Arial"/>
          <w:sz w:val="28"/>
        </w:rPr>
      </w:pPr>
    </w:p>
    <w:p w14:paraId="03A29EEB" w14:textId="77777777" w:rsidR="0062768B" w:rsidRDefault="0062768B">
      <w:pPr>
        <w:pStyle w:val="11"/>
        <w:autoSpaceDE w:val="0"/>
        <w:autoSpaceDN w:val="0"/>
        <w:spacing w:line="300" w:lineRule="auto"/>
        <w:ind w:right="140" w:firstLine="570"/>
        <w:jc w:val="both"/>
        <w:textAlignment w:val="bottom"/>
        <w:rPr>
          <w:rFonts w:ascii="Arial" w:eastAsia="仿宋_GB2312" w:hAnsi="Arial" w:cs="Arial"/>
          <w:sz w:val="28"/>
        </w:rPr>
      </w:pPr>
    </w:p>
    <w:p w14:paraId="10B73D72" w14:textId="77777777" w:rsidR="0062768B" w:rsidRDefault="00136729">
      <w:pPr>
        <w:spacing w:line="300" w:lineRule="auto"/>
        <w:ind w:firstLineChars="200" w:firstLine="562"/>
        <w:jc w:val="both"/>
        <w:rPr>
          <w:rFonts w:ascii="Arial" w:eastAsia="仿宋_GB2312" w:hAnsi="Arial" w:cs="Arial"/>
          <w:b/>
          <w:sz w:val="28"/>
        </w:rPr>
      </w:pPr>
      <w:r>
        <w:rPr>
          <w:rFonts w:ascii="Arial" w:eastAsia="仿宋_GB2312" w:hAnsi="Arial" w:cs="Arial"/>
          <w:b/>
          <w:sz w:val="28"/>
        </w:rPr>
        <w:lastRenderedPageBreak/>
        <w:t>测算过程</w:t>
      </w:r>
    </w:p>
    <w:p w14:paraId="60BCE7FF" w14:textId="77777777" w:rsidR="0062768B" w:rsidRDefault="00136729">
      <w:pPr>
        <w:adjustRightInd/>
        <w:snapToGrid w:val="0"/>
        <w:spacing w:line="300" w:lineRule="auto"/>
        <w:ind w:firstLineChars="200" w:firstLine="562"/>
        <w:textAlignment w:val="auto"/>
        <w:rPr>
          <w:rFonts w:ascii="Arial" w:eastAsia="仿宋_GB2312" w:hAnsi="Arial" w:cs="Arial"/>
          <w:b/>
          <w:bCs/>
          <w:sz w:val="28"/>
        </w:rPr>
      </w:pPr>
      <w:r>
        <w:rPr>
          <w:rFonts w:ascii="Arial" w:eastAsia="仿宋_GB2312" w:hAnsi="Arial" w:cs="Arial" w:hint="eastAsia"/>
          <w:b/>
          <w:bCs/>
          <w:sz w:val="28"/>
        </w:rPr>
        <w:t>1.</w:t>
      </w:r>
      <w:r>
        <w:rPr>
          <w:rFonts w:ascii="Arial" w:eastAsia="仿宋_GB2312" w:hAnsi="Arial" w:cs="Arial"/>
          <w:b/>
          <w:bCs/>
          <w:sz w:val="28"/>
        </w:rPr>
        <w:t>基准地价系数修正法</w:t>
      </w:r>
    </w:p>
    <w:p w14:paraId="4A1D1A92"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sz w:val="28"/>
        </w:rPr>
        <w:t>1</w:t>
      </w:r>
      <w:r>
        <w:rPr>
          <w:rFonts w:ascii="Arial" w:eastAsia="仿宋_GB2312" w:hAnsi="Arial" w:cs="Arial" w:hint="eastAsia"/>
          <w:sz w:val="28"/>
        </w:rPr>
        <w:t>）</w:t>
      </w:r>
      <w:r>
        <w:rPr>
          <w:rFonts w:ascii="Arial" w:eastAsia="仿宋_GB2312" w:hAnsi="Arial" w:cs="Arial"/>
          <w:sz w:val="28"/>
        </w:rPr>
        <w:t xml:space="preserve"> </w:t>
      </w:r>
      <w:r>
        <w:rPr>
          <w:rFonts w:ascii="Arial" w:eastAsia="仿宋" w:hAnsi="Arial" w:cs="Arial"/>
          <w:sz w:val="28"/>
          <w:szCs w:val="28"/>
        </w:rPr>
        <w:t>求取估价对象住宅用地楼面熟地价</w:t>
      </w:r>
    </w:p>
    <w:p w14:paraId="59913352"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A.</w:t>
      </w:r>
      <w:r>
        <w:rPr>
          <w:rFonts w:ascii="Arial" w:eastAsia="仿宋" w:hAnsi="Arial" w:cs="Arial"/>
          <w:sz w:val="28"/>
          <w:szCs w:val="28"/>
        </w:rPr>
        <w:t xml:space="preserve"> </w:t>
      </w:r>
      <w:r>
        <w:rPr>
          <w:rFonts w:ascii="Arial" w:eastAsia="仿宋" w:hAnsi="Arial" w:cs="Arial"/>
          <w:sz w:val="28"/>
          <w:szCs w:val="28"/>
        </w:rPr>
        <w:t>有关北京市基准地价的说明</w:t>
      </w:r>
    </w:p>
    <w:p w14:paraId="326ABA4A" w14:textId="77777777" w:rsidR="0062768B" w:rsidRDefault="00136729">
      <w:pPr>
        <w:pStyle w:val="a6"/>
        <w:overflowPunct w:val="0"/>
        <w:snapToGrid w:val="0"/>
        <w:spacing w:line="300" w:lineRule="auto"/>
        <w:ind w:firstLineChars="200" w:firstLine="560"/>
        <w:rPr>
          <w:rFonts w:ascii="Arial" w:eastAsia="仿宋" w:hAnsi="Arial" w:cs="Arial"/>
          <w:sz w:val="28"/>
          <w:szCs w:val="28"/>
        </w:rPr>
      </w:pPr>
      <w:r>
        <w:rPr>
          <w:rFonts w:ascii="Arial" w:eastAsia="仿宋_GB2312" w:hAnsi="Arial" w:cs="Arial" w:hint="eastAsia"/>
          <w:sz w:val="28"/>
        </w:rPr>
        <w:t>a.</w:t>
      </w:r>
      <w:r>
        <w:rPr>
          <w:rFonts w:ascii="Arial" w:eastAsia="仿宋" w:hAnsi="Arial" w:cs="Arial"/>
          <w:sz w:val="28"/>
          <w:szCs w:val="28"/>
        </w:rPr>
        <w:t xml:space="preserve"> </w:t>
      </w:r>
      <w:r>
        <w:rPr>
          <w:rFonts w:ascii="Arial" w:eastAsia="仿宋" w:hAnsi="Arial" w:cs="Arial"/>
          <w:sz w:val="28"/>
          <w:szCs w:val="28"/>
        </w:rPr>
        <w:t>北京市人民政府于</w:t>
      </w:r>
      <w:r>
        <w:rPr>
          <w:rFonts w:ascii="Arial" w:eastAsia="仿宋" w:hAnsi="Arial" w:cs="Arial"/>
          <w:sz w:val="28"/>
          <w:szCs w:val="28"/>
        </w:rPr>
        <w:t>2022</w:t>
      </w:r>
      <w:r>
        <w:rPr>
          <w:rFonts w:ascii="Arial" w:eastAsia="仿宋" w:hAnsi="Arial" w:cs="Arial"/>
          <w:sz w:val="28"/>
          <w:szCs w:val="28"/>
        </w:rPr>
        <w:t>年</w:t>
      </w:r>
      <w:r>
        <w:rPr>
          <w:rFonts w:ascii="Arial" w:eastAsia="仿宋" w:hAnsi="Arial" w:cs="Arial"/>
          <w:sz w:val="28"/>
          <w:szCs w:val="28"/>
        </w:rPr>
        <w:t>3</w:t>
      </w:r>
      <w:r>
        <w:rPr>
          <w:rFonts w:ascii="Arial" w:eastAsia="仿宋" w:hAnsi="Arial" w:cs="Arial"/>
          <w:sz w:val="28"/>
          <w:szCs w:val="28"/>
        </w:rPr>
        <w:t>月</w:t>
      </w:r>
      <w:r>
        <w:rPr>
          <w:rFonts w:ascii="Arial" w:eastAsia="仿宋" w:hAnsi="Arial" w:cs="Arial"/>
          <w:sz w:val="28"/>
          <w:szCs w:val="28"/>
        </w:rPr>
        <w:t>14</w:t>
      </w:r>
      <w:r>
        <w:rPr>
          <w:rFonts w:ascii="Arial" w:eastAsia="仿宋" w:hAnsi="Arial" w:cs="Arial"/>
          <w:sz w:val="28"/>
          <w:szCs w:val="28"/>
        </w:rPr>
        <w:t>日印发了《北京市人民政府关于更新出让国有建设用地使用权基准地价的通知》（京政发【</w:t>
      </w:r>
      <w:r>
        <w:rPr>
          <w:rFonts w:ascii="Arial" w:eastAsia="仿宋" w:hAnsi="Arial" w:cs="Arial"/>
          <w:sz w:val="28"/>
          <w:szCs w:val="28"/>
        </w:rPr>
        <w:t>2022</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43797922" w14:textId="77777777" w:rsidR="0062768B" w:rsidRDefault="00136729">
      <w:pPr>
        <w:overflowPunct w:val="0"/>
        <w:adjustRightInd/>
        <w:snapToGrid w:val="0"/>
        <w:spacing w:line="300" w:lineRule="auto"/>
        <w:ind w:firstLineChars="200" w:firstLine="560"/>
        <w:jc w:val="both"/>
        <w:textAlignment w:val="auto"/>
        <w:rPr>
          <w:rFonts w:ascii="Arial" w:eastAsia="仿宋" w:hAnsi="Arial" w:cs="Arial"/>
          <w:sz w:val="28"/>
          <w:szCs w:val="28"/>
        </w:rPr>
      </w:pPr>
      <w:r>
        <w:rPr>
          <w:rFonts w:ascii="Arial" w:eastAsia="仿宋" w:hAnsi="Arial" w:cs="Arial"/>
          <w:sz w:val="28"/>
          <w:szCs w:val="28"/>
        </w:rPr>
        <w:t>基准地价成果属于政府公示地价，作为确定国有建设用地使用权出让价格审定、国有建设用地租赁租金审定、企业改制土地资产价格处置等依据之一。其他情形参照执行。</w:t>
      </w:r>
    </w:p>
    <w:p w14:paraId="2628D56F" w14:textId="77777777" w:rsidR="0062768B" w:rsidRDefault="00136729">
      <w:pPr>
        <w:overflowPunct w:val="0"/>
        <w:adjustRightInd/>
        <w:snapToGrid w:val="0"/>
        <w:spacing w:line="300" w:lineRule="auto"/>
        <w:ind w:firstLineChars="200" w:firstLine="560"/>
        <w:jc w:val="both"/>
        <w:textAlignment w:val="auto"/>
        <w:rPr>
          <w:rFonts w:ascii="Arial" w:eastAsia="仿宋" w:hAnsi="Arial" w:cs="Arial"/>
          <w:sz w:val="28"/>
          <w:szCs w:val="28"/>
        </w:rPr>
      </w:pPr>
      <w:r>
        <w:rPr>
          <w:rFonts w:ascii="Arial" w:eastAsia="仿宋" w:hAnsi="Arial" w:cs="Arial"/>
          <w:sz w:val="28"/>
          <w:szCs w:val="28"/>
        </w:rPr>
        <w:t>《北京市出让国有建设用地使用权基准地价更新成果》包括基准地价基本内容、基准地价表、基准地价级别</w:t>
      </w:r>
      <w:r>
        <w:rPr>
          <w:rFonts w:ascii="Arial" w:eastAsia="仿宋" w:hAnsi="Arial" w:cs="Arial"/>
          <w:sz w:val="28"/>
          <w:szCs w:val="28"/>
        </w:rPr>
        <w:t>(</w:t>
      </w:r>
      <w:r>
        <w:rPr>
          <w:rFonts w:ascii="Arial" w:eastAsia="仿宋" w:hAnsi="Arial" w:cs="Arial"/>
          <w:sz w:val="28"/>
          <w:szCs w:val="28"/>
        </w:rPr>
        <w:t>区片</w:t>
      </w:r>
      <w:r>
        <w:rPr>
          <w:rFonts w:ascii="Arial" w:eastAsia="仿宋" w:hAnsi="Arial" w:cs="Arial"/>
          <w:sz w:val="28"/>
          <w:szCs w:val="28"/>
        </w:rPr>
        <w:t>)</w:t>
      </w:r>
      <w:r>
        <w:rPr>
          <w:rFonts w:ascii="Arial" w:eastAsia="仿宋" w:hAnsi="Arial" w:cs="Arial"/>
          <w:sz w:val="28"/>
          <w:szCs w:val="28"/>
        </w:rPr>
        <w:t>范围说明、基准地价应用说明等。</w:t>
      </w:r>
    </w:p>
    <w:p w14:paraId="0790D320" w14:textId="77777777" w:rsidR="0062768B" w:rsidRDefault="00136729">
      <w:pPr>
        <w:overflowPunct w:val="0"/>
        <w:adjustRightInd/>
        <w:snapToGrid w:val="0"/>
        <w:spacing w:line="300" w:lineRule="auto"/>
        <w:ind w:firstLineChars="200" w:firstLine="560"/>
        <w:jc w:val="both"/>
        <w:textAlignment w:val="auto"/>
        <w:rPr>
          <w:rFonts w:ascii="Arial" w:eastAsia="仿宋" w:hAnsi="Arial" w:cs="Arial"/>
          <w:sz w:val="28"/>
          <w:szCs w:val="28"/>
        </w:rPr>
      </w:pPr>
      <w:r>
        <w:rPr>
          <w:rFonts w:ascii="Arial" w:eastAsia="仿宋" w:hAnsi="Arial" w:cs="Arial"/>
          <w:sz w:val="28"/>
          <w:szCs w:val="28"/>
        </w:rPr>
        <w:t>在《北京市出让国有建设用地使用权基准地价更新成果》中，级别（区片）基准地价是在正常市场条件下</w:t>
      </w:r>
      <w:proofErr w:type="gramStart"/>
      <w:r>
        <w:rPr>
          <w:rFonts w:ascii="Arial" w:eastAsia="仿宋" w:hAnsi="Arial" w:cs="Arial"/>
          <w:sz w:val="28"/>
          <w:szCs w:val="28"/>
        </w:rPr>
        <w:t>各土地</w:t>
      </w:r>
      <w:proofErr w:type="gramEnd"/>
      <w:r>
        <w:rPr>
          <w:rFonts w:ascii="Arial" w:eastAsia="仿宋" w:hAnsi="Arial" w:cs="Arial"/>
          <w:sz w:val="28"/>
          <w:szCs w:val="28"/>
        </w:rPr>
        <w:t>级别（区片）内，土地开发程度为宗地外通路、通电、通讯、通上水、通下水、通燃气、通热及宗地内平整（简称</w:t>
      </w:r>
      <w:r>
        <w:rPr>
          <w:rFonts w:ascii="Arial" w:eastAsia="仿宋" w:hAnsi="Arial" w:cs="Arial"/>
          <w:sz w:val="28"/>
          <w:szCs w:val="28"/>
        </w:rPr>
        <w:t>“</w:t>
      </w:r>
      <w:r>
        <w:rPr>
          <w:rFonts w:ascii="Arial" w:eastAsia="仿宋" w:hAnsi="Arial" w:cs="Arial"/>
          <w:sz w:val="28"/>
          <w:szCs w:val="28"/>
        </w:rPr>
        <w:t>七通一平</w:t>
      </w:r>
      <w:r>
        <w:rPr>
          <w:rFonts w:ascii="Arial" w:eastAsia="仿宋" w:hAnsi="Arial" w:cs="Arial"/>
          <w:sz w:val="28"/>
          <w:szCs w:val="28"/>
        </w:rPr>
        <w:t>”</w:t>
      </w:r>
      <w:r>
        <w:rPr>
          <w:rFonts w:ascii="Arial" w:eastAsia="仿宋" w:hAnsi="Arial" w:cs="Arial"/>
          <w:sz w:val="28"/>
          <w:szCs w:val="28"/>
        </w:rPr>
        <w:t>）</w:t>
      </w:r>
      <w:proofErr w:type="gramStart"/>
      <w:r>
        <w:rPr>
          <w:rFonts w:ascii="Arial" w:eastAsia="仿宋" w:hAnsi="Arial" w:cs="Arial"/>
          <w:sz w:val="28"/>
          <w:szCs w:val="28"/>
        </w:rPr>
        <w:t>或宗地</w:t>
      </w:r>
      <w:proofErr w:type="gramEnd"/>
      <w:r>
        <w:rPr>
          <w:rFonts w:ascii="Arial" w:eastAsia="仿宋" w:hAnsi="Arial" w:cs="Arial"/>
          <w:sz w:val="28"/>
          <w:szCs w:val="28"/>
        </w:rPr>
        <w:t>外通路、通电、通讯、通上水、通下水及宗地内平整（简称</w:t>
      </w:r>
      <w:r>
        <w:rPr>
          <w:rFonts w:ascii="Arial" w:eastAsia="仿宋" w:hAnsi="Arial" w:cs="Arial"/>
          <w:sz w:val="28"/>
          <w:szCs w:val="28"/>
        </w:rPr>
        <w:t>“</w:t>
      </w:r>
      <w:r>
        <w:rPr>
          <w:rFonts w:ascii="Arial" w:eastAsia="仿宋" w:hAnsi="Arial" w:cs="Arial"/>
          <w:sz w:val="28"/>
          <w:szCs w:val="28"/>
        </w:rPr>
        <w:t>五通一平</w:t>
      </w:r>
      <w:r>
        <w:rPr>
          <w:rFonts w:ascii="Arial" w:eastAsia="仿宋" w:hAnsi="Arial" w:cs="Arial"/>
          <w:sz w:val="28"/>
          <w:szCs w:val="28"/>
        </w:rPr>
        <w:t>”</w:t>
      </w:r>
      <w:r>
        <w:rPr>
          <w:rFonts w:ascii="Arial" w:eastAsia="仿宋" w:hAnsi="Arial" w:cs="Arial"/>
          <w:sz w:val="28"/>
          <w:szCs w:val="28"/>
        </w:rPr>
        <w:t>），在平均容积率条件下，</w:t>
      </w:r>
      <w:proofErr w:type="gramStart"/>
      <w:r>
        <w:rPr>
          <w:rFonts w:ascii="Arial" w:eastAsia="仿宋" w:hAnsi="Arial" w:cs="Arial"/>
          <w:sz w:val="28"/>
          <w:szCs w:val="28"/>
        </w:rPr>
        <w:t>各土地</w:t>
      </w:r>
      <w:proofErr w:type="gramEnd"/>
      <w:r>
        <w:rPr>
          <w:rFonts w:ascii="Arial" w:eastAsia="仿宋" w:hAnsi="Arial" w:cs="Arial"/>
          <w:sz w:val="28"/>
          <w:szCs w:val="28"/>
        </w:rPr>
        <w:t>用途的法定最高出让年限条件下国有建设用地使用权的平均价格。</w:t>
      </w:r>
    </w:p>
    <w:p w14:paraId="5A003742" w14:textId="248E7F8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基准地价的基准期日为</w:t>
      </w:r>
      <w:r>
        <w:rPr>
          <w:rFonts w:ascii="Arial" w:eastAsia="仿宋" w:hAnsi="Arial" w:cs="Arial"/>
          <w:sz w:val="28"/>
          <w:szCs w:val="28"/>
        </w:rPr>
        <w:t>2021</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日；土地用途划分为商业、办公、住宅、工业、公共服务五类；级别基准地价土地开发程度一至七级为宗地外通路、通电、通讯、通上水、通下水、通燃气、通热及宗地内平整（简称</w:t>
      </w:r>
      <w:r>
        <w:rPr>
          <w:rFonts w:ascii="Arial" w:eastAsia="仿宋" w:hAnsi="Arial" w:cs="Arial"/>
          <w:sz w:val="28"/>
          <w:szCs w:val="28"/>
        </w:rPr>
        <w:t>“</w:t>
      </w:r>
      <w:r>
        <w:rPr>
          <w:rFonts w:ascii="Arial" w:eastAsia="仿宋" w:hAnsi="Arial" w:cs="Arial"/>
          <w:sz w:val="28"/>
          <w:szCs w:val="28"/>
        </w:rPr>
        <w:t>七通一平</w:t>
      </w:r>
      <w:r>
        <w:rPr>
          <w:rFonts w:ascii="Arial" w:eastAsia="仿宋" w:hAnsi="Arial" w:cs="Arial"/>
          <w:sz w:val="28"/>
          <w:szCs w:val="28"/>
        </w:rPr>
        <w:t>”</w:t>
      </w:r>
      <w:r>
        <w:rPr>
          <w:rFonts w:ascii="Arial" w:eastAsia="仿宋" w:hAnsi="Arial" w:cs="Arial"/>
          <w:sz w:val="28"/>
          <w:szCs w:val="28"/>
        </w:rPr>
        <w:t>），八至十二级为宗地外通路、通电、通讯、通上水、通下水及宗地内平整（简称</w:t>
      </w:r>
      <w:r>
        <w:rPr>
          <w:rFonts w:ascii="Arial" w:eastAsia="仿宋" w:hAnsi="Arial" w:cs="Arial"/>
          <w:sz w:val="28"/>
          <w:szCs w:val="28"/>
        </w:rPr>
        <w:t>“</w:t>
      </w:r>
      <w:r>
        <w:rPr>
          <w:rFonts w:ascii="Arial" w:eastAsia="仿宋" w:hAnsi="Arial" w:cs="Arial"/>
          <w:sz w:val="28"/>
          <w:szCs w:val="28"/>
        </w:rPr>
        <w:t>五通一平</w:t>
      </w:r>
      <w:r>
        <w:rPr>
          <w:rFonts w:ascii="Arial" w:eastAsia="仿宋" w:hAnsi="Arial" w:cs="Arial"/>
          <w:sz w:val="28"/>
          <w:szCs w:val="28"/>
        </w:rPr>
        <w:t>”</w:t>
      </w:r>
      <w:r>
        <w:rPr>
          <w:rFonts w:ascii="Arial" w:eastAsia="仿宋" w:hAnsi="Arial" w:cs="Arial"/>
          <w:sz w:val="28"/>
          <w:szCs w:val="28"/>
        </w:rPr>
        <w:t>）；级别平均容积率详见下表：</w:t>
      </w:r>
    </w:p>
    <w:p w14:paraId="09BF1DA9" w14:textId="03E1980B" w:rsidR="004532BF" w:rsidRDefault="004532BF">
      <w:pPr>
        <w:spacing w:line="300" w:lineRule="auto"/>
        <w:ind w:firstLineChars="200" w:firstLine="560"/>
        <w:jc w:val="both"/>
        <w:rPr>
          <w:rFonts w:ascii="Arial" w:eastAsia="仿宋" w:hAnsi="Arial" w:cs="Arial"/>
          <w:sz w:val="28"/>
          <w:szCs w:val="28"/>
        </w:rPr>
      </w:pPr>
    </w:p>
    <w:p w14:paraId="00928197" w14:textId="0F823C0D" w:rsidR="004532BF" w:rsidRDefault="004532BF">
      <w:pPr>
        <w:spacing w:line="300" w:lineRule="auto"/>
        <w:ind w:firstLineChars="200" w:firstLine="560"/>
        <w:jc w:val="both"/>
        <w:rPr>
          <w:rFonts w:ascii="Arial" w:eastAsia="仿宋" w:hAnsi="Arial" w:cs="Arial"/>
          <w:sz w:val="28"/>
          <w:szCs w:val="28"/>
        </w:rPr>
      </w:pPr>
    </w:p>
    <w:p w14:paraId="12466910" w14:textId="32393B7B" w:rsidR="004532BF" w:rsidRDefault="004532BF">
      <w:pPr>
        <w:spacing w:line="300" w:lineRule="auto"/>
        <w:ind w:firstLineChars="200" w:firstLine="560"/>
        <w:jc w:val="both"/>
        <w:rPr>
          <w:rFonts w:ascii="Arial" w:eastAsia="仿宋" w:hAnsi="Arial" w:cs="Arial"/>
          <w:sz w:val="28"/>
          <w:szCs w:val="28"/>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49"/>
        <w:gridCol w:w="1049"/>
        <w:gridCol w:w="1731"/>
        <w:gridCol w:w="1842"/>
        <w:gridCol w:w="1865"/>
        <w:gridCol w:w="1763"/>
      </w:tblGrid>
      <w:tr w:rsidR="0062768B" w14:paraId="23BB02EE" w14:textId="77777777">
        <w:trPr>
          <w:cantSplit/>
          <w:jc w:val="center"/>
        </w:trPr>
        <w:tc>
          <w:tcPr>
            <w:tcW w:w="2098" w:type="dxa"/>
            <w:gridSpan w:val="2"/>
            <w:tcBorders>
              <w:tl2br w:val="single" w:sz="4" w:space="0" w:color="auto"/>
            </w:tcBorders>
            <w:shd w:val="clear" w:color="auto" w:fill="auto"/>
            <w:noWrap/>
            <w:vAlign w:val="center"/>
          </w:tcPr>
          <w:p w14:paraId="5554C780" w14:textId="77777777" w:rsidR="0062768B" w:rsidRDefault="00136729">
            <w:pPr>
              <w:widowControl/>
              <w:adjustRightInd/>
              <w:spacing w:line="240" w:lineRule="exact"/>
              <w:ind w:firstLineChars="500" w:firstLine="1050"/>
              <w:jc w:val="right"/>
              <w:textAlignment w:val="auto"/>
              <w:rPr>
                <w:rFonts w:ascii="Arial" w:eastAsia="仿宋" w:hAnsi="Arial" w:cs="Arial"/>
                <w:sz w:val="21"/>
                <w:szCs w:val="21"/>
              </w:rPr>
            </w:pPr>
            <w:r>
              <w:rPr>
                <w:rFonts w:ascii="Arial" w:eastAsia="仿宋" w:hAnsi="Arial" w:cs="Arial"/>
                <w:sz w:val="21"/>
                <w:szCs w:val="21"/>
              </w:rPr>
              <w:lastRenderedPageBreak/>
              <w:t>土地级别</w:t>
            </w:r>
          </w:p>
          <w:p w14:paraId="30766240"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土地用途</w:t>
            </w:r>
          </w:p>
        </w:tc>
        <w:tc>
          <w:tcPr>
            <w:tcW w:w="1731" w:type="dxa"/>
            <w:shd w:val="clear" w:color="auto" w:fill="auto"/>
            <w:noWrap/>
            <w:vAlign w:val="center"/>
          </w:tcPr>
          <w:p w14:paraId="48A4088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一级至二级</w:t>
            </w:r>
          </w:p>
        </w:tc>
        <w:tc>
          <w:tcPr>
            <w:tcW w:w="1842" w:type="dxa"/>
            <w:shd w:val="clear" w:color="auto" w:fill="auto"/>
            <w:noWrap/>
            <w:vAlign w:val="center"/>
          </w:tcPr>
          <w:p w14:paraId="57E8876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三级至五级</w:t>
            </w:r>
          </w:p>
        </w:tc>
        <w:tc>
          <w:tcPr>
            <w:tcW w:w="1865" w:type="dxa"/>
            <w:shd w:val="clear" w:color="auto" w:fill="auto"/>
            <w:noWrap/>
            <w:vAlign w:val="center"/>
          </w:tcPr>
          <w:p w14:paraId="0EA02CA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六级至七级</w:t>
            </w:r>
          </w:p>
        </w:tc>
        <w:tc>
          <w:tcPr>
            <w:tcW w:w="1763" w:type="dxa"/>
            <w:shd w:val="clear" w:color="auto" w:fill="auto"/>
            <w:noWrap/>
            <w:vAlign w:val="center"/>
          </w:tcPr>
          <w:p w14:paraId="31DDC42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八级至十二级</w:t>
            </w:r>
          </w:p>
        </w:tc>
      </w:tr>
      <w:tr w:rsidR="0062768B" w14:paraId="33D93EBE" w14:textId="77777777">
        <w:trPr>
          <w:cantSplit/>
          <w:jc w:val="center"/>
        </w:trPr>
        <w:tc>
          <w:tcPr>
            <w:tcW w:w="2098" w:type="dxa"/>
            <w:gridSpan w:val="2"/>
            <w:shd w:val="clear" w:color="auto" w:fill="auto"/>
            <w:noWrap/>
            <w:vAlign w:val="center"/>
          </w:tcPr>
          <w:p w14:paraId="586C3A7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商业类</w:t>
            </w:r>
          </w:p>
        </w:tc>
        <w:tc>
          <w:tcPr>
            <w:tcW w:w="1731" w:type="dxa"/>
            <w:shd w:val="clear" w:color="auto" w:fill="auto"/>
            <w:noWrap/>
            <w:vAlign w:val="center"/>
          </w:tcPr>
          <w:p w14:paraId="4B0C483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3.5</w:t>
            </w:r>
          </w:p>
        </w:tc>
        <w:tc>
          <w:tcPr>
            <w:tcW w:w="3707" w:type="dxa"/>
            <w:gridSpan w:val="2"/>
            <w:shd w:val="clear" w:color="auto" w:fill="auto"/>
            <w:noWrap/>
            <w:vAlign w:val="center"/>
          </w:tcPr>
          <w:p w14:paraId="313C37E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2.5</w:t>
            </w:r>
          </w:p>
        </w:tc>
        <w:tc>
          <w:tcPr>
            <w:tcW w:w="1763" w:type="dxa"/>
            <w:shd w:val="clear" w:color="auto" w:fill="auto"/>
            <w:noWrap/>
            <w:vAlign w:val="center"/>
          </w:tcPr>
          <w:p w14:paraId="6E39A0C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w:t>
            </w:r>
          </w:p>
        </w:tc>
      </w:tr>
      <w:tr w:rsidR="0062768B" w14:paraId="073E9BE7" w14:textId="77777777">
        <w:trPr>
          <w:cantSplit/>
          <w:jc w:val="center"/>
        </w:trPr>
        <w:tc>
          <w:tcPr>
            <w:tcW w:w="2098" w:type="dxa"/>
            <w:gridSpan w:val="2"/>
            <w:shd w:val="clear" w:color="auto" w:fill="auto"/>
            <w:noWrap/>
            <w:vAlign w:val="center"/>
          </w:tcPr>
          <w:p w14:paraId="3048DA1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办公类</w:t>
            </w:r>
          </w:p>
        </w:tc>
        <w:tc>
          <w:tcPr>
            <w:tcW w:w="1731" w:type="dxa"/>
            <w:shd w:val="clear" w:color="auto" w:fill="auto"/>
            <w:noWrap/>
            <w:vAlign w:val="center"/>
          </w:tcPr>
          <w:p w14:paraId="75E265E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3.5</w:t>
            </w:r>
          </w:p>
        </w:tc>
        <w:tc>
          <w:tcPr>
            <w:tcW w:w="3707" w:type="dxa"/>
            <w:gridSpan w:val="2"/>
            <w:shd w:val="clear" w:color="auto" w:fill="auto"/>
            <w:noWrap/>
            <w:vAlign w:val="center"/>
          </w:tcPr>
          <w:p w14:paraId="096B99A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2.5</w:t>
            </w:r>
          </w:p>
        </w:tc>
        <w:tc>
          <w:tcPr>
            <w:tcW w:w="1763" w:type="dxa"/>
            <w:shd w:val="clear" w:color="auto" w:fill="auto"/>
            <w:noWrap/>
            <w:vAlign w:val="center"/>
          </w:tcPr>
          <w:p w14:paraId="7FF2233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w:t>
            </w:r>
          </w:p>
        </w:tc>
      </w:tr>
      <w:tr w:rsidR="0062768B" w14:paraId="38DF3F16" w14:textId="77777777">
        <w:trPr>
          <w:cantSplit/>
          <w:jc w:val="center"/>
        </w:trPr>
        <w:tc>
          <w:tcPr>
            <w:tcW w:w="2098" w:type="dxa"/>
            <w:gridSpan w:val="2"/>
            <w:shd w:val="clear" w:color="auto" w:fill="auto"/>
            <w:noWrap/>
            <w:vAlign w:val="center"/>
          </w:tcPr>
          <w:p w14:paraId="07EF9E0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住宅类</w:t>
            </w:r>
          </w:p>
        </w:tc>
        <w:tc>
          <w:tcPr>
            <w:tcW w:w="5438" w:type="dxa"/>
            <w:gridSpan w:val="3"/>
            <w:shd w:val="clear" w:color="auto" w:fill="auto"/>
            <w:noWrap/>
            <w:vAlign w:val="center"/>
          </w:tcPr>
          <w:p w14:paraId="0E8D188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2.5</w:t>
            </w:r>
          </w:p>
        </w:tc>
        <w:tc>
          <w:tcPr>
            <w:tcW w:w="1763" w:type="dxa"/>
            <w:shd w:val="clear" w:color="auto" w:fill="auto"/>
            <w:noWrap/>
            <w:vAlign w:val="center"/>
          </w:tcPr>
          <w:p w14:paraId="55F1D0A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1.5</w:t>
            </w:r>
          </w:p>
        </w:tc>
      </w:tr>
      <w:tr w:rsidR="0062768B" w14:paraId="06F90EDC" w14:textId="77777777">
        <w:trPr>
          <w:cantSplit/>
          <w:jc w:val="center"/>
        </w:trPr>
        <w:tc>
          <w:tcPr>
            <w:tcW w:w="1049" w:type="dxa"/>
            <w:vMerge w:val="restart"/>
            <w:shd w:val="clear" w:color="auto" w:fill="auto"/>
            <w:noWrap/>
            <w:vAlign w:val="center"/>
          </w:tcPr>
          <w:p w14:paraId="6783F85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工业类</w:t>
            </w:r>
          </w:p>
        </w:tc>
        <w:tc>
          <w:tcPr>
            <w:tcW w:w="1049" w:type="dxa"/>
            <w:shd w:val="clear" w:color="auto" w:fill="auto"/>
            <w:vAlign w:val="center"/>
          </w:tcPr>
          <w:p w14:paraId="4CDB418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M4</w:t>
            </w:r>
          </w:p>
        </w:tc>
        <w:tc>
          <w:tcPr>
            <w:tcW w:w="1731" w:type="dxa"/>
            <w:shd w:val="clear" w:color="auto" w:fill="auto"/>
            <w:noWrap/>
            <w:vAlign w:val="center"/>
          </w:tcPr>
          <w:p w14:paraId="126CBD2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2.5</w:t>
            </w:r>
          </w:p>
        </w:tc>
        <w:tc>
          <w:tcPr>
            <w:tcW w:w="3707" w:type="dxa"/>
            <w:gridSpan w:val="2"/>
            <w:shd w:val="clear" w:color="auto" w:fill="auto"/>
            <w:noWrap/>
            <w:vAlign w:val="center"/>
          </w:tcPr>
          <w:p w14:paraId="70A1E32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2.0</w:t>
            </w:r>
          </w:p>
        </w:tc>
        <w:tc>
          <w:tcPr>
            <w:tcW w:w="1763" w:type="dxa"/>
            <w:shd w:val="clear" w:color="auto" w:fill="auto"/>
            <w:noWrap/>
            <w:vAlign w:val="center"/>
          </w:tcPr>
          <w:p w14:paraId="0D94226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1.5</w:t>
            </w:r>
          </w:p>
        </w:tc>
      </w:tr>
      <w:tr w:rsidR="0062768B" w14:paraId="3070777E" w14:textId="77777777">
        <w:trPr>
          <w:cantSplit/>
          <w:jc w:val="center"/>
        </w:trPr>
        <w:tc>
          <w:tcPr>
            <w:tcW w:w="1049" w:type="dxa"/>
            <w:vMerge/>
            <w:shd w:val="clear" w:color="auto" w:fill="auto"/>
            <w:noWrap/>
            <w:vAlign w:val="center"/>
          </w:tcPr>
          <w:p w14:paraId="1BBBB2F0" w14:textId="77777777" w:rsidR="0062768B" w:rsidRDefault="0062768B">
            <w:pPr>
              <w:widowControl/>
              <w:adjustRightInd/>
              <w:spacing w:line="240" w:lineRule="exact"/>
              <w:textAlignment w:val="auto"/>
              <w:rPr>
                <w:rFonts w:ascii="Arial" w:eastAsia="仿宋" w:hAnsi="Arial" w:cs="Arial"/>
                <w:sz w:val="21"/>
                <w:szCs w:val="21"/>
              </w:rPr>
            </w:pPr>
          </w:p>
        </w:tc>
        <w:tc>
          <w:tcPr>
            <w:tcW w:w="1049" w:type="dxa"/>
            <w:shd w:val="clear" w:color="auto" w:fill="auto"/>
            <w:vAlign w:val="center"/>
          </w:tcPr>
          <w:p w14:paraId="0ACC70B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一般类</w:t>
            </w:r>
          </w:p>
        </w:tc>
        <w:tc>
          <w:tcPr>
            <w:tcW w:w="3573" w:type="dxa"/>
            <w:gridSpan w:val="2"/>
            <w:shd w:val="clear" w:color="auto" w:fill="auto"/>
            <w:noWrap/>
            <w:vAlign w:val="center"/>
          </w:tcPr>
          <w:p w14:paraId="600BDF0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1.5</w:t>
            </w:r>
          </w:p>
        </w:tc>
        <w:tc>
          <w:tcPr>
            <w:tcW w:w="1865" w:type="dxa"/>
            <w:shd w:val="clear" w:color="auto" w:fill="auto"/>
            <w:vAlign w:val="center"/>
          </w:tcPr>
          <w:p w14:paraId="42793B7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1.2</w:t>
            </w:r>
          </w:p>
        </w:tc>
        <w:tc>
          <w:tcPr>
            <w:tcW w:w="1763" w:type="dxa"/>
            <w:shd w:val="clear" w:color="auto" w:fill="auto"/>
            <w:noWrap/>
            <w:vAlign w:val="center"/>
          </w:tcPr>
          <w:p w14:paraId="3FEADEC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1.0</w:t>
            </w:r>
          </w:p>
        </w:tc>
      </w:tr>
      <w:tr w:rsidR="0062768B" w14:paraId="26136C7D" w14:textId="77777777">
        <w:trPr>
          <w:cantSplit/>
          <w:jc w:val="center"/>
        </w:trPr>
        <w:tc>
          <w:tcPr>
            <w:tcW w:w="2098" w:type="dxa"/>
            <w:gridSpan w:val="2"/>
            <w:shd w:val="clear" w:color="auto" w:fill="auto"/>
            <w:noWrap/>
            <w:vAlign w:val="center"/>
          </w:tcPr>
          <w:p w14:paraId="65A4ED6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公共服务类</w:t>
            </w:r>
          </w:p>
        </w:tc>
        <w:tc>
          <w:tcPr>
            <w:tcW w:w="1731" w:type="dxa"/>
            <w:shd w:val="clear" w:color="auto" w:fill="auto"/>
            <w:noWrap/>
            <w:vAlign w:val="center"/>
          </w:tcPr>
          <w:p w14:paraId="0334269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2.5 </w:t>
            </w:r>
          </w:p>
        </w:tc>
        <w:tc>
          <w:tcPr>
            <w:tcW w:w="3707" w:type="dxa"/>
            <w:gridSpan w:val="2"/>
            <w:shd w:val="clear" w:color="auto" w:fill="auto"/>
            <w:vAlign w:val="center"/>
          </w:tcPr>
          <w:p w14:paraId="02BA369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2.0</w:t>
            </w:r>
          </w:p>
        </w:tc>
        <w:tc>
          <w:tcPr>
            <w:tcW w:w="1763" w:type="dxa"/>
            <w:shd w:val="clear" w:color="auto" w:fill="auto"/>
            <w:noWrap/>
            <w:vAlign w:val="center"/>
          </w:tcPr>
          <w:p w14:paraId="3CCD2BB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1.5 </w:t>
            </w:r>
          </w:p>
        </w:tc>
      </w:tr>
    </w:tbl>
    <w:p w14:paraId="5235B526" w14:textId="77777777" w:rsidR="0062768B" w:rsidRDefault="00136729">
      <w:pPr>
        <w:overflowPunct w:val="0"/>
        <w:adjustRightInd/>
        <w:snapToGrid w:val="0"/>
        <w:spacing w:line="300" w:lineRule="auto"/>
        <w:ind w:firstLineChars="200" w:firstLine="560"/>
        <w:jc w:val="both"/>
        <w:textAlignment w:val="auto"/>
        <w:rPr>
          <w:rFonts w:ascii="Arial" w:eastAsia="仿宋" w:hAnsi="Arial" w:cs="Arial"/>
          <w:sz w:val="28"/>
          <w:szCs w:val="28"/>
        </w:rPr>
      </w:pPr>
      <w:r>
        <w:rPr>
          <w:rFonts w:ascii="Arial" w:eastAsia="仿宋" w:hAnsi="Arial" w:cs="Arial"/>
          <w:sz w:val="28"/>
          <w:szCs w:val="28"/>
        </w:rPr>
        <w:t>基准地价的表示形式为楼面熟地价。楼面熟地价是指</w:t>
      </w:r>
      <w:proofErr w:type="gramStart"/>
      <w:r>
        <w:rPr>
          <w:rFonts w:ascii="Arial" w:eastAsia="仿宋" w:hAnsi="Arial" w:cs="Arial"/>
          <w:sz w:val="28"/>
          <w:szCs w:val="28"/>
        </w:rPr>
        <w:t>各土地</w:t>
      </w:r>
      <w:proofErr w:type="gramEnd"/>
      <w:r>
        <w:rPr>
          <w:rFonts w:ascii="Arial" w:eastAsia="仿宋" w:hAnsi="Arial" w:cs="Arial"/>
          <w:sz w:val="28"/>
          <w:szCs w:val="28"/>
        </w:rPr>
        <w:t>级别（区片）内，在设定土地开发程度和平均容积率条件下，每建筑面积分摊的国有建设用地使用权的平均价格。</w:t>
      </w:r>
    </w:p>
    <w:p w14:paraId="7173666B" w14:textId="77777777" w:rsidR="0062768B" w:rsidRDefault="00136729">
      <w:pPr>
        <w:overflowPunct w:val="0"/>
        <w:adjustRightInd/>
        <w:snapToGrid w:val="0"/>
        <w:spacing w:line="300" w:lineRule="auto"/>
        <w:ind w:firstLineChars="200" w:firstLine="560"/>
        <w:jc w:val="both"/>
        <w:textAlignment w:val="auto"/>
        <w:rPr>
          <w:rFonts w:ascii="Arial" w:eastAsia="仿宋" w:hAnsi="Arial" w:cs="Arial"/>
          <w:sz w:val="28"/>
          <w:szCs w:val="28"/>
        </w:rPr>
      </w:pPr>
      <w:r>
        <w:rPr>
          <w:rFonts w:ascii="Arial" w:eastAsia="仿宋" w:hAnsi="Arial" w:cs="Arial"/>
          <w:sz w:val="28"/>
          <w:szCs w:val="28"/>
        </w:rPr>
        <w:t>国有建设用地使用权出让政府土地收益</w:t>
      </w:r>
      <w:proofErr w:type="gramStart"/>
      <w:r>
        <w:rPr>
          <w:rFonts w:ascii="Arial" w:eastAsia="仿宋" w:hAnsi="Arial" w:cs="Arial"/>
          <w:sz w:val="28"/>
          <w:szCs w:val="28"/>
        </w:rPr>
        <w:t>按照楼</w:t>
      </w:r>
      <w:proofErr w:type="gramEnd"/>
      <w:r>
        <w:rPr>
          <w:rFonts w:ascii="Arial" w:eastAsia="仿宋" w:hAnsi="Arial" w:cs="Arial"/>
          <w:sz w:val="28"/>
          <w:szCs w:val="28"/>
        </w:rPr>
        <w:t>面熟地价及</w:t>
      </w:r>
      <w:proofErr w:type="gramStart"/>
      <w:r>
        <w:rPr>
          <w:rFonts w:ascii="Arial" w:eastAsia="仿宋" w:hAnsi="Arial" w:cs="Arial"/>
          <w:sz w:val="28"/>
          <w:szCs w:val="28"/>
        </w:rPr>
        <w:t>各土地</w:t>
      </w:r>
      <w:proofErr w:type="gramEnd"/>
      <w:r>
        <w:rPr>
          <w:rFonts w:ascii="Arial" w:eastAsia="仿宋" w:hAnsi="Arial" w:cs="Arial"/>
          <w:sz w:val="28"/>
          <w:szCs w:val="28"/>
        </w:rPr>
        <w:t>用途的政府土地收益比例确定。同一宗地包括多种土地用途或建筑功能的，按细分后的用途或功能的建筑面积或分摊用地面积分</w:t>
      </w:r>
      <w:proofErr w:type="gramStart"/>
      <w:r>
        <w:rPr>
          <w:rFonts w:ascii="Arial" w:eastAsia="仿宋" w:hAnsi="Arial" w:cs="Arial"/>
          <w:sz w:val="28"/>
          <w:szCs w:val="28"/>
        </w:rPr>
        <w:t>别计算</w:t>
      </w:r>
      <w:proofErr w:type="gramEnd"/>
      <w:r>
        <w:rPr>
          <w:rFonts w:ascii="Arial" w:eastAsia="仿宋" w:hAnsi="Arial" w:cs="Arial"/>
          <w:sz w:val="28"/>
          <w:szCs w:val="28"/>
        </w:rPr>
        <w:t>求和。参照商业、办公、住宅、公共服务类基准地价的，政府土地出让收益按照政府</w:t>
      </w:r>
      <w:proofErr w:type="gramStart"/>
      <w:r>
        <w:rPr>
          <w:rFonts w:ascii="Arial" w:eastAsia="仿宋" w:hAnsi="Arial" w:cs="Arial"/>
          <w:sz w:val="28"/>
          <w:szCs w:val="28"/>
        </w:rPr>
        <w:t>审定楼</w:t>
      </w:r>
      <w:proofErr w:type="gramEnd"/>
      <w:r>
        <w:rPr>
          <w:rFonts w:ascii="Arial" w:eastAsia="仿宋" w:hAnsi="Arial" w:cs="Arial"/>
          <w:sz w:val="28"/>
          <w:szCs w:val="28"/>
        </w:rPr>
        <w:t>面熟地价的</w:t>
      </w:r>
      <w:r>
        <w:rPr>
          <w:rFonts w:ascii="Arial" w:eastAsia="仿宋" w:hAnsi="Arial" w:cs="Arial"/>
          <w:sz w:val="28"/>
          <w:szCs w:val="28"/>
        </w:rPr>
        <w:t>25%</w:t>
      </w:r>
      <w:r>
        <w:rPr>
          <w:rFonts w:ascii="Arial" w:eastAsia="仿宋" w:hAnsi="Arial" w:cs="Arial"/>
          <w:sz w:val="28"/>
          <w:szCs w:val="28"/>
        </w:rPr>
        <w:t>确定，参照工业类基准地价的，政府土地出让收益按照政府</w:t>
      </w:r>
      <w:proofErr w:type="gramStart"/>
      <w:r>
        <w:rPr>
          <w:rFonts w:ascii="Arial" w:eastAsia="仿宋" w:hAnsi="Arial" w:cs="Arial"/>
          <w:sz w:val="28"/>
          <w:szCs w:val="28"/>
        </w:rPr>
        <w:t>审定楼</w:t>
      </w:r>
      <w:proofErr w:type="gramEnd"/>
      <w:r>
        <w:rPr>
          <w:rFonts w:ascii="Arial" w:eastAsia="仿宋" w:hAnsi="Arial" w:cs="Arial"/>
          <w:sz w:val="28"/>
          <w:szCs w:val="28"/>
        </w:rPr>
        <w:t>面熟地价的</w:t>
      </w:r>
      <w:r>
        <w:rPr>
          <w:rFonts w:ascii="Arial" w:eastAsia="仿宋" w:hAnsi="Arial" w:cs="Arial"/>
          <w:sz w:val="28"/>
          <w:szCs w:val="28"/>
        </w:rPr>
        <w:t>15%</w:t>
      </w:r>
      <w:r>
        <w:rPr>
          <w:rFonts w:ascii="Arial" w:eastAsia="仿宋" w:hAnsi="Arial" w:cs="Arial"/>
          <w:sz w:val="28"/>
          <w:szCs w:val="28"/>
        </w:rPr>
        <w:t>确定。</w:t>
      </w:r>
    </w:p>
    <w:p w14:paraId="732CFB1F" w14:textId="77777777" w:rsidR="0062768B" w:rsidRDefault="00136729">
      <w:pPr>
        <w:overflowPunct w:val="0"/>
        <w:adjustRightInd/>
        <w:snapToGrid w:val="0"/>
        <w:spacing w:line="300" w:lineRule="auto"/>
        <w:ind w:firstLineChars="200" w:firstLine="560"/>
        <w:jc w:val="both"/>
        <w:textAlignment w:val="auto"/>
        <w:rPr>
          <w:rFonts w:ascii="Arial" w:eastAsia="仿宋" w:hAnsi="Arial" w:cs="Arial"/>
          <w:sz w:val="28"/>
          <w:szCs w:val="28"/>
        </w:rPr>
      </w:pPr>
      <w:r>
        <w:rPr>
          <w:rFonts w:ascii="Arial" w:eastAsia="仿宋" w:hAnsi="Arial" w:cs="Arial"/>
          <w:sz w:val="28"/>
          <w:szCs w:val="28"/>
        </w:rPr>
        <w:t>B.</w:t>
      </w:r>
      <w:r>
        <w:rPr>
          <w:rFonts w:ascii="Arial" w:eastAsia="仿宋" w:hAnsi="Arial" w:cs="Arial"/>
          <w:sz w:val="28"/>
          <w:szCs w:val="28"/>
        </w:rPr>
        <w:t>计算公式如下：</w:t>
      </w:r>
    </w:p>
    <w:p w14:paraId="1FAAD5F7" w14:textId="77777777" w:rsidR="0062768B" w:rsidRDefault="00136729">
      <w:pPr>
        <w:overflowPunct w:val="0"/>
        <w:adjustRightInd/>
        <w:snapToGrid w:val="0"/>
        <w:spacing w:line="300" w:lineRule="auto"/>
        <w:ind w:firstLineChars="200" w:firstLine="560"/>
        <w:jc w:val="both"/>
        <w:rPr>
          <w:rFonts w:ascii="Arial" w:eastAsia="仿宋" w:hAnsi="Arial" w:cs="Arial"/>
          <w:snapToGrid w:val="0"/>
          <w:sz w:val="28"/>
          <w:szCs w:val="28"/>
        </w:rPr>
      </w:pPr>
      <w:r>
        <w:rPr>
          <w:rFonts w:ascii="Arial" w:eastAsia="仿宋" w:hAnsi="Arial" w:cs="Arial"/>
          <w:snapToGrid w:val="0"/>
          <w:sz w:val="28"/>
          <w:szCs w:val="28"/>
        </w:rPr>
        <w:t>楼面熟地价</w:t>
      </w:r>
      <w:r>
        <w:rPr>
          <w:rFonts w:ascii="Arial" w:eastAsia="仿宋" w:hAnsi="Arial" w:cs="Arial"/>
          <w:sz w:val="28"/>
          <w:szCs w:val="28"/>
        </w:rPr>
        <w:t>＝</w:t>
      </w:r>
      <w:r>
        <w:rPr>
          <w:rFonts w:ascii="Arial" w:eastAsia="仿宋" w:hAnsi="Arial" w:cs="Arial"/>
          <w:snapToGrid w:val="0"/>
          <w:sz w:val="28"/>
          <w:szCs w:val="28"/>
        </w:rPr>
        <w:t>适用的基准地价</w:t>
      </w:r>
      <w:r>
        <w:rPr>
          <w:rFonts w:ascii="Arial" w:eastAsia="仿宋" w:hAnsi="Arial" w:cs="Arial"/>
          <w:sz w:val="28"/>
          <w:szCs w:val="28"/>
        </w:rPr>
        <w:t>×</w:t>
      </w:r>
      <w:r>
        <w:rPr>
          <w:rFonts w:ascii="Arial" w:eastAsia="仿宋" w:hAnsi="Arial" w:cs="Arial"/>
          <w:snapToGrid w:val="0"/>
          <w:sz w:val="28"/>
          <w:szCs w:val="28"/>
        </w:rPr>
        <w:t>用途修正系数</w:t>
      </w:r>
      <w:r>
        <w:rPr>
          <w:rFonts w:ascii="Arial" w:eastAsia="仿宋" w:hAnsi="Arial" w:cs="Arial"/>
          <w:sz w:val="28"/>
          <w:szCs w:val="28"/>
        </w:rPr>
        <w:t>×</w:t>
      </w:r>
      <w:r>
        <w:rPr>
          <w:rFonts w:ascii="Arial" w:eastAsia="仿宋" w:hAnsi="Arial" w:cs="Arial"/>
          <w:snapToGrid w:val="0"/>
          <w:sz w:val="28"/>
          <w:szCs w:val="28"/>
        </w:rPr>
        <w:t>期日修正系数</w:t>
      </w:r>
      <w:r>
        <w:rPr>
          <w:rFonts w:ascii="Arial" w:eastAsia="仿宋" w:hAnsi="Arial" w:cs="Arial"/>
          <w:sz w:val="28"/>
          <w:szCs w:val="28"/>
        </w:rPr>
        <w:t>×</w:t>
      </w:r>
      <w:r>
        <w:rPr>
          <w:rFonts w:ascii="Arial" w:eastAsia="仿宋" w:hAnsi="Arial" w:cs="Arial"/>
          <w:snapToGrid w:val="0"/>
          <w:sz w:val="28"/>
          <w:szCs w:val="28"/>
        </w:rPr>
        <w:t>年期修正系数</w:t>
      </w:r>
      <w:r>
        <w:rPr>
          <w:rFonts w:ascii="Arial" w:eastAsia="仿宋" w:hAnsi="Arial" w:cs="Arial"/>
          <w:sz w:val="28"/>
          <w:szCs w:val="28"/>
        </w:rPr>
        <w:t>×</w:t>
      </w:r>
      <w:r>
        <w:rPr>
          <w:rFonts w:ascii="Arial" w:eastAsia="仿宋" w:hAnsi="Arial" w:cs="Arial"/>
          <w:snapToGrid w:val="0"/>
          <w:sz w:val="28"/>
          <w:szCs w:val="28"/>
        </w:rPr>
        <w:t>容积率修正系数</w:t>
      </w:r>
      <w:r>
        <w:rPr>
          <w:rFonts w:ascii="Arial" w:eastAsia="仿宋" w:hAnsi="Arial" w:cs="Arial"/>
          <w:sz w:val="28"/>
          <w:szCs w:val="28"/>
        </w:rPr>
        <w:t>×</w:t>
      </w:r>
      <w:r>
        <w:rPr>
          <w:rFonts w:ascii="Arial" w:eastAsia="仿宋" w:hAnsi="Arial" w:cs="Arial"/>
          <w:snapToGrid w:val="0"/>
          <w:sz w:val="28"/>
          <w:szCs w:val="28"/>
        </w:rPr>
        <w:t>因素修正系数</w:t>
      </w:r>
    </w:p>
    <w:p w14:paraId="77DF2863" w14:textId="77777777" w:rsidR="0062768B" w:rsidRDefault="00136729">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C.</w:t>
      </w:r>
      <w:r>
        <w:rPr>
          <w:rFonts w:ascii="Arial" w:eastAsia="仿宋" w:hAnsi="Arial" w:cs="Arial"/>
          <w:sz w:val="28"/>
          <w:szCs w:val="28"/>
        </w:rPr>
        <w:t>测算过程</w:t>
      </w:r>
    </w:p>
    <w:p w14:paraId="471D5EFE" w14:textId="77777777" w:rsidR="0062768B" w:rsidRDefault="00136729">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A</w:t>
      </w:r>
      <w:r>
        <w:rPr>
          <w:rFonts w:ascii="Arial" w:eastAsia="仿宋" w:hAnsi="Arial" w:cs="Arial"/>
          <w:sz w:val="28"/>
          <w:szCs w:val="28"/>
        </w:rPr>
        <w:t>）求取估价对象住宅用地楼面熟地价</w:t>
      </w:r>
    </w:p>
    <w:p w14:paraId="4CD20805" w14:textId="77777777" w:rsidR="0062768B" w:rsidRDefault="00136729">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A</w:t>
      </w:r>
      <w:r>
        <w:rPr>
          <w:rFonts w:ascii="Arial" w:eastAsia="仿宋" w:hAnsi="Arial" w:cs="Arial"/>
          <w:sz w:val="28"/>
          <w:szCs w:val="28"/>
        </w:rPr>
        <w:t>）宗地适用基准地价水平的确定</w:t>
      </w:r>
    </w:p>
    <w:p w14:paraId="308A882D" w14:textId="77777777" w:rsidR="0062768B" w:rsidRDefault="00136729">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a.</w:t>
      </w:r>
      <w:r>
        <w:rPr>
          <w:rFonts w:ascii="Arial" w:eastAsia="仿宋" w:hAnsi="Arial" w:cs="Arial"/>
          <w:sz w:val="28"/>
          <w:szCs w:val="28"/>
        </w:rPr>
        <w:t>估价对象用途为住宅，位于北京市顺义区</w:t>
      </w:r>
      <w:r>
        <w:rPr>
          <w:rFonts w:ascii="Arial" w:eastAsia="仿宋" w:hAnsi="Arial" w:cs="Arial" w:hint="eastAsia"/>
          <w:sz w:val="28"/>
          <w:szCs w:val="28"/>
        </w:rPr>
        <w:t>高丽营镇</w:t>
      </w:r>
      <w:r>
        <w:rPr>
          <w:rFonts w:ascii="Arial" w:eastAsia="仿宋" w:hAnsi="Arial" w:cs="Arial"/>
          <w:sz w:val="28"/>
          <w:szCs w:val="28"/>
        </w:rPr>
        <w:t>夏县营</w:t>
      </w:r>
      <w:r>
        <w:rPr>
          <w:rFonts w:ascii="Arial" w:eastAsia="仿宋" w:hAnsi="Arial" w:cs="Arial" w:hint="eastAsia"/>
          <w:sz w:val="28"/>
          <w:szCs w:val="28"/>
        </w:rPr>
        <w:t>村</w:t>
      </w:r>
      <w:r>
        <w:rPr>
          <w:rFonts w:ascii="Arial" w:eastAsia="仿宋" w:hAnsi="Arial" w:cs="Arial"/>
          <w:sz w:val="28"/>
          <w:szCs w:val="28"/>
        </w:rPr>
        <w:t>，参照《北京市基准地价级别（区片）图》及《北京市基准地价级别（区片）范围文字说明》，估价对象地处住宅类</w:t>
      </w:r>
      <w:r>
        <w:rPr>
          <w:rFonts w:ascii="Arial" w:eastAsia="仿宋_GB2312" w:hAnsi="Arial" w:cs="Arial"/>
          <w:sz w:val="28"/>
        </w:rPr>
        <w:t>IX</w:t>
      </w:r>
      <w:r>
        <w:rPr>
          <w:rFonts w:ascii="Arial" w:eastAsia="仿宋" w:hAnsi="Arial" w:cs="Arial"/>
          <w:sz w:val="28"/>
          <w:szCs w:val="28"/>
        </w:rPr>
        <w:t>级地价区，</w:t>
      </w:r>
      <w:proofErr w:type="gramStart"/>
      <w:r>
        <w:rPr>
          <w:rFonts w:ascii="Arial" w:eastAsia="仿宋" w:hAnsi="Arial" w:cs="Arial"/>
          <w:sz w:val="28"/>
          <w:szCs w:val="28"/>
        </w:rPr>
        <w:t>属住宅</w:t>
      </w:r>
      <w:proofErr w:type="gramEnd"/>
      <w:r>
        <w:rPr>
          <w:rFonts w:ascii="Arial" w:eastAsia="仿宋" w:hAnsi="Arial" w:cs="Arial"/>
          <w:sz w:val="28"/>
          <w:szCs w:val="28"/>
        </w:rPr>
        <w:t>类</w:t>
      </w:r>
      <w:r>
        <w:rPr>
          <w:rFonts w:ascii="Arial" w:eastAsia="仿宋_GB2312" w:hAnsi="Arial" w:cs="Arial"/>
          <w:sz w:val="28"/>
        </w:rPr>
        <w:t>IX-</w:t>
      </w:r>
      <w:r>
        <w:rPr>
          <w:rFonts w:ascii="Arial" w:eastAsia="仿宋_GB2312" w:hAnsi="Arial" w:cs="Arial" w:hint="eastAsia"/>
          <w:sz w:val="28"/>
        </w:rPr>
        <w:t>顺</w:t>
      </w:r>
      <w:r>
        <w:rPr>
          <w:rFonts w:ascii="Arial" w:eastAsia="仿宋_GB2312" w:hAnsi="Arial" w:cs="Arial" w:hint="eastAsia"/>
          <w:sz w:val="28"/>
        </w:rPr>
        <w:t>5</w:t>
      </w:r>
      <w:r>
        <w:rPr>
          <w:rFonts w:ascii="Arial" w:eastAsia="仿宋" w:hAnsi="Arial" w:cs="Arial"/>
          <w:sz w:val="28"/>
          <w:szCs w:val="28"/>
        </w:rPr>
        <w:t>区片。</w:t>
      </w:r>
    </w:p>
    <w:p w14:paraId="4D96F074" w14:textId="4BA89413" w:rsidR="0062768B" w:rsidRDefault="00136729">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北京市区片基准地价详见下表：</w:t>
      </w:r>
    </w:p>
    <w:p w14:paraId="1D458368" w14:textId="0ECEF2D8" w:rsidR="004532BF" w:rsidRDefault="004532BF">
      <w:pPr>
        <w:overflowPunct w:val="0"/>
        <w:adjustRightInd/>
        <w:snapToGrid w:val="0"/>
        <w:spacing w:line="300" w:lineRule="auto"/>
        <w:ind w:firstLineChars="200" w:firstLine="560"/>
        <w:jc w:val="both"/>
        <w:rPr>
          <w:rFonts w:ascii="Arial" w:eastAsia="仿宋" w:hAnsi="Arial" w:cs="Arial"/>
          <w:sz w:val="28"/>
          <w:szCs w:val="28"/>
        </w:rPr>
      </w:pPr>
    </w:p>
    <w:p w14:paraId="3446F594" w14:textId="2147EF95" w:rsidR="004532BF" w:rsidRDefault="004532BF">
      <w:pPr>
        <w:overflowPunct w:val="0"/>
        <w:adjustRightInd/>
        <w:snapToGrid w:val="0"/>
        <w:spacing w:line="300" w:lineRule="auto"/>
        <w:ind w:firstLineChars="200" w:firstLine="560"/>
        <w:jc w:val="both"/>
        <w:rPr>
          <w:rFonts w:ascii="Arial" w:eastAsia="仿宋" w:hAnsi="Arial" w:cs="Arial"/>
          <w:sz w:val="28"/>
          <w:szCs w:val="28"/>
        </w:rPr>
      </w:pPr>
    </w:p>
    <w:p w14:paraId="5FBEDF2C" w14:textId="38849618" w:rsidR="004532BF" w:rsidRDefault="004532BF">
      <w:pPr>
        <w:overflowPunct w:val="0"/>
        <w:adjustRightInd/>
        <w:snapToGrid w:val="0"/>
        <w:spacing w:line="300" w:lineRule="auto"/>
        <w:ind w:firstLineChars="200" w:firstLine="560"/>
        <w:jc w:val="both"/>
        <w:rPr>
          <w:rFonts w:ascii="Arial" w:eastAsia="仿宋" w:hAnsi="Arial" w:cs="Arial"/>
          <w:sz w:val="28"/>
          <w:szCs w:val="28"/>
        </w:rPr>
      </w:pPr>
    </w:p>
    <w:p w14:paraId="517EDAE7" w14:textId="0AA0B500" w:rsidR="004532BF" w:rsidRDefault="004532BF">
      <w:pPr>
        <w:overflowPunct w:val="0"/>
        <w:adjustRightInd/>
        <w:snapToGrid w:val="0"/>
        <w:spacing w:line="300" w:lineRule="auto"/>
        <w:ind w:firstLineChars="200" w:firstLine="560"/>
        <w:jc w:val="both"/>
        <w:rPr>
          <w:rFonts w:ascii="Arial" w:eastAsia="仿宋" w:hAnsi="Arial" w:cs="Arial"/>
          <w:sz w:val="28"/>
          <w:szCs w:val="28"/>
        </w:rPr>
      </w:pPr>
    </w:p>
    <w:p w14:paraId="524C75C0" w14:textId="77777777" w:rsidR="004532BF" w:rsidRDefault="004532BF">
      <w:pPr>
        <w:overflowPunct w:val="0"/>
        <w:adjustRightInd/>
        <w:snapToGrid w:val="0"/>
        <w:spacing w:line="300" w:lineRule="auto"/>
        <w:ind w:firstLineChars="200" w:firstLine="560"/>
        <w:jc w:val="both"/>
        <w:rPr>
          <w:rFonts w:ascii="Arial" w:eastAsia="仿宋" w:hAnsi="Arial" w:cs="Arial"/>
          <w:sz w:val="28"/>
          <w:szCs w:val="28"/>
        </w:rPr>
      </w:pPr>
    </w:p>
    <w:p w14:paraId="32935E45" w14:textId="77777777" w:rsidR="0062768B" w:rsidRDefault="00136729">
      <w:pPr>
        <w:pStyle w:val="a7"/>
        <w:spacing w:line="240" w:lineRule="auto"/>
        <w:ind w:firstLine="0"/>
        <w:jc w:val="center"/>
        <w:rPr>
          <w:rFonts w:ascii="仿宋" w:eastAsia="仿宋" w:hAnsi="仿宋"/>
          <w:szCs w:val="28"/>
        </w:rPr>
      </w:pPr>
      <w:r>
        <w:rPr>
          <w:rFonts w:ascii="仿宋" w:eastAsia="仿宋" w:hAnsi="仿宋" w:hint="eastAsia"/>
          <w:szCs w:val="28"/>
        </w:rPr>
        <w:lastRenderedPageBreak/>
        <w:t>北京市区片基准地价表（楼面地价）</w:t>
      </w:r>
    </w:p>
    <w:p w14:paraId="5A944585" w14:textId="77777777" w:rsidR="0062768B" w:rsidRDefault="00136729">
      <w:pPr>
        <w:pStyle w:val="a7"/>
        <w:spacing w:line="240" w:lineRule="auto"/>
        <w:ind w:firstLine="0"/>
        <w:rPr>
          <w:rFonts w:ascii="Arial" w:eastAsia="方正黑体简体" w:hAnsi="Arial"/>
          <w:b/>
          <w:sz w:val="24"/>
        </w:rPr>
      </w:pPr>
      <w:r>
        <w:rPr>
          <w:rFonts w:ascii="Arial" w:eastAsia="华文细黑" w:hAnsi="Arial" w:hint="eastAsia"/>
          <w:sz w:val="18"/>
          <w:szCs w:val="24"/>
        </w:rPr>
        <w:t>基准日期：</w:t>
      </w:r>
      <w:r>
        <w:rPr>
          <w:rFonts w:ascii="Arial" w:eastAsia="华文细黑" w:hAnsi="Arial" w:hint="eastAsia"/>
          <w:sz w:val="18"/>
          <w:szCs w:val="24"/>
        </w:rPr>
        <w:t>2021</w:t>
      </w:r>
      <w:r>
        <w:rPr>
          <w:rFonts w:ascii="Arial" w:eastAsia="华文细黑" w:hAnsi="Arial" w:hint="eastAsia"/>
          <w:sz w:val="18"/>
          <w:szCs w:val="24"/>
        </w:rPr>
        <w:t>年</w:t>
      </w:r>
      <w:r>
        <w:rPr>
          <w:rFonts w:ascii="Arial" w:eastAsia="华文细黑" w:hAnsi="Arial" w:hint="eastAsia"/>
          <w:sz w:val="18"/>
          <w:szCs w:val="24"/>
        </w:rPr>
        <w:t>1</w:t>
      </w:r>
      <w:r>
        <w:rPr>
          <w:rFonts w:ascii="Arial" w:eastAsia="华文细黑" w:hAnsi="Arial" w:hint="eastAsia"/>
          <w:sz w:val="18"/>
          <w:szCs w:val="24"/>
        </w:rPr>
        <w:t>月</w:t>
      </w:r>
      <w:r>
        <w:rPr>
          <w:rFonts w:ascii="Arial" w:eastAsia="华文细黑" w:hAnsi="Arial" w:hint="eastAsia"/>
          <w:sz w:val="18"/>
          <w:szCs w:val="24"/>
        </w:rPr>
        <w:t>1</w:t>
      </w:r>
      <w:r>
        <w:rPr>
          <w:rFonts w:ascii="Arial" w:eastAsia="华文细黑" w:hAnsi="Arial" w:hint="eastAsia"/>
          <w:sz w:val="18"/>
          <w:szCs w:val="24"/>
        </w:rPr>
        <w:t>日</w:t>
      </w:r>
      <w:r>
        <w:rPr>
          <w:rFonts w:ascii="Arial" w:eastAsia="华文细黑" w:hAnsi="Arial" w:hint="eastAsia"/>
          <w:sz w:val="18"/>
          <w:szCs w:val="24"/>
        </w:rPr>
        <w:t xml:space="preserve">                                                             </w:t>
      </w:r>
      <w:r>
        <w:rPr>
          <w:rFonts w:ascii="Arial" w:eastAsia="华文细黑" w:hAnsi="Arial" w:hint="eastAsia"/>
          <w:sz w:val="18"/>
          <w:szCs w:val="24"/>
        </w:rPr>
        <w:t>单位：元</w:t>
      </w:r>
      <w:r>
        <w:rPr>
          <w:rFonts w:ascii="Arial" w:eastAsia="华文细黑" w:hAnsi="Arial" w:hint="eastAsia"/>
          <w:sz w:val="18"/>
          <w:szCs w:val="24"/>
        </w:rPr>
        <w:t>/</w:t>
      </w:r>
      <w:r>
        <w:rPr>
          <w:rFonts w:ascii="Arial" w:eastAsia="华文细黑" w:hAnsi="Arial" w:hint="eastAsia"/>
          <w:sz w:val="18"/>
          <w:szCs w:val="24"/>
        </w:rPr>
        <w:t>平方米</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66"/>
        <w:gridCol w:w="1690"/>
        <w:gridCol w:w="1329"/>
        <w:gridCol w:w="1328"/>
        <w:gridCol w:w="1329"/>
        <w:gridCol w:w="1328"/>
        <w:gridCol w:w="1329"/>
      </w:tblGrid>
      <w:tr w:rsidR="0062768B" w14:paraId="0791E7AC" w14:textId="77777777">
        <w:trPr>
          <w:cantSplit/>
          <w:tblHeader/>
          <w:jc w:val="center"/>
        </w:trPr>
        <w:tc>
          <w:tcPr>
            <w:tcW w:w="966" w:type="dxa"/>
            <w:vMerge w:val="restart"/>
            <w:shd w:val="clear" w:color="auto" w:fill="auto"/>
            <w:vAlign w:val="center"/>
          </w:tcPr>
          <w:p w14:paraId="053BF1F6" w14:textId="77777777" w:rsidR="0062768B" w:rsidRDefault="00136729">
            <w:pPr>
              <w:widowControl/>
              <w:adjustRightInd/>
              <w:spacing w:line="240" w:lineRule="exact"/>
              <w:jc w:val="both"/>
              <w:textAlignment w:val="auto"/>
              <w:rPr>
                <w:rFonts w:ascii="Arial" w:eastAsia="仿宋" w:hAnsi="Arial" w:cs="Arial"/>
                <w:bCs/>
                <w:sz w:val="21"/>
                <w:szCs w:val="21"/>
              </w:rPr>
            </w:pPr>
            <w:r>
              <w:rPr>
                <w:rFonts w:ascii="Arial" w:eastAsia="仿宋" w:hAnsi="Arial" w:cs="Arial"/>
                <w:bCs/>
                <w:sz w:val="21"/>
                <w:szCs w:val="21"/>
              </w:rPr>
              <w:t>级别</w:t>
            </w:r>
          </w:p>
        </w:tc>
        <w:tc>
          <w:tcPr>
            <w:tcW w:w="1690" w:type="dxa"/>
            <w:vMerge w:val="restart"/>
            <w:shd w:val="clear" w:color="auto" w:fill="auto"/>
            <w:noWrap/>
            <w:vAlign w:val="center"/>
          </w:tcPr>
          <w:p w14:paraId="67BE1A65" w14:textId="77777777" w:rsidR="0062768B" w:rsidRDefault="00136729">
            <w:pPr>
              <w:widowControl/>
              <w:adjustRightInd/>
              <w:spacing w:line="240" w:lineRule="exact"/>
              <w:jc w:val="both"/>
              <w:textAlignment w:val="auto"/>
              <w:rPr>
                <w:rFonts w:ascii="Arial" w:eastAsia="仿宋" w:hAnsi="Arial" w:cs="Arial"/>
                <w:bCs/>
                <w:sz w:val="21"/>
                <w:szCs w:val="21"/>
              </w:rPr>
            </w:pPr>
            <w:r>
              <w:rPr>
                <w:rFonts w:ascii="Arial" w:eastAsia="仿宋" w:hAnsi="Arial" w:cs="Arial"/>
                <w:bCs/>
                <w:sz w:val="21"/>
                <w:szCs w:val="21"/>
              </w:rPr>
              <w:t>区片编号</w:t>
            </w:r>
          </w:p>
        </w:tc>
        <w:tc>
          <w:tcPr>
            <w:tcW w:w="1329" w:type="dxa"/>
            <w:shd w:val="clear" w:color="auto" w:fill="auto"/>
            <w:noWrap/>
            <w:vAlign w:val="center"/>
          </w:tcPr>
          <w:p w14:paraId="03077F18" w14:textId="77777777" w:rsidR="0062768B" w:rsidRDefault="00136729">
            <w:pPr>
              <w:widowControl/>
              <w:adjustRightInd/>
              <w:spacing w:line="240" w:lineRule="exact"/>
              <w:jc w:val="both"/>
              <w:textAlignment w:val="auto"/>
              <w:rPr>
                <w:rFonts w:ascii="Arial" w:eastAsia="仿宋" w:hAnsi="Arial" w:cs="Arial"/>
                <w:bCs/>
                <w:sz w:val="21"/>
                <w:szCs w:val="21"/>
              </w:rPr>
            </w:pPr>
            <w:r>
              <w:rPr>
                <w:rFonts w:ascii="Arial" w:eastAsia="仿宋" w:hAnsi="Arial" w:cs="Arial"/>
                <w:bCs/>
                <w:sz w:val="21"/>
                <w:szCs w:val="21"/>
              </w:rPr>
              <w:t>商业类</w:t>
            </w:r>
          </w:p>
        </w:tc>
        <w:tc>
          <w:tcPr>
            <w:tcW w:w="1328" w:type="dxa"/>
            <w:shd w:val="clear" w:color="auto" w:fill="auto"/>
            <w:noWrap/>
            <w:vAlign w:val="center"/>
          </w:tcPr>
          <w:p w14:paraId="51A36C7F" w14:textId="77777777" w:rsidR="0062768B" w:rsidRDefault="00136729">
            <w:pPr>
              <w:widowControl/>
              <w:adjustRightInd/>
              <w:spacing w:line="240" w:lineRule="exact"/>
              <w:jc w:val="both"/>
              <w:textAlignment w:val="auto"/>
              <w:rPr>
                <w:rFonts w:ascii="Arial" w:eastAsia="仿宋" w:hAnsi="Arial" w:cs="Arial"/>
                <w:bCs/>
                <w:sz w:val="21"/>
                <w:szCs w:val="21"/>
              </w:rPr>
            </w:pPr>
            <w:r>
              <w:rPr>
                <w:rFonts w:ascii="Arial" w:eastAsia="仿宋" w:hAnsi="Arial" w:cs="Arial"/>
                <w:bCs/>
                <w:sz w:val="21"/>
                <w:szCs w:val="21"/>
              </w:rPr>
              <w:t>办公类</w:t>
            </w:r>
          </w:p>
        </w:tc>
        <w:tc>
          <w:tcPr>
            <w:tcW w:w="1329" w:type="dxa"/>
            <w:shd w:val="clear" w:color="auto" w:fill="auto"/>
            <w:noWrap/>
            <w:vAlign w:val="center"/>
          </w:tcPr>
          <w:p w14:paraId="0586277F" w14:textId="77777777" w:rsidR="0062768B" w:rsidRDefault="00136729">
            <w:pPr>
              <w:widowControl/>
              <w:adjustRightInd/>
              <w:spacing w:line="240" w:lineRule="exact"/>
              <w:jc w:val="both"/>
              <w:textAlignment w:val="auto"/>
              <w:rPr>
                <w:rFonts w:ascii="Arial" w:eastAsia="仿宋" w:hAnsi="Arial" w:cs="Arial"/>
                <w:bCs/>
                <w:sz w:val="21"/>
                <w:szCs w:val="21"/>
              </w:rPr>
            </w:pPr>
            <w:r>
              <w:rPr>
                <w:rFonts w:ascii="Arial" w:eastAsia="仿宋" w:hAnsi="Arial" w:cs="Arial"/>
                <w:bCs/>
                <w:sz w:val="21"/>
                <w:szCs w:val="21"/>
              </w:rPr>
              <w:t>住宅类</w:t>
            </w:r>
          </w:p>
        </w:tc>
        <w:tc>
          <w:tcPr>
            <w:tcW w:w="1328" w:type="dxa"/>
            <w:shd w:val="clear" w:color="auto" w:fill="auto"/>
            <w:noWrap/>
            <w:vAlign w:val="center"/>
          </w:tcPr>
          <w:p w14:paraId="06A5F813" w14:textId="77777777" w:rsidR="0062768B" w:rsidRDefault="00136729">
            <w:pPr>
              <w:widowControl/>
              <w:adjustRightInd/>
              <w:spacing w:line="240" w:lineRule="exact"/>
              <w:jc w:val="both"/>
              <w:textAlignment w:val="auto"/>
              <w:rPr>
                <w:rFonts w:ascii="Arial" w:eastAsia="仿宋" w:hAnsi="Arial" w:cs="Arial"/>
                <w:bCs/>
                <w:sz w:val="21"/>
                <w:szCs w:val="21"/>
              </w:rPr>
            </w:pPr>
            <w:r>
              <w:rPr>
                <w:rFonts w:ascii="Arial" w:eastAsia="仿宋" w:hAnsi="Arial" w:cs="Arial"/>
                <w:bCs/>
                <w:sz w:val="21"/>
                <w:szCs w:val="21"/>
              </w:rPr>
              <w:t>工业类</w:t>
            </w:r>
          </w:p>
        </w:tc>
        <w:tc>
          <w:tcPr>
            <w:tcW w:w="1329" w:type="dxa"/>
            <w:shd w:val="clear" w:color="auto" w:fill="auto"/>
            <w:noWrap/>
            <w:vAlign w:val="center"/>
          </w:tcPr>
          <w:p w14:paraId="282AA893" w14:textId="77777777" w:rsidR="0062768B" w:rsidRDefault="00136729">
            <w:pPr>
              <w:widowControl/>
              <w:adjustRightInd/>
              <w:spacing w:line="240" w:lineRule="exact"/>
              <w:jc w:val="both"/>
              <w:textAlignment w:val="auto"/>
              <w:rPr>
                <w:rFonts w:ascii="Arial" w:eastAsia="仿宋" w:hAnsi="Arial" w:cs="Arial"/>
                <w:bCs/>
                <w:sz w:val="21"/>
                <w:szCs w:val="21"/>
              </w:rPr>
            </w:pPr>
            <w:r>
              <w:rPr>
                <w:rFonts w:ascii="Arial" w:eastAsia="仿宋" w:hAnsi="Arial" w:cs="Arial"/>
                <w:bCs/>
                <w:sz w:val="21"/>
                <w:szCs w:val="21"/>
              </w:rPr>
              <w:t>公共服务类</w:t>
            </w:r>
          </w:p>
        </w:tc>
      </w:tr>
      <w:tr w:rsidR="0062768B" w14:paraId="6689EABC" w14:textId="77777777">
        <w:trPr>
          <w:cantSplit/>
          <w:tblHeader/>
          <w:jc w:val="center"/>
        </w:trPr>
        <w:tc>
          <w:tcPr>
            <w:tcW w:w="966" w:type="dxa"/>
            <w:vMerge/>
            <w:shd w:val="clear" w:color="auto" w:fill="auto"/>
            <w:vAlign w:val="center"/>
          </w:tcPr>
          <w:p w14:paraId="037163EA" w14:textId="77777777" w:rsidR="0062768B" w:rsidRDefault="0062768B">
            <w:pPr>
              <w:widowControl/>
              <w:adjustRightInd/>
              <w:spacing w:line="240" w:lineRule="exact"/>
              <w:jc w:val="both"/>
              <w:textAlignment w:val="auto"/>
              <w:rPr>
                <w:rFonts w:ascii="Arial" w:eastAsia="仿宋" w:hAnsi="Arial" w:cs="Arial"/>
                <w:bCs/>
                <w:sz w:val="21"/>
                <w:szCs w:val="21"/>
              </w:rPr>
            </w:pPr>
          </w:p>
        </w:tc>
        <w:tc>
          <w:tcPr>
            <w:tcW w:w="1690" w:type="dxa"/>
            <w:vMerge/>
            <w:shd w:val="clear" w:color="auto" w:fill="auto"/>
            <w:noWrap/>
            <w:vAlign w:val="center"/>
          </w:tcPr>
          <w:p w14:paraId="3012C4DA" w14:textId="77777777" w:rsidR="0062768B" w:rsidRDefault="0062768B">
            <w:pPr>
              <w:widowControl/>
              <w:adjustRightInd/>
              <w:spacing w:line="240" w:lineRule="exact"/>
              <w:jc w:val="both"/>
              <w:textAlignment w:val="auto"/>
              <w:rPr>
                <w:rFonts w:ascii="Arial" w:eastAsia="仿宋" w:hAnsi="Arial" w:cs="Arial"/>
                <w:bCs/>
                <w:sz w:val="21"/>
                <w:szCs w:val="21"/>
              </w:rPr>
            </w:pPr>
          </w:p>
        </w:tc>
        <w:tc>
          <w:tcPr>
            <w:tcW w:w="1329" w:type="dxa"/>
            <w:shd w:val="clear" w:color="auto" w:fill="auto"/>
            <w:noWrap/>
            <w:vAlign w:val="center"/>
          </w:tcPr>
          <w:p w14:paraId="5B16A58D" w14:textId="77777777" w:rsidR="0062768B" w:rsidRDefault="00136729">
            <w:pPr>
              <w:widowControl/>
              <w:adjustRightInd/>
              <w:spacing w:line="240" w:lineRule="exact"/>
              <w:jc w:val="both"/>
              <w:textAlignment w:val="auto"/>
              <w:rPr>
                <w:rFonts w:ascii="Arial" w:eastAsia="仿宋" w:hAnsi="Arial" w:cs="Arial"/>
                <w:bCs/>
                <w:sz w:val="21"/>
                <w:szCs w:val="21"/>
              </w:rPr>
            </w:pPr>
            <w:r>
              <w:rPr>
                <w:rFonts w:ascii="Arial" w:eastAsia="仿宋" w:hAnsi="Arial" w:cs="Arial"/>
                <w:bCs/>
                <w:sz w:val="21"/>
                <w:szCs w:val="21"/>
              </w:rPr>
              <w:t>区</w:t>
            </w:r>
            <w:proofErr w:type="gramStart"/>
            <w:r>
              <w:rPr>
                <w:rFonts w:ascii="Arial" w:eastAsia="仿宋" w:hAnsi="Arial" w:cs="Arial"/>
                <w:bCs/>
                <w:sz w:val="21"/>
                <w:szCs w:val="21"/>
              </w:rPr>
              <w:t>片价格</w:t>
            </w:r>
            <w:proofErr w:type="gramEnd"/>
          </w:p>
        </w:tc>
        <w:tc>
          <w:tcPr>
            <w:tcW w:w="1328" w:type="dxa"/>
            <w:shd w:val="clear" w:color="auto" w:fill="auto"/>
            <w:noWrap/>
            <w:vAlign w:val="center"/>
          </w:tcPr>
          <w:p w14:paraId="0EDA0192" w14:textId="77777777" w:rsidR="0062768B" w:rsidRDefault="00136729">
            <w:pPr>
              <w:widowControl/>
              <w:adjustRightInd/>
              <w:spacing w:line="240" w:lineRule="exact"/>
              <w:jc w:val="both"/>
              <w:textAlignment w:val="auto"/>
              <w:rPr>
                <w:rFonts w:ascii="Arial" w:eastAsia="仿宋" w:hAnsi="Arial" w:cs="Arial"/>
                <w:bCs/>
                <w:sz w:val="21"/>
                <w:szCs w:val="21"/>
              </w:rPr>
            </w:pPr>
            <w:r>
              <w:rPr>
                <w:rFonts w:ascii="Arial" w:eastAsia="仿宋" w:hAnsi="Arial" w:cs="Arial"/>
                <w:bCs/>
                <w:sz w:val="21"/>
                <w:szCs w:val="21"/>
              </w:rPr>
              <w:t>区</w:t>
            </w:r>
            <w:proofErr w:type="gramStart"/>
            <w:r>
              <w:rPr>
                <w:rFonts w:ascii="Arial" w:eastAsia="仿宋" w:hAnsi="Arial" w:cs="Arial"/>
                <w:bCs/>
                <w:sz w:val="21"/>
                <w:szCs w:val="21"/>
              </w:rPr>
              <w:t>片价格</w:t>
            </w:r>
            <w:proofErr w:type="gramEnd"/>
          </w:p>
        </w:tc>
        <w:tc>
          <w:tcPr>
            <w:tcW w:w="1329" w:type="dxa"/>
            <w:shd w:val="clear" w:color="auto" w:fill="auto"/>
            <w:noWrap/>
            <w:vAlign w:val="center"/>
          </w:tcPr>
          <w:p w14:paraId="5C7AEE5E" w14:textId="77777777" w:rsidR="0062768B" w:rsidRDefault="00136729">
            <w:pPr>
              <w:widowControl/>
              <w:adjustRightInd/>
              <w:spacing w:line="240" w:lineRule="exact"/>
              <w:jc w:val="both"/>
              <w:textAlignment w:val="auto"/>
              <w:rPr>
                <w:rFonts w:ascii="Arial" w:eastAsia="仿宋" w:hAnsi="Arial" w:cs="Arial"/>
                <w:bCs/>
                <w:sz w:val="21"/>
                <w:szCs w:val="21"/>
              </w:rPr>
            </w:pPr>
            <w:r>
              <w:rPr>
                <w:rFonts w:ascii="Arial" w:eastAsia="仿宋" w:hAnsi="Arial" w:cs="Arial"/>
                <w:bCs/>
                <w:sz w:val="21"/>
                <w:szCs w:val="21"/>
              </w:rPr>
              <w:t>区</w:t>
            </w:r>
            <w:proofErr w:type="gramStart"/>
            <w:r>
              <w:rPr>
                <w:rFonts w:ascii="Arial" w:eastAsia="仿宋" w:hAnsi="Arial" w:cs="Arial"/>
                <w:bCs/>
                <w:sz w:val="21"/>
                <w:szCs w:val="21"/>
              </w:rPr>
              <w:t>片价格</w:t>
            </w:r>
            <w:proofErr w:type="gramEnd"/>
          </w:p>
        </w:tc>
        <w:tc>
          <w:tcPr>
            <w:tcW w:w="1328" w:type="dxa"/>
            <w:shd w:val="clear" w:color="auto" w:fill="auto"/>
            <w:noWrap/>
            <w:vAlign w:val="center"/>
          </w:tcPr>
          <w:p w14:paraId="73176C0E" w14:textId="77777777" w:rsidR="0062768B" w:rsidRDefault="00136729">
            <w:pPr>
              <w:widowControl/>
              <w:adjustRightInd/>
              <w:spacing w:line="240" w:lineRule="exact"/>
              <w:jc w:val="both"/>
              <w:textAlignment w:val="auto"/>
              <w:rPr>
                <w:rFonts w:ascii="Arial" w:eastAsia="仿宋" w:hAnsi="Arial" w:cs="Arial"/>
                <w:bCs/>
                <w:sz w:val="21"/>
                <w:szCs w:val="21"/>
              </w:rPr>
            </w:pPr>
            <w:r>
              <w:rPr>
                <w:rFonts w:ascii="Arial" w:eastAsia="仿宋" w:hAnsi="Arial" w:cs="Arial"/>
                <w:bCs/>
                <w:sz w:val="21"/>
                <w:szCs w:val="21"/>
              </w:rPr>
              <w:t>区</w:t>
            </w:r>
            <w:proofErr w:type="gramStart"/>
            <w:r>
              <w:rPr>
                <w:rFonts w:ascii="Arial" w:eastAsia="仿宋" w:hAnsi="Arial" w:cs="Arial"/>
                <w:bCs/>
                <w:sz w:val="21"/>
                <w:szCs w:val="21"/>
              </w:rPr>
              <w:t>片价格</w:t>
            </w:r>
            <w:proofErr w:type="gramEnd"/>
          </w:p>
        </w:tc>
        <w:tc>
          <w:tcPr>
            <w:tcW w:w="1329" w:type="dxa"/>
            <w:shd w:val="clear" w:color="auto" w:fill="auto"/>
            <w:noWrap/>
            <w:vAlign w:val="center"/>
          </w:tcPr>
          <w:p w14:paraId="6499421B" w14:textId="77777777" w:rsidR="0062768B" w:rsidRDefault="00136729">
            <w:pPr>
              <w:widowControl/>
              <w:adjustRightInd/>
              <w:spacing w:line="240" w:lineRule="exact"/>
              <w:jc w:val="both"/>
              <w:textAlignment w:val="auto"/>
              <w:rPr>
                <w:rFonts w:ascii="Arial" w:eastAsia="仿宋" w:hAnsi="Arial" w:cs="Arial"/>
                <w:bCs/>
                <w:sz w:val="21"/>
                <w:szCs w:val="21"/>
              </w:rPr>
            </w:pPr>
            <w:r>
              <w:rPr>
                <w:rFonts w:ascii="Arial" w:eastAsia="仿宋" w:hAnsi="Arial" w:cs="Arial"/>
                <w:bCs/>
                <w:sz w:val="21"/>
                <w:szCs w:val="21"/>
              </w:rPr>
              <w:t>区</w:t>
            </w:r>
            <w:proofErr w:type="gramStart"/>
            <w:r>
              <w:rPr>
                <w:rFonts w:ascii="Arial" w:eastAsia="仿宋" w:hAnsi="Arial" w:cs="Arial"/>
                <w:bCs/>
                <w:sz w:val="21"/>
                <w:szCs w:val="21"/>
              </w:rPr>
              <w:t>片价格</w:t>
            </w:r>
            <w:proofErr w:type="gramEnd"/>
          </w:p>
        </w:tc>
      </w:tr>
      <w:tr w:rsidR="0062768B" w14:paraId="0C6C29B0"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53FF21D6"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7DC1EC06"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-01</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388A7D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5790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7C9C31D4"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5740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0F3097D7"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6730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563DD677"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1110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D597863"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3460</w:t>
            </w:r>
          </w:p>
        </w:tc>
      </w:tr>
      <w:tr w:rsidR="0062768B" w14:paraId="4EB890FD"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2C87EF80"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75FBBB91"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-02</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557A11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5740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1DCC9DB2"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5670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DCA6611"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6680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68BA810D"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1070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5F5B89F"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3420</w:t>
            </w:r>
          </w:p>
        </w:tc>
      </w:tr>
      <w:tr w:rsidR="0062768B" w14:paraId="33F5A3EB"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199F22F6"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090D042C"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门</w:t>
            </w:r>
            <w:r>
              <w:rPr>
                <w:rFonts w:ascii="Arial" w:eastAsia="仿宋" w:hAnsi="Arial" w:cs="Arial" w:hint="eastAsia"/>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365C66D"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4760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27A3784"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4720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5B0765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5540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7DB94BC3"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810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89C6C5A"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2850</w:t>
            </w:r>
          </w:p>
        </w:tc>
      </w:tr>
      <w:tr w:rsidR="0062768B" w14:paraId="34570897"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719E456F"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5FDAB613"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门</w:t>
            </w:r>
            <w:r>
              <w:rPr>
                <w:rFonts w:ascii="Arial" w:eastAsia="仿宋" w:hAnsi="Arial" w:cs="Arial" w:hint="eastAsia"/>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6487CF64"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4010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492C1D0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3950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C62460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4710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21251BAA"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800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7A3072D"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2390</w:t>
            </w:r>
          </w:p>
        </w:tc>
      </w:tr>
      <w:tr w:rsidR="0062768B" w14:paraId="2165BB76"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09F14806"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0864C661"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proofErr w:type="gramStart"/>
            <w:r>
              <w:rPr>
                <w:rFonts w:ascii="Arial" w:eastAsia="仿宋" w:hAnsi="Arial" w:cs="Arial" w:hint="eastAsia"/>
                <w:sz w:val="21"/>
                <w:szCs w:val="21"/>
                <w:lang w:bidi="ar"/>
              </w:rPr>
              <w:t>门潭</w:t>
            </w:r>
            <w:proofErr w:type="gramEnd"/>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D1B338F"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4480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795B0E5"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4420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04B000A9"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5230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6F160119"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870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A3514A4"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2660</w:t>
            </w:r>
          </w:p>
        </w:tc>
      </w:tr>
      <w:tr w:rsidR="0062768B" w14:paraId="2084E9C7"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56D55636"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5159463C"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房</w:t>
            </w:r>
            <w:r>
              <w:rPr>
                <w:rFonts w:ascii="Arial" w:eastAsia="仿宋" w:hAnsi="Arial" w:cs="Arial" w:hint="eastAsia"/>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68E845D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5360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1CCEF80"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5300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E0CCE87"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6190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6C5BE064"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950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BBC43E2"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3190</w:t>
            </w:r>
          </w:p>
        </w:tc>
      </w:tr>
      <w:tr w:rsidR="0062768B" w14:paraId="53204644"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2609455F"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4CB70B54"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房</w:t>
            </w:r>
            <w:r>
              <w:rPr>
                <w:rFonts w:ascii="Arial" w:eastAsia="仿宋" w:hAnsi="Arial" w:cs="Arial" w:hint="eastAsia"/>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53A69BD"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4950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4CF7316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4900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230248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5720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4BF6012B"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920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797BC51"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2950</w:t>
            </w:r>
          </w:p>
        </w:tc>
      </w:tr>
      <w:tr w:rsidR="0062768B" w14:paraId="594A5047"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18348C8D"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3300BBA4"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房</w:t>
            </w:r>
            <w:r>
              <w:rPr>
                <w:rFonts w:ascii="Arial" w:eastAsia="仿宋" w:hAnsi="Arial" w:cs="Arial" w:hint="eastAsia"/>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E2B41D1"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5610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1C88D475"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5560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84B44B3"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6520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A9769B6"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1030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6DBF270F"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3360</w:t>
            </w:r>
          </w:p>
        </w:tc>
      </w:tr>
      <w:tr w:rsidR="0062768B" w14:paraId="78377389"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12F687F1"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6C9DB5B"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房</w:t>
            </w:r>
            <w:r>
              <w:rPr>
                <w:rFonts w:ascii="Arial" w:eastAsia="仿宋" w:hAnsi="Arial" w:cs="Arial" w:hint="eastAsia"/>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8F0EB61"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5340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2D82C05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5290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0C1A2DEA"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6170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63602F17"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1080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BFB7153"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3180</w:t>
            </w:r>
          </w:p>
        </w:tc>
      </w:tr>
      <w:tr w:rsidR="0062768B" w14:paraId="6AC5D1A6"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02584EAD"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0CEF8B9"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房</w:t>
            </w:r>
            <w:r>
              <w:rPr>
                <w:rFonts w:ascii="Arial" w:eastAsia="仿宋" w:hAnsi="Arial" w:cs="Arial" w:hint="eastAsia"/>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6F289BAF"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4890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3E98E8D"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4840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20E6202"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5640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6CD2B5B3"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960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6A917F19"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2910</w:t>
            </w:r>
          </w:p>
        </w:tc>
      </w:tr>
      <w:tr w:rsidR="0062768B" w14:paraId="6D3D6537"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4208B8E7"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63AA4976"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通</w:t>
            </w:r>
            <w:r>
              <w:rPr>
                <w:rFonts w:ascii="Arial" w:eastAsia="仿宋" w:hAnsi="Arial" w:cs="Arial" w:hint="eastAsia"/>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6D12204"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4960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7012A760"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4920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6AC095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5730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60EFCF15"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930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6AE84F7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2960</w:t>
            </w:r>
          </w:p>
        </w:tc>
      </w:tr>
      <w:tr w:rsidR="0062768B" w14:paraId="7808C255"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6760D8DA"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096C165D"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通</w:t>
            </w:r>
            <w:r>
              <w:rPr>
                <w:rFonts w:ascii="Arial" w:eastAsia="仿宋" w:hAnsi="Arial" w:cs="Arial" w:hint="eastAsia"/>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2A2A83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4350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51CACFD"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4300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8251950"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4900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248DCC5"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820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04A28B7"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2590</w:t>
            </w:r>
          </w:p>
        </w:tc>
      </w:tr>
      <w:tr w:rsidR="0062768B" w14:paraId="39DF7C2C"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03141D29"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35AF5F20"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顺</w:t>
            </w:r>
            <w:r>
              <w:rPr>
                <w:rFonts w:ascii="Arial" w:eastAsia="仿宋" w:hAnsi="Arial" w:cs="Arial" w:hint="eastAsia"/>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3E10F11"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5230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C0BD1C0"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5170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C7A6CA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6060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FA7C59F"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2553503"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3120</w:t>
            </w:r>
          </w:p>
        </w:tc>
      </w:tr>
      <w:tr w:rsidR="0062768B" w14:paraId="0F211906"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4DAB73C8"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4585AAA7"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顺</w:t>
            </w:r>
            <w:r>
              <w:rPr>
                <w:rFonts w:ascii="Arial" w:eastAsia="仿宋" w:hAnsi="Arial" w:cs="Arial" w:hint="eastAsia"/>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3F0B132"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5550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3CA8D8D"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CA53183"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6440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68695FE1"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960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D902D28"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3320</w:t>
            </w:r>
          </w:p>
        </w:tc>
      </w:tr>
      <w:tr w:rsidR="0062768B" w14:paraId="30AA53E1"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03C9A538"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69D404FF"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顺</w:t>
            </w:r>
            <w:r>
              <w:rPr>
                <w:rFonts w:ascii="Arial" w:eastAsia="仿宋" w:hAnsi="Arial" w:cs="Arial" w:hint="eastAsia"/>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05D0988F"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5440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2E796B5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5400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03177D5D"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6320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7311853"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930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17F0331"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3250</w:t>
            </w:r>
          </w:p>
        </w:tc>
      </w:tr>
      <w:tr w:rsidR="0062768B" w14:paraId="64EF2629"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1160B9EE"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46C9951C"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顺</w:t>
            </w:r>
            <w:r>
              <w:rPr>
                <w:rFonts w:ascii="Arial" w:eastAsia="仿宋" w:hAnsi="Arial" w:cs="Arial" w:hint="eastAsia"/>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E6A2F1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5400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A9E1A25"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5360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6E5DB02A"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6270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1B3C3A57"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1040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096D17A"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3230</w:t>
            </w:r>
          </w:p>
        </w:tc>
      </w:tr>
      <w:tr w:rsidR="0062768B" w14:paraId="310922A8"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4597E203"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6EC6753D"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顺</w:t>
            </w:r>
            <w:r>
              <w:rPr>
                <w:rFonts w:ascii="Arial" w:eastAsia="仿宋" w:hAnsi="Arial" w:cs="Arial" w:hint="eastAsia"/>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E8C916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5320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1B414F0"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5270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493E4D8"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6160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68BF325F"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990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09FC59A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3170</w:t>
            </w:r>
          </w:p>
        </w:tc>
      </w:tr>
      <w:tr w:rsidR="0062768B" w14:paraId="3E11294F"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46835495"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3750B1E5"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昌</w:t>
            </w:r>
            <w:r>
              <w:rPr>
                <w:rFonts w:ascii="Arial" w:eastAsia="仿宋" w:hAnsi="Arial" w:cs="Arial" w:hint="eastAsia"/>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DC568E5"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5260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955F6B5"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5210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1E6253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6100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52F8ACC"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950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BEC94B0"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3150</w:t>
            </w:r>
          </w:p>
        </w:tc>
      </w:tr>
      <w:tr w:rsidR="0062768B" w14:paraId="59253901"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336AA1D4"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CCF0B99"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昌</w:t>
            </w:r>
            <w:r>
              <w:rPr>
                <w:rFonts w:ascii="Arial" w:eastAsia="仿宋" w:hAnsi="Arial" w:cs="Arial" w:hint="eastAsia"/>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DFCAE4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5610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71B7588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5570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1CCE2E1"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6530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4C289A7E"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960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CBBBBE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3360</w:t>
            </w:r>
          </w:p>
        </w:tc>
      </w:tr>
      <w:tr w:rsidR="0062768B" w14:paraId="79A03157"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0408C744"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5FD11E65"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昌</w:t>
            </w:r>
            <w:r>
              <w:rPr>
                <w:rFonts w:ascii="Arial" w:eastAsia="仿宋" w:hAnsi="Arial" w:cs="Arial" w:hint="eastAsia"/>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487E659"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5540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1C9CE67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5490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A42EA27"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6430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41DC279"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980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04BA4971"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3310</w:t>
            </w:r>
          </w:p>
        </w:tc>
      </w:tr>
      <w:tr w:rsidR="0062768B" w14:paraId="19F73034"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1191C6C7"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208370A0"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昌</w:t>
            </w:r>
            <w:r>
              <w:rPr>
                <w:rFonts w:ascii="Arial" w:eastAsia="仿宋" w:hAnsi="Arial" w:cs="Arial" w:hint="eastAsia"/>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6D8463A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5480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AF08425"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5420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80A3E02"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6370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4BF99FE7"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990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2783E34"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3270</w:t>
            </w:r>
          </w:p>
        </w:tc>
      </w:tr>
      <w:tr w:rsidR="0062768B" w14:paraId="410AF346"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3B00F02A"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2E0A5AB8"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昌</w:t>
            </w:r>
            <w:r>
              <w:rPr>
                <w:rFonts w:ascii="Arial" w:eastAsia="仿宋" w:hAnsi="Arial" w:cs="Arial" w:hint="eastAsia"/>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E47080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5090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660CD84D"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5050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5D2EC4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5910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57BFEFC8"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95EB321"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3040</w:t>
            </w:r>
          </w:p>
        </w:tc>
      </w:tr>
      <w:tr w:rsidR="0062768B" w14:paraId="12D75441"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5C2388B0"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5A3FB3FC"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兴</w:t>
            </w:r>
            <w:r>
              <w:rPr>
                <w:rFonts w:ascii="Arial" w:eastAsia="仿宋" w:hAnsi="Arial" w:cs="Arial" w:hint="eastAsia"/>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8E8A18A"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5430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6F8A008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5380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C43FDC3"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6280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776AE1E7"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1000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A69405F"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3240</w:t>
            </w:r>
          </w:p>
        </w:tc>
      </w:tr>
      <w:tr w:rsidR="0062768B" w14:paraId="3CC130E4"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69C80FFC"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3B1A369A"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兴</w:t>
            </w:r>
            <w:r>
              <w:rPr>
                <w:rFonts w:ascii="Arial" w:eastAsia="仿宋" w:hAnsi="Arial" w:cs="Arial" w:hint="eastAsia"/>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7AD75AD"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4740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548875D7"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4680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21DAD0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5450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17837295"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8CF88D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2830</w:t>
            </w:r>
          </w:p>
        </w:tc>
      </w:tr>
      <w:tr w:rsidR="0062768B" w14:paraId="4BEF70BC"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5A7D68AD"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825AA7D"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兴</w:t>
            </w:r>
            <w:r>
              <w:rPr>
                <w:rFonts w:ascii="Arial" w:eastAsia="仿宋" w:hAnsi="Arial" w:cs="Arial" w:hint="eastAsia"/>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80A37A0"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4870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B04FA7F"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4810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90AC044"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5560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C7EBA49"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990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64BD443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2910</w:t>
            </w:r>
          </w:p>
        </w:tc>
      </w:tr>
      <w:tr w:rsidR="0062768B" w14:paraId="6BE7DC83"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3BC4CC51"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07DF081C"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怀</w:t>
            </w:r>
            <w:r>
              <w:rPr>
                <w:rFonts w:ascii="Arial" w:eastAsia="仿宋" w:hAnsi="Arial" w:cs="Arial" w:hint="eastAsia"/>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246D4F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5520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4265DE4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5470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90E1B7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6410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D41A3B8"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950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A326F62"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3300</w:t>
            </w:r>
          </w:p>
        </w:tc>
      </w:tr>
      <w:tr w:rsidR="0062768B" w14:paraId="52966571"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39038C98"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58357890"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怀</w:t>
            </w:r>
            <w:r>
              <w:rPr>
                <w:rFonts w:ascii="Arial" w:eastAsia="仿宋" w:hAnsi="Arial" w:cs="Arial" w:hint="eastAsia"/>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65F01E2"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5630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55D7FF3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5590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A6698BA"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6550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2CFDF6CE"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1010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5F21182"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3370</w:t>
            </w:r>
          </w:p>
        </w:tc>
      </w:tr>
      <w:tr w:rsidR="0062768B" w14:paraId="11214554"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6EBE893F"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EA436FE"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怀</w:t>
            </w:r>
            <w:r>
              <w:rPr>
                <w:rFonts w:ascii="Arial" w:eastAsia="仿宋" w:hAnsi="Arial" w:cs="Arial" w:hint="eastAsia"/>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CDE608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5680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1A2AD67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5620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8736E5F"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6620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7F5E211A"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1050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928E68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3390</w:t>
            </w:r>
          </w:p>
        </w:tc>
      </w:tr>
      <w:tr w:rsidR="0062768B" w14:paraId="11984E88"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446D7165"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35A40D47"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怀</w:t>
            </w:r>
            <w:r>
              <w:rPr>
                <w:rFonts w:ascii="Arial" w:eastAsia="仿宋" w:hAnsi="Arial" w:cs="Arial" w:hint="eastAsia"/>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19E319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5590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5CE21F30"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5530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69D35578"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6460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6B82BF0C"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1E82320"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3340</w:t>
            </w:r>
          </w:p>
        </w:tc>
      </w:tr>
      <w:tr w:rsidR="0062768B" w14:paraId="67C1685E"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1B096AF6"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535911A5"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平</w:t>
            </w:r>
            <w:r>
              <w:rPr>
                <w:rFonts w:ascii="Arial" w:eastAsia="仿宋" w:hAnsi="Arial" w:cs="Arial" w:hint="eastAsia"/>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B06BC3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5560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6C6F3237"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5510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00E65694"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6440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1F942324"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114D87A"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3320</w:t>
            </w:r>
          </w:p>
        </w:tc>
      </w:tr>
      <w:tr w:rsidR="0062768B" w14:paraId="127DA0EE"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01CDCE82"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4F77FFAE"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平</w:t>
            </w:r>
            <w:r>
              <w:rPr>
                <w:rFonts w:ascii="Arial" w:eastAsia="仿宋" w:hAnsi="Arial" w:cs="Arial" w:hint="eastAsia"/>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998A7B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5650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0678289"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5600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E076DD4"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6590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1E0D305E"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930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B05398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3380</w:t>
            </w:r>
          </w:p>
        </w:tc>
      </w:tr>
      <w:tr w:rsidR="0062768B" w14:paraId="52F65853"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789381AE"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4DE2EB64"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密</w:t>
            </w:r>
            <w:r>
              <w:rPr>
                <w:rFonts w:ascii="Arial" w:eastAsia="仿宋" w:hAnsi="Arial" w:cs="Arial" w:hint="eastAsia"/>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56D4CD9"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5620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1D29DB6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5580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69D3C015"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6540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7B7CDD83"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910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004ADC69"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3370</w:t>
            </w:r>
          </w:p>
        </w:tc>
      </w:tr>
      <w:tr w:rsidR="0062768B" w14:paraId="332829F9"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4FA73A20"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5D6DBAE9"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延</w:t>
            </w:r>
            <w:r>
              <w:rPr>
                <w:rFonts w:ascii="Arial" w:eastAsia="仿宋" w:hAnsi="Arial" w:cs="Arial" w:hint="eastAsia"/>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5A85BF4"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5060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6DC7B47"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5020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3723240"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6370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EFEAAD4"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800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AEC37D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3020</w:t>
            </w:r>
          </w:p>
        </w:tc>
      </w:tr>
      <w:tr w:rsidR="0062768B" w14:paraId="5F119F6E"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26DF05A2"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54E7D8F7"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延</w:t>
            </w:r>
            <w:r>
              <w:rPr>
                <w:rFonts w:ascii="Arial" w:eastAsia="仿宋" w:hAnsi="Arial" w:cs="Arial" w:hint="eastAsia"/>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D7B4FA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5150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5EAB7DED"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5110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40AD924"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6500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5F39376E"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880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11072D2"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3080</w:t>
            </w:r>
          </w:p>
        </w:tc>
      </w:tr>
      <w:tr w:rsidR="0062768B" w14:paraId="226B209D"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421E2131"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8EC33AA"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亦</w:t>
            </w:r>
            <w:r>
              <w:rPr>
                <w:rFonts w:ascii="Arial" w:eastAsia="仿宋" w:hAnsi="Arial" w:cs="Arial" w:hint="eastAsia"/>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886B29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4750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227DF651"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4710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55F4263"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5510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4282BC50"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880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C7F1591"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2840</w:t>
            </w:r>
          </w:p>
        </w:tc>
      </w:tr>
      <w:tr w:rsidR="0062768B" w14:paraId="76BC3B17"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02CEDEB6"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lastRenderedPageBreak/>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55429E05"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亦</w:t>
            </w:r>
            <w:r>
              <w:rPr>
                <w:rFonts w:ascii="Arial" w:eastAsia="仿宋" w:hAnsi="Arial" w:cs="Arial" w:hint="eastAsia"/>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7B4FE9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4690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75987A84"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4640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5A0FDA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5420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C30F36C"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800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CF74FC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2800</w:t>
            </w:r>
          </w:p>
        </w:tc>
      </w:tr>
      <w:tr w:rsidR="0062768B" w14:paraId="4CAF17FD"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2E33CB3B"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408633D"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亦</w:t>
            </w:r>
            <w:r>
              <w:rPr>
                <w:rFonts w:ascii="Arial" w:eastAsia="仿宋" w:hAnsi="Arial" w:cs="Arial" w:hint="eastAsia"/>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0D3D59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4810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79B668D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4760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65E199AF"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5550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1AD1BFCB"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920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BB793D4"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2870</w:t>
            </w:r>
          </w:p>
        </w:tc>
      </w:tr>
      <w:tr w:rsidR="0062768B" w14:paraId="36122327"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74381501"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268ACE3C"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房山工业园西</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616ABD7"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1ECB1AF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0D74B7A"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E7772EC"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1020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78074E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r>
      <w:tr w:rsidR="0062768B" w14:paraId="66B5761B"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70DB6974"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2C6982A0"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房山工业园东</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66C4F4C9"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2CEFB9D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03B9E38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D5B354C"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1050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F186A5D"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r>
      <w:tr w:rsidR="0062768B" w14:paraId="345EA557"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5A80E19E"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D5C5540"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永乐开发区</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A3F2C79"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649A0EF2"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053C56D3"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76DB8842"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F07413D"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r>
      <w:tr w:rsidR="0062768B" w14:paraId="35661F87"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2DF9CED4"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638054C9"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采育开发区</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D417E95"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64A1F29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3E58518"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72FC090"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920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DFB1BC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r>
      <w:tr w:rsidR="0062768B" w14:paraId="119024E6"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29D43D49"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4E3FD8AF"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雁栖开发区</w:t>
            </w:r>
            <w:r>
              <w:rPr>
                <w:rFonts w:ascii="Arial" w:eastAsia="仿宋" w:hAnsi="Arial" w:cs="Arial" w:hint="eastAsia"/>
                <w:sz w:val="21"/>
                <w:szCs w:val="21"/>
                <w:lang w:bidi="ar"/>
              </w:rPr>
              <w:t>A</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02689023"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06E4B09"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2415437"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F489871"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1080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F0D054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r>
      <w:tr w:rsidR="0062768B" w14:paraId="1C9D54CF"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61E4568E"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0FD97EF9"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雁栖开发区</w:t>
            </w:r>
            <w:r>
              <w:rPr>
                <w:rFonts w:ascii="Arial" w:eastAsia="仿宋" w:hAnsi="Arial" w:cs="Arial" w:hint="eastAsia"/>
                <w:sz w:val="21"/>
                <w:szCs w:val="21"/>
                <w:lang w:bidi="ar"/>
              </w:rPr>
              <w:t>B</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5E8D3D3"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7013166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7502618"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48D2401C"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1020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4F2406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r>
      <w:tr w:rsidR="0062768B" w14:paraId="70DB6C73"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5ACB552D"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458F803B"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雁栖开发区</w:t>
            </w:r>
            <w:r>
              <w:rPr>
                <w:rFonts w:ascii="Arial" w:eastAsia="仿宋" w:hAnsi="Arial" w:cs="Arial" w:hint="eastAsia"/>
                <w:sz w:val="21"/>
                <w:szCs w:val="21"/>
                <w:lang w:bidi="ar"/>
              </w:rPr>
              <w:t>C</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D372BF4"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89E0549"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13D8C9A"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5147A392"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1050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45AF7A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r>
      <w:tr w:rsidR="0062768B" w14:paraId="33D50875"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2CDC6D1E"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F52DCC3"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proofErr w:type="gramStart"/>
            <w:r>
              <w:rPr>
                <w:rFonts w:ascii="Arial" w:eastAsia="仿宋" w:hAnsi="Arial" w:cs="Arial" w:hint="eastAsia"/>
                <w:sz w:val="21"/>
                <w:szCs w:val="21"/>
                <w:lang w:bidi="ar"/>
              </w:rPr>
              <w:t>兴谷开发区</w:t>
            </w:r>
            <w:proofErr w:type="gramEnd"/>
            <w:r>
              <w:rPr>
                <w:rFonts w:ascii="Arial" w:eastAsia="仿宋" w:hAnsi="Arial" w:cs="Arial" w:hint="eastAsia"/>
                <w:sz w:val="21"/>
                <w:szCs w:val="21"/>
                <w:lang w:bidi="ar"/>
              </w:rPr>
              <w:t>A</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8EBD58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1A6C11E3"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EF6E384"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208325AF"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960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62495F2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r>
      <w:tr w:rsidR="0062768B" w14:paraId="4EF8F427"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0EB23272"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6545ECE5"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proofErr w:type="gramStart"/>
            <w:r>
              <w:rPr>
                <w:rFonts w:ascii="Arial" w:eastAsia="仿宋" w:hAnsi="Arial" w:cs="Arial" w:hint="eastAsia"/>
                <w:sz w:val="21"/>
                <w:szCs w:val="21"/>
                <w:lang w:bidi="ar"/>
              </w:rPr>
              <w:t>兴谷开发区</w:t>
            </w:r>
            <w:proofErr w:type="gramEnd"/>
            <w:r>
              <w:rPr>
                <w:rFonts w:ascii="Arial" w:eastAsia="仿宋" w:hAnsi="Arial" w:cs="Arial" w:hint="eastAsia"/>
                <w:sz w:val="21"/>
                <w:szCs w:val="21"/>
                <w:lang w:bidi="ar"/>
              </w:rPr>
              <w:t>B</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69DF0D9"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42D7EA3"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06009D5"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F660952"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960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8805991"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r>
      <w:tr w:rsidR="0062768B" w14:paraId="4C0877BB"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3FBB6C43"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43515FE"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马</w:t>
            </w:r>
            <w:proofErr w:type="gramStart"/>
            <w:r>
              <w:rPr>
                <w:rFonts w:ascii="Arial" w:eastAsia="仿宋" w:hAnsi="Arial" w:cs="Arial" w:hint="eastAsia"/>
                <w:sz w:val="21"/>
                <w:szCs w:val="21"/>
                <w:lang w:bidi="ar"/>
              </w:rPr>
              <w:t>坊工业</w:t>
            </w:r>
            <w:proofErr w:type="gramEnd"/>
            <w:r>
              <w:rPr>
                <w:rFonts w:ascii="Arial" w:eastAsia="仿宋" w:hAnsi="Arial" w:cs="Arial" w:hint="eastAsia"/>
                <w:sz w:val="21"/>
                <w:szCs w:val="21"/>
                <w:lang w:bidi="ar"/>
              </w:rPr>
              <w:t>园</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39967F8"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F3685D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9BA30ED"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66F3AC11"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880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D1CFC51"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r>
      <w:tr w:rsidR="0062768B" w14:paraId="6B5AAE67"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7BE625A2"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473EBCD9"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密云开发区</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CDFBA8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E04BEBD"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7163ABD"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AD85BF3"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930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94C3359"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r>
      <w:tr w:rsidR="0062768B" w14:paraId="5793B0C6"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10E193CA"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38EF754A"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延庆开发区</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573679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475A895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75394E3"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5C83B0D7"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32402F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r>
      <w:tr w:rsidR="0062768B" w14:paraId="3AC6267F"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57F1885A"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6808B82A"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八达岭开发区</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18E0A6F"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13322B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1C85B0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4E59792E"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790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98ABECA"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r>
    </w:tbl>
    <w:p w14:paraId="5EBFAB2E" w14:textId="77777777" w:rsidR="0062768B" w:rsidRDefault="0062768B">
      <w:pPr>
        <w:adjustRightInd/>
        <w:snapToGrid w:val="0"/>
        <w:spacing w:line="300" w:lineRule="auto"/>
        <w:ind w:firstLineChars="200" w:firstLine="560"/>
        <w:jc w:val="both"/>
        <w:rPr>
          <w:rFonts w:ascii="Arial" w:eastAsia="仿宋" w:hAnsi="Arial" w:cs="Arial"/>
          <w:sz w:val="28"/>
          <w:szCs w:val="28"/>
        </w:rPr>
      </w:pPr>
    </w:p>
    <w:p w14:paraId="7A16E3C4" w14:textId="77777777" w:rsidR="0062768B" w:rsidRDefault="00136729">
      <w:pPr>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依据上表，估价对象所在住宅用途</w:t>
      </w:r>
      <w:r>
        <w:rPr>
          <w:rFonts w:ascii="Arial" w:eastAsia="仿宋_GB2312" w:hAnsi="Arial" w:cs="Arial"/>
          <w:sz w:val="28"/>
        </w:rPr>
        <w:t>IX-</w:t>
      </w:r>
      <w:r>
        <w:rPr>
          <w:rFonts w:ascii="Arial" w:eastAsia="仿宋_GB2312" w:hAnsi="Arial" w:cs="Arial" w:hint="eastAsia"/>
          <w:sz w:val="28"/>
        </w:rPr>
        <w:t>顺</w:t>
      </w:r>
      <w:r>
        <w:rPr>
          <w:rFonts w:ascii="Arial" w:eastAsia="仿宋_GB2312" w:hAnsi="Arial" w:cs="Arial" w:hint="eastAsia"/>
          <w:sz w:val="28"/>
        </w:rPr>
        <w:t>5</w:t>
      </w:r>
      <w:r>
        <w:rPr>
          <w:rFonts w:ascii="Arial" w:eastAsia="仿宋" w:hAnsi="Arial" w:cs="Arial"/>
          <w:sz w:val="28"/>
          <w:szCs w:val="28"/>
        </w:rPr>
        <w:t>区片的区片基准地价为</w:t>
      </w:r>
      <w:r>
        <w:rPr>
          <w:rFonts w:ascii="Arial" w:eastAsia="仿宋" w:hAnsi="Arial" w:cs="Arial"/>
          <w:sz w:val="28"/>
          <w:szCs w:val="28"/>
        </w:rPr>
        <w:t>6160</w:t>
      </w:r>
      <w:r>
        <w:rPr>
          <w:rFonts w:ascii="Arial" w:eastAsia="仿宋" w:hAnsi="Arial" w:cs="Arial"/>
          <w:sz w:val="28"/>
          <w:szCs w:val="28"/>
        </w:rPr>
        <w:t>元</w:t>
      </w:r>
      <w:r>
        <w:rPr>
          <w:rFonts w:ascii="Arial" w:eastAsia="仿宋" w:hAnsi="Arial" w:cs="Arial"/>
          <w:sz w:val="28"/>
          <w:szCs w:val="28"/>
        </w:rPr>
        <w:t>/</w:t>
      </w:r>
      <w:r>
        <w:rPr>
          <w:rFonts w:ascii="Arial" w:eastAsia="仿宋" w:hAnsi="Arial" w:cs="Arial"/>
          <w:sz w:val="28"/>
          <w:szCs w:val="28"/>
        </w:rPr>
        <w:t>平方米。</w:t>
      </w:r>
    </w:p>
    <w:p w14:paraId="5B2CD129" w14:textId="77777777" w:rsidR="0062768B" w:rsidRDefault="00136729">
      <w:pPr>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b.</w:t>
      </w:r>
      <w:r>
        <w:rPr>
          <w:rFonts w:ascii="Arial" w:eastAsia="仿宋" w:hAnsi="Arial" w:cs="Arial"/>
          <w:sz w:val="28"/>
          <w:szCs w:val="28"/>
        </w:rPr>
        <w:t>特殊情况修正</w:t>
      </w:r>
    </w:p>
    <w:p w14:paraId="6160EE94" w14:textId="77777777" w:rsidR="0062768B" w:rsidRDefault="00136729">
      <w:pPr>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估价对象为住宅用地，以估价对象距离</w:t>
      </w:r>
      <w:r>
        <w:rPr>
          <w:rFonts w:ascii="Arial" w:eastAsia="仿宋" w:hAnsi="Arial" w:cs="Arial" w:hint="eastAsia"/>
          <w:sz w:val="28"/>
          <w:szCs w:val="28"/>
        </w:rPr>
        <w:t>水系</w:t>
      </w:r>
      <w:r>
        <w:rPr>
          <w:rFonts w:ascii="Arial" w:eastAsia="仿宋" w:hAnsi="Arial" w:cs="Arial"/>
          <w:sz w:val="28"/>
          <w:szCs w:val="28"/>
        </w:rPr>
        <w:t>（</w:t>
      </w:r>
      <w:r>
        <w:rPr>
          <w:rFonts w:ascii="Arial" w:eastAsia="仿宋" w:hAnsi="Arial" w:cs="Arial" w:hint="eastAsia"/>
          <w:sz w:val="28"/>
          <w:szCs w:val="28"/>
        </w:rPr>
        <w:t>方氏渠</w:t>
      </w:r>
      <w:r>
        <w:rPr>
          <w:rFonts w:ascii="Arial" w:eastAsia="仿宋" w:hAnsi="Arial" w:cs="Arial"/>
          <w:sz w:val="28"/>
          <w:szCs w:val="28"/>
        </w:rPr>
        <w:t>）</w:t>
      </w:r>
      <w:r>
        <w:rPr>
          <w:rFonts w:ascii="Arial" w:eastAsia="仿宋" w:hAnsi="Arial" w:cs="Arial" w:hint="eastAsia"/>
          <w:sz w:val="28"/>
          <w:szCs w:val="28"/>
        </w:rPr>
        <w:t>650</w:t>
      </w:r>
      <w:r>
        <w:rPr>
          <w:rFonts w:ascii="Arial" w:eastAsia="仿宋" w:hAnsi="Arial" w:cs="Arial" w:hint="eastAsia"/>
          <w:sz w:val="28"/>
          <w:szCs w:val="28"/>
        </w:rPr>
        <w:t>米</w:t>
      </w:r>
      <w:r>
        <w:rPr>
          <w:rFonts w:ascii="Arial" w:eastAsia="仿宋" w:hAnsi="Arial" w:cs="Arial"/>
          <w:sz w:val="28"/>
          <w:szCs w:val="28"/>
        </w:rPr>
        <w:t>。因此，需先进行特殊情况修正。修正表如下：</w:t>
      </w:r>
    </w:p>
    <w:p w14:paraId="5EAD980E" w14:textId="77777777" w:rsidR="0062768B" w:rsidRDefault="00136729">
      <w:pPr>
        <w:spacing w:line="240" w:lineRule="auto"/>
        <w:jc w:val="center"/>
        <w:rPr>
          <w:rFonts w:ascii="Arial" w:eastAsia="仿宋" w:hAnsi="Arial" w:cs="Arial"/>
          <w:sz w:val="28"/>
          <w:szCs w:val="28"/>
        </w:rPr>
      </w:pPr>
      <w:bookmarkStart w:id="360" w:name="OLE_LINK20"/>
      <w:bookmarkStart w:id="361" w:name="OLE_LINK19"/>
      <w:bookmarkStart w:id="362" w:name="OLE_LINK22"/>
      <w:bookmarkStart w:id="363" w:name="OLE_LINK21"/>
      <w:r>
        <w:rPr>
          <w:rFonts w:ascii="Arial" w:eastAsia="仿宋" w:hAnsi="Arial" w:cs="Arial"/>
          <w:sz w:val="28"/>
          <w:szCs w:val="28"/>
        </w:rPr>
        <w:t>住宅用地特殊情况修正</w:t>
      </w:r>
      <w:bookmarkEnd w:id="360"/>
      <w:bookmarkEnd w:id="361"/>
      <w:r>
        <w:rPr>
          <w:rFonts w:ascii="Arial" w:eastAsia="仿宋" w:hAnsi="Arial" w:cs="Arial"/>
          <w:sz w:val="28"/>
          <w:szCs w:val="28"/>
        </w:rPr>
        <w:t>系数</w:t>
      </w:r>
      <w:bookmarkEnd w:id="362"/>
      <w:bookmarkEnd w:id="363"/>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135"/>
        <w:gridCol w:w="1276"/>
        <w:gridCol w:w="1276"/>
        <w:gridCol w:w="1870"/>
        <w:gridCol w:w="1871"/>
        <w:gridCol w:w="1871"/>
      </w:tblGrid>
      <w:tr w:rsidR="0062768B" w14:paraId="56F378F6" w14:textId="77777777">
        <w:trPr>
          <w:cantSplit/>
          <w:jc w:val="center"/>
        </w:trPr>
        <w:tc>
          <w:tcPr>
            <w:tcW w:w="1135" w:type="dxa"/>
            <w:tcBorders>
              <w:top w:val="single" w:sz="2" w:space="0" w:color="404040"/>
              <w:left w:val="single" w:sz="2" w:space="0" w:color="404040"/>
              <w:bottom w:val="single" w:sz="2" w:space="0" w:color="404040"/>
              <w:right w:val="single" w:sz="2" w:space="0" w:color="404040"/>
            </w:tcBorders>
            <w:shd w:val="clear" w:color="auto" w:fill="auto"/>
            <w:noWrap/>
            <w:vAlign w:val="center"/>
          </w:tcPr>
          <w:p w14:paraId="44AF275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特殊情况</w:t>
            </w:r>
          </w:p>
        </w:tc>
        <w:tc>
          <w:tcPr>
            <w:tcW w:w="1276" w:type="dxa"/>
            <w:tcBorders>
              <w:top w:val="single" w:sz="2" w:space="0" w:color="404040"/>
              <w:left w:val="single" w:sz="2" w:space="0" w:color="404040"/>
              <w:bottom w:val="single" w:sz="2" w:space="0" w:color="404040"/>
              <w:right w:val="single" w:sz="2" w:space="0" w:color="404040"/>
            </w:tcBorders>
            <w:shd w:val="clear" w:color="auto" w:fill="auto"/>
            <w:noWrap/>
            <w:vAlign w:val="center"/>
          </w:tcPr>
          <w:p w14:paraId="0E849DF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公园</w:t>
            </w:r>
          </w:p>
        </w:tc>
        <w:tc>
          <w:tcPr>
            <w:tcW w:w="1276" w:type="dxa"/>
            <w:tcBorders>
              <w:top w:val="single" w:sz="2" w:space="0" w:color="404040"/>
              <w:left w:val="single" w:sz="2" w:space="0" w:color="404040"/>
              <w:bottom w:val="single" w:sz="2" w:space="0" w:color="404040"/>
              <w:right w:val="single" w:sz="2" w:space="0" w:color="404040"/>
            </w:tcBorders>
            <w:shd w:val="clear" w:color="auto" w:fill="auto"/>
            <w:noWrap/>
            <w:vAlign w:val="center"/>
          </w:tcPr>
          <w:p w14:paraId="10AD5F3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水系</w:t>
            </w:r>
          </w:p>
        </w:tc>
        <w:tc>
          <w:tcPr>
            <w:tcW w:w="1870" w:type="dxa"/>
            <w:tcBorders>
              <w:top w:val="single" w:sz="2" w:space="0" w:color="404040"/>
              <w:left w:val="single" w:sz="2" w:space="0" w:color="404040"/>
              <w:bottom w:val="single" w:sz="2" w:space="0" w:color="404040"/>
              <w:right w:val="single" w:sz="2" w:space="0" w:color="404040"/>
            </w:tcBorders>
            <w:shd w:val="clear" w:color="auto" w:fill="auto"/>
            <w:noWrap/>
            <w:vAlign w:val="center"/>
          </w:tcPr>
          <w:p w14:paraId="662A307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轨道交通站点周边</w:t>
            </w:r>
          </w:p>
          <w:p w14:paraId="7B93537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500</w:t>
            </w:r>
            <w:r>
              <w:rPr>
                <w:rFonts w:ascii="Arial" w:eastAsia="仿宋" w:hAnsi="Arial" w:cs="Arial"/>
                <w:sz w:val="21"/>
                <w:szCs w:val="21"/>
              </w:rPr>
              <w:t>米范围内）</w:t>
            </w:r>
          </w:p>
        </w:tc>
        <w:tc>
          <w:tcPr>
            <w:tcW w:w="1871" w:type="dxa"/>
            <w:tcBorders>
              <w:top w:val="single" w:sz="2" w:space="0" w:color="404040"/>
              <w:left w:val="single" w:sz="2" w:space="0" w:color="404040"/>
              <w:bottom w:val="single" w:sz="2" w:space="0" w:color="404040"/>
              <w:right w:val="single" w:sz="2" w:space="0" w:color="404040"/>
            </w:tcBorders>
            <w:shd w:val="clear" w:color="auto" w:fill="auto"/>
            <w:vAlign w:val="center"/>
          </w:tcPr>
          <w:p w14:paraId="5DF632E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轨道交通站点周边</w:t>
            </w:r>
          </w:p>
          <w:p w14:paraId="490BC22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500-1000</w:t>
            </w:r>
            <w:r>
              <w:rPr>
                <w:rFonts w:ascii="Arial" w:eastAsia="仿宋" w:hAnsi="Arial" w:cs="Arial"/>
                <w:sz w:val="21"/>
                <w:szCs w:val="21"/>
              </w:rPr>
              <w:t>米）</w:t>
            </w:r>
          </w:p>
        </w:tc>
        <w:tc>
          <w:tcPr>
            <w:tcW w:w="1871" w:type="dxa"/>
            <w:tcBorders>
              <w:top w:val="single" w:sz="2" w:space="0" w:color="404040"/>
              <w:left w:val="single" w:sz="2" w:space="0" w:color="404040"/>
              <w:bottom w:val="single" w:sz="2" w:space="0" w:color="404040"/>
              <w:right w:val="single" w:sz="2" w:space="0" w:color="404040"/>
            </w:tcBorders>
            <w:shd w:val="clear" w:color="auto" w:fill="auto"/>
            <w:vAlign w:val="center"/>
          </w:tcPr>
          <w:p w14:paraId="6323294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轨道交通站点周边（</w:t>
            </w:r>
            <w:r>
              <w:rPr>
                <w:rFonts w:ascii="Arial" w:eastAsia="仿宋" w:hAnsi="Arial" w:cs="Arial"/>
                <w:sz w:val="21"/>
                <w:szCs w:val="21"/>
              </w:rPr>
              <w:t>1000-1500</w:t>
            </w:r>
            <w:r>
              <w:rPr>
                <w:rFonts w:ascii="Arial" w:eastAsia="仿宋" w:hAnsi="Arial" w:cs="Arial"/>
                <w:sz w:val="21"/>
                <w:szCs w:val="21"/>
              </w:rPr>
              <w:t>米）</w:t>
            </w:r>
          </w:p>
        </w:tc>
      </w:tr>
      <w:tr w:rsidR="0062768B" w14:paraId="3A968DC8" w14:textId="77777777">
        <w:trPr>
          <w:cantSplit/>
          <w:jc w:val="center"/>
        </w:trPr>
        <w:tc>
          <w:tcPr>
            <w:tcW w:w="1135" w:type="dxa"/>
            <w:tcBorders>
              <w:top w:val="single" w:sz="2" w:space="0" w:color="404040"/>
              <w:left w:val="single" w:sz="2" w:space="0" w:color="404040"/>
              <w:bottom w:val="single" w:sz="2" w:space="0" w:color="404040"/>
              <w:right w:val="single" w:sz="2" w:space="0" w:color="404040"/>
            </w:tcBorders>
            <w:shd w:val="clear" w:color="auto" w:fill="auto"/>
            <w:noWrap/>
            <w:vAlign w:val="center"/>
          </w:tcPr>
          <w:p w14:paraId="55744BF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修正系数</w:t>
            </w:r>
          </w:p>
        </w:tc>
        <w:tc>
          <w:tcPr>
            <w:tcW w:w="1276" w:type="dxa"/>
            <w:tcBorders>
              <w:top w:val="single" w:sz="2" w:space="0" w:color="404040"/>
              <w:left w:val="single" w:sz="2" w:space="0" w:color="404040"/>
              <w:bottom w:val="single" w:sz="2" w:space="0" w:color="404040"/>
              <w:right w:val="single" w:sz="2" w:space="0" w:color="404040"/>
            </w:tcBorders>
            <w:shd w:val="clear" w:color="auto" w:fill="auto"/>
            <w:noWrap/>
            <w:vAlign w:val="center"/>
          </w:tcPr>
          <w:p w14:paraId="6993DB7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1.1~1.15</w:t>
            </w:r>
          </w:p>
        </w:tc>
        <w:tc>
          <w:tcPr>
            <w:tcW w:w="1276" w:type="dxa"/>
            <w:tcBorders>
              <w:top w:val="single" w:sz="2" w:space="0" w:color="404040"/>
              <w:left w:val="single" w:sz="2" w:space="0" w:color="404040"/>
              <w:bottom w:val="single" w:sz="2" w:space="0" w:color="404040"/>
              <w:right w:val="single" w:sz="2" w:space="0" w:color="404040"/>
            </w:tcBorders>
            <w:shd w:val="clear" w:color="auto" w:fill="auto"/>
            <w:noWrap/>
            <w:vAlign w:val="center"/>
          </w:tcPr>
          <w:p w14:paraId="6858153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1.05~1.1</w:t>
            </w:r>
          </w:p>
        </w:tc>
        <w:tc>
          <w:tcPr>
            <w:tcW w:w="1870" w:type="dxa"/>
            <w:tcBorders>
              <w:top w:val="single" w:sz="2" w:space="0" w:color="404040"/>
              <w:left w:val="single" w:sz="2" w:space="0" w:color="404040"/>
              <w:bottom w:val="single" w:sz="2" w:space="0" w:color="404040"/>
              <w:right w:val="single" w:sz="2" w:space="0" w:color="404040"/>
            </w:tcBorders>
            <w:shd w:val="clear" w:color="auto" w:fill="auto"/>
            <w:noWrap/>
            <w:vAlign w:val="center"/>
          </w:tcPr>
          <w:p w14:paraId="1631B6E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1.1~1.15</w:t>
            </w:r>
          </w:p>
        </w:tc>
        <w:tc>
          <w:tcPr>
            <w:tcW w:w="1871" w:type="dxa"/>
            <w:tcBorders>
              <w:top w:val="single" w:sz="2" w:space="0" w:color="404040"/>
              <w:left w:val="single" w:sz="2" w:space="0" w:color="404040"/>
              <w:bottom w:val="single" w:sz="2" w:space="0" w:color="404040"/>
              <w:right w:val="single" w:sz="2" w:space="0" w:color="404040"/>
            </w:tcBorders>
            <w:shd w:val="clear" w:color="auto" w:fill="auto"/>
            <w:noWrap/>
            <w:vAlign w:val="center"/>
          </w:tcPr>
          <w:p w14:paraId="0C431F1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1.05~1.1</w:t>
            </w:r>
          </w:p>
        </w:tc>
        <w:tc>
          <w:tcPr>
            <w:tcW w:w="1871" w:type="dxa"/>
            <w:tcBorders>
              <w:top w:val="single" w:sz="2" w:space="0" w:color="404040"/>
              <w:left w:val="single" w:sz="2" w:space="0" w:color="404040"/>
              <w:bottom w:val="single" w:sz="2" w:space="0" w:color="404040"/>
              <w:right w:val="single" w:sz="2" w:space="0" w:color="404040"/>
            </w:tcBorders>
            <w:shd w:val="clear" w:color="auto" w:fill="auto"/>
            <w:noWrap/>
            <w:vAlign w:val="center"/>
          </w:tcPr>
          <w:p w14:paraId="060CF81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1~1.05</w:t>
            </w:r>
          </w:p>
        </w:tc>
      </w:tr>
    </w:tbl>
    <w:p w14:paraId="3CC9FC10" w14:textId="77777777" w:rsidR="0062768B" w:rsidRDefault="00136729">
      <w:pPr>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估价对象距离</w:t>
      </w:r>
      <w:r>
        <w:rPr>
          <w:rFonts w:ascii="Arial" w:eastAsia="仿宋" w:hAnsi="Arial" w:cs="Arial" w:hint="eastAsia"/>
          <w:sz w:val="28"/>
          <w:szCs w:val="28"/>
        </w:rPr>
        <w:t>方氏渠</w:t>
      </w:r>
      <w:r>
        <w:rPr>
          <w:rFonts w:ascii="Arial" w:eastAsia="仿宋" w:hAnsi="Arial" w:cs="Arial" w:hint="eastAsia"/>
          <w:sz w:val="28"/>
          <w:szCs w:val="28"/>
        </w:rPr>
        <w:t>650</w:t>
      </w:r>
      <w:r>
        <w:rPr>
          <w:rFonts w:ascii="Arial" w:eastAsia="仿宋" w:hAnsi="Arial" w:cs="Arial" w:hint="eastAsia"/>
          <w:sz w:val="28"/>
          <w:szCs w:val="28"/>
        </w:rPr>
        <w:t>米，</w:t>
      </w:r>
      <w:r>
        <w:rPr>
          <w:rFonts w:ascii="Arial" w:eastAsia="仿宋" w:hAnsi="Arial" w:cs="Arial"/>
          <w:sz w:val="28"/>
          <w:szCs w:val="28"/>
        </w:rPr>
        <w:t>本次评估修正系数为</w:t>
      </w:r>
      <w:r>
        <w:rPr>
          <w:rFonts w:ascii="Arial" w:eastAsia="仿宋" w:hAnsi="Arial" w:cs="Arial"/>
          <w:sz w:val="28"/>
          <w:szCs w:val="28"/>
        </w:rPr>
        <w:t>1.05</w:t>
      </w:r>
      <w:r>
        <w:rPr>
          <w:rFonts w:ascii="Arial" w:eastAsia="仿宋" w:hAnsi="Arial" w:cs="Arial"/>
          <w:sz w:val="28"/>
          <w:szCs w:val="28"/>
        </w:rPr>
        <w:t>。则有：</w:t>
      </w:r>
    </w:p>
    <w:p w14:paraId="2BD7B374"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住宅用地特殊情况修正</w:t>
      </w:r>
      <w:bookmarkStart w:id="364" w:name="OLE_LINK28"/>
      <w:bookmarkStart w:id="365" w:name="OLE_LINK27"/>
      <w:r>
        <w:rPr>
          <w:rFonts w:ascii="Arial" w:eastAsia="仿宋" w:hAnsi="Arial" w:cs="Arial"/>
          <w:sz w:val="28"/>
          <w:szCs w:val="28"/>
        </w:rPr>
        <w:t>系数</w:t>
      </w:r>
      <w:bookmarkEnd w:id="364"/>
      <w:bookmarkEnd w:id="365"/>
      <w:r>
        <w:rPr>
          <w:rFonts w:ascii="Arial" w:eastAsia="仿宋" w:hAnsi="Arial" w:cs="Arial"/>
          <w:sz w:val="28"/>
          <w:szCs w:val="28"/>
        </w:rPr>
        <w:t>＝</w:t>
      </w:r>
      <w:r>
        <w:rPr>
          <w:rFonts w:ascii="Arial" w:eastAsia="仿宋" w:hAnsi="Arial" w:cs="Arial"/>
          <w:sz w:val="28"/>
          <w:szCs w:val="28"/>
        </w:rPr>
        <w:t>1.05</w:t>
      </w:r>
    </w:p>
    <w:p w14:paraId="0D0C211E"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c.</w:t>
      </w:r>
      <w:r>
        <w:rPr>
          <w:rFonts w:ascii="Arial" w:eastAsia="仿宋" w:hAnsi="Arial" w:cs="Arial"/>
          <w:sz w:val="28"/>
          <w:szCs w:val="28"/>
        </w:rPr>
        <w:t>土地开发程度修正</w:t>
      </w:r>
    </w:p>
    <w:p w14:paraId="255F2350" w14:textId="073ACFEB" w:rsidR="0062768B" w:rsidRDefault="00136729">
      <w:pPr>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估价对象设定宗地土地开发程度为</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sidR="00835791">
        <w:rPr>
          <w:rFonts w:ascii="仿宋_GB2312" w:eastAsia="仿宋_GB2312" w:hAnsi="Arial" w:hint="eastAsia"/>
          <w:sz w:val="28"/>
        </w:rPr>
        <w:t>（通路、通上水（自来水、中水）、通下水（雨水、污水）、通电、通燃气、通热力）</w:t>
      </w:r>
      <w:r>
        <w:rPr>
          <w:rFonts w:ascii="Arial" w:eastAsia="仿宋" w:hAnsi="Arial" w:cs="Arial"/>
          <w:sz w:val="28"/>
          <w:szCs w:val="28"/>
        </w:rPr>
        <w:t>，估价对象所在区域为</w:t>
      </w:r>
      <w:r>
        <w:rPr>
          <w:rFonts w:ascii="Arial" w:eastAsia="仿宋" w:hAnsi="Arial" w:cs="Arial" w:hint="eastAsia"/>
          <w:sz w:val="28"/>
          <w:szCs w:val="28"/>
        </w:rPr>
        <w:t>九</w:t>
      </w:r>
      <w:r>
        <w:rPr>
          <w:rFonts w:ascii="Arial" w:eastAsia="仿宋" w:hAnsi="Arial" w:cs="Arial"/>
          <w:sz w:val="28"/>
          <w:szCs w:val="28"/>
        </w:rPr>
        <w:t>级地价区，级别基准地价土地开发程度为</w:t>
      </w:r>
      <w:r>
        <w:rPr>
          <w:rFonts w:ascii="Arial" w:eastAsia="仿宋" w:hAnsi="Arial" w:cs="Arial"/>
          <w:sz w:val="28"/>
          <w:szCs w:val="28"/>
        </w:rPr>
        <w:t>“</w:t>
      </w:r>
      <w:r>
        <w:rPr>
          <w:rFonts w:ascii="Arial" w:eastAsia="仿宋" w:hAnsi="Arial" w:cs="Arial" w:hint="eastAsia"/>
          <w:sz w:val="28"/>
          <w:szCs w:val="28"/>
        </w:rPr>
        <w:t>五</w:t>
      </w:r>
      <w:r>
        <w:rPr>
          <w:rFonts w:ascii="Arial" w:eastAsia="仿宋" w:hAnsi="Arial" w:cs="Arial"/>
          <w:sz w:val="28"/>
          <w:szCs w:val="28"/>
        </w:rPr>
        <w:t>通</w:t>
      </w:r>
      <w:r>
        <w:rPr>
          <w:rFonts w:ascii="Arial" w:eastAsia="仿宋" w:hAnsi="Arial" w:cs="Arial"/>
          <w:sz w:val="28"/>
          <w:szCs w:val="28"/>
        </w:rPr>
        <w:t>”</w:t>
      </w:r>
      <w:r>
        <w:rPr>
          <w:rFonts w:ascii="仿宋_GB2312" w:eastAsia="仿宋_GB2312" w:hAnsi="Arial" w:hint="eastAsia"/>
          <w:sz w:val="28"/>
        </w:rPr>
        <w:t>（通路、通上水、通下水、通电、通讯）</w:t>
      </w:r>
      <w:r>
        <w:rPr>
          <w:rFonts w:ascii="Arial" w:eastAsia="仿宋" w:hAnsi="Arial" w:cs="Arial"/>
          <w:sz w:val="28"/>
          <w:szCs w:val="28"/>
        </w:rPr>
        <w:t>，相应用途级别平均容积率为</w:t>
      </w:r>
      <w:r>
        <w:rPr>
          <w:rFonts w:ascii="Arial" w:eastAsia="仿宋" w:hAnsi="Arial" w:cs="Arial"/>
          <w:sz w:val="28"/>
          <w:szCs w:val="28"/>
        </w:rPr>
        <w:t>1.5</w:t>
      </w:r>
      <w:r>
        <w:rPr>
          <w:rFonts w:ascii="Arial" w:eastAsia="仿宋" w:hAnsi="Arial" w:cs="Arial"/>
          <w:sz w:val="28"/>
          <w:szCs w:val="28"/>
        </w:rPr>
        <w:t>。估价对象设定状况与级别开发程度不一致，需进行修正。修正表如下：</w:t>
      </w:r>
    </w:p>
    <w:p w14:paraId="4DDA7C5E" w14:textId="77777777" w:rsidR="0062768B" w:rsidRDefault="00136729">
      <w:pPr>
        <w:spacing w:line="240" w:lineRule="auto"/>
        <w:jc w:val="center"/>
        <w:rPr>
          <w:rFonts w:ascii="Arial" w:eastAsia="仿宋" w:hAnsi="Arial" w:cs="Arial"/>
          <w:bCs/>
          <w:color w:val="000000"/>
          <w:sz w:val="28"/>
          <w:szCs w:val="28"/>
        </w:rPr>
      </w:pPr>
      <w:r>
        <w:rPr>
          <w:rFonts w:ascii="Arial" w:eastAsia="仿宋" w:hAnsi="Arial" w:cs="Arial"/>
          <w:bCs/>
          <w:color w:val="000000"/>
          <w:sz w:val="28"/>
          <w:szCs w:val="28"/>
        </w:rPr>
        <w:lastRenderedPageBreak/>
        <w:t>基础设施建设费（土地开发费）</w:t>
      </w:r>
    </w:p>
    <w:p w14:paraId="51E206DA" w14:textId="77777777" w:rsidR="0062768B" w:rsidRDefault="00136729">
      <w:pPr>
        <w:adjustRightInd/>
        <w:spacing w:line="240" w:lineRule="auto"/>
        <w:jc w:val="right"/>
        <w:rPr>
          <w:rFonts w:ascii="Arial" w:hAnsi="Arial"/>
          <w:sz w:val="21"/>
        </w:rPr>
      </w:pPr>
      <w:r>
        <w:rPr>
          <w:rFonts w:ascii="Arial" w:eastAsia="华文细黑" w:hAnsi="Arial" w:cs="宋体" w:hint="eastAsia"/>
          <w:color w:val="000000"/>
          <w:sz w:val="18"/>
          <w:szCs w:val="24"/>
        </w:rPr>
        <w:t>单位：元</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62768B" w14:paraId="3BD522F5" w14:textId="77777777">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672DB7D4" w14:textId="77777777" w:rsidR="0062768B" w:rsidRDefault="00136729">
            <w:pPr>
              <w:widowControl/>
              <w:adjustRightInd/>
              <w:spacing w:line="240" w:lineRule="exact"/>
              <w:ind w:firstLineChars="450" w:firstLine="945"/>
              <w:jc w:val="right"/>
              <w:textAlignment w:val="auto"/>
              <w:rPr>
                <w:rFonts w:ascii="Arial" w:eastAsia="仿宋" w:hAnsi="Arial" w:cs="Arial"/>
                <w:color w:val="000000"/>
                <w:sz w:val="21"/>
                <w:szCs w:val="21"/>
              </w:rPr>
            </w:pPr>
            <w:r>
              <w:rPr>
                <w:rFonts w:ascii="Arial" w:eastAsia="仿宋" w:hAnsi="Arial" w:cs="Arial"/>
                <w:color w:val="000000"/>
                <w:sz w:val="21"/>
                <w:szCs w:val="21"/>
              </w:rPr>
              <w:t>费用</w:t>
            </w:r>
          </w:p>
          <w:p w14:paraId="5FF229AA" w14:textId="77777777" w:rsidR="0062768B" w:rsidRDefault="00136729">
            <w:pPr>
              <w:spacing w:line="240" w:lineRule="exact"/>
              <w:rPr>
                <w:rFonts w:ascii="Arial" w:eastAsia="仿宋" w:hAnsi="Arial" w:cs="Arial"/>
                <w:color w:val="000000"/>
                <w:sz w:val="21"/>
                <w:szCs w:val="21"/>
              </w:rPr>
            </w:pPr>
            <w:r>
              <w:rPr>
                <w:rFonts w:ascii="Arial" w:eastAsia="仿宋" w:hAnsi="Arial" w:cs="Arial"/>
                <w:color w:val="000000"/>
                <w:sz w:val="21"/>
                <w:szCs w:val="21"/>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353CF1"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FCFC0"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1EFAA"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40A5A"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DDE02"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ADF3A"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26825"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23680"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8184EC"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合计</w:t>
            </w:r>
          </w:p>
        </w:tc>
      </w:tr>
      <w:tr w:rsidR="0062768B" w14:paraId="7C373C93"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AE6F2"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AB8DF"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2E64D"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A0704"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C05A3"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1083F"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61E0C"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B7EEF"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18918"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51159"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375</w:t>
            </w:r>
          </w:p>
        </w:tc>
      </w:tr>
      <w:tr w:rsidR="0062768B" w14:paraId="59E593F8"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BCAE9"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4420F"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A70534"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7F67DE"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09087"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585ED"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FAABF"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6061A"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4ED6F"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59AEE"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315</w:t>
            </w:r>
          </w:p>
        </w:tc>
      </w:tr>
      <w:tr w:rsidR="0062768B" w14:paraId="444E9D1E"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6A866E"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41509"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7C367"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004AF"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0853E"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462EF"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42246"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A39ACB"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61C89"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195D9"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255</w:t>
            </w:r>
          </w:p>
        </w:tc>
      </w:tr>
    </w:tbl>
    <w:p w14:paraId="16EE6855" w14:textId="77777777" w:rsidR="0062768B" w:rsidRDefault="0062768B">
      <w:pPr>
        <w:widowControl/>
        <w:adjustRightInd/>
        <w:spacing w:line="240" w:lineRule="exact"/>
        <w:textAlignment w:val="auto"/>
        <w:rPr>
          <w:rFonts w:ascii="Arial" w:eastAsia="华文细黑" w:hAnsi="Arial" w:cs="宋体"/>
          <w:color w:val="000000"/>
          <w:sz w:val="18"/>
          <w:szCs w:val="24"/>
        </w:rPr>
      </w:pPr>
    </w:p>
    <w:p w14:paraId="532555F3"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土地开发程度修正</w:t>
      </w:r>
    </w:p>
    <w:p w14:paraId="5A5F39A5"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60+50+20+35+40+30+10</w:t>
      </w:r>
      <w:r>
        <w:rPr>
          <w:rFonts w:ascii="Arial" w:eastAsia="仿宋" w:hAnsi="Arial" w:cs="Arial" w:hint="eastAsia"/>
          <w:sz w:val="28"/>
          <w:szCs w:val="28"/>
        </w:rPr>
        <w:t>）</w:t>
      </w:r>
      <w:r>
        <w:rPr>
          <w:rFonts w:ascii="Arial" w:eastAsia="仿宋" w:hAnsi="Arial" w:cs="Arial"/>
          <w:sz w:val="28"/>
          <w:szCs w:val="28"/>
        </w:rPr>
        <w:t>-185</w:t>
      </w:r>
      <w:r>
        <w:rPr>
          <w:rFonts w:ascii="Arial" w:eastAsia="仿宋" w:hAnsi="Arial" w:cs="Arial"/>
          <w:sz w:val="28"/>
          <w:szCs w:val="28"/>
        </w:rPr>
        <w:t>）</w:t>
      </w:r>
      <w:r>
        <w:rPr>
          <w:rFonts w:ascii="Arial" w:eastAsia="仿宋" w:hAnsi="Arial" w:cs="Arial"/>
          <w:sz w:val="28"/>
          <w:szCs w:val="28"/>
        </w:rPr>
        <w:t>÷1.5</w:t>
      </w:r>
    </w:p>
    <w:p w14:paraId="12335E23"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40</w:t>
      </w:r>
      <w:r>
        <w:rPr>
          <w:rFonts w:ascii="Arial" w:eastAsia="仿宋" w:hAnsi="Arial" w:cs="Arial"/>
          <w:sz w:val="28"/>
          <w:szCs w:val="28"/>
        </w:rPr>
        <w:t>（元</w:t>
      </w:r>
      <w:r>
        <w:rPr>
          <w:rFonts w:ascii="Arial" w:eastAsia="仿宋" w:hAnsi="Arial" w:cs="Arial"/>
          <w:sz w:val="28"/>
          <w:szCs w:val="28"/>
        </w:rPr>
        <w:t>/</w:t>
      </w:r>
      <w:r>
        <w:rPr>
          <w:rFonts w:ascii="Arial" w:eastAsia="仿宋" w:hAnsi="Arial" w:cs="Arial"/>
          <w:sz w:val="28"/>
          <w:szCs w:val="28"/>
        </w:rPr>
        <w:t>平方米）</w:t>
      </w:r>
    </w:p>
    <w:p w14:paraId="57AF2D78"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B</w:t>
      </w:r>
      <w:r>
        <w:rPr>
          <w:rFonts w:ascii="Arial" w:eastAsia="仿宋" w:hAnsi="Arial" w:cs="Arial"/>
          <w:sz w:val="28"/>
          <w:szCs w:val="28"/>
        </w:rPr>
        <w:t>）用途修正系数的确定</w:t>
      </w:r>
    </w:p>
    <w:p w14:paraId="76703CBE"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《北京市出让国有建设用地使用权基准地价更新成果》根据《土地利用现状分类》（</w:t>
      </w:r>
      <w:r>
        <w:rPr>
          <w:rFonts w:ascii="Arial" w:eastAsia="仿宋" w:hAnsi="Arial" w:cs="Arial"/>
          <w:sz w:val="28"/>
          <w:szCs w:val="28"/>
        </w:rPr>
        <w:t>GB/T21010-2007</w:t>
      </w:r>
      <w:r>
        <w:rPr>
          <w:rFonts w:ascii="Arial" w:eastAsia="仿宋" w:hAnsi="Arial" w:cs="Arial"/>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4AD7314B"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地上部分：</w:t>
      </w:r>
    </w:p>
    <w:p w14:paraId="3C8AF638"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估价对象地上用途为住宅</w:t>
      </w:r>
      <w:r>
        <w:rPr>
          <w:rFonts w:ascii="Arial" w:eastAsia="仿宋" w:hAnsi="Arial" w:cs="Arial"/>
          <w:sz w:val="28"/>
          <w:szCs w:val="28"/>
        </w:rPr>
        <w:t>——</w:t>
      </w:r>
      <w:r>
        <w:rPr>
          <w:rFonts w:ascii="Arial" w:eastAsia="仿宋" w:hAnsi="Arial" w:cs="Arial"/>
          <w:sz w:val="28"/>
          <w:szCs w:val="28"/>
        </w:rPr>
        <w:t>城镇住宅用地（指城镇用于生活居住的各类房屋用地及其附属设施用地</w:t>
      </w:r>
      <w:r>
        <w:rPr>
          <w:rFonts w:ascii="Arial" w:eastAsia="仿宋" w:hAnsi="Arial" w:cs="Arial"/>
          <w:sz w:val="28"/>
          <w:szCs w:val="28"/>
        </w:rPr>
        <w:t>,</w:t>
      </w:r>
      <w:r>
        <w:rPr>
          <w:rFonts w:ascii="Arial" w:eastAsia="仿宋" w:hAnsi="Arial" w:cs="Arial"/>
          <w:sz w:val="28"/>
          <w:szCs w:val="28"/>
        </w:rPr>
        <w:t>不含配套的商业服务设施等用地），需依据《北京市基准地价土地用途二级分类用地修正系数表》进行用途修正。</w:t>
      </w:r>
    </w:p>
    <w:p w14:paraId="3A14925E" w14:textId="77777777" w:rsidR="0062768B" w:rsidRDefault="00136729">
      <w:pPr>
        <w:adjustRightInd/>
        <w:snapToGrid w:val="0"/>
        <w:spacing w:line="300" w:lineRule="auto"/>
        <w:ind w:firstLineChars="200" w:firstLine="560"/>
        <w:jc w:val="center"/>
        <w:rPr>
          <w:rFonts w:ascii="Arial" w:eastAsia="仿宋" w:hAnsi="Arial" w:cs="Arial"/>
          <w:sz w:val="28"/>
          <w:szCs w:val="28"/>
        </w:rPr>
      </w:pPr>
      <w:r>
        <w:rPr>
          <w:rFonts w:ascii="Arial" w:eastAsia="仿宋" w:hAnsi="Arial" w:cs="Arial" w:hint="eastAsia"/>
          <w:sz w:val="28"/>
          <w:szCs w:val="28"/>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4"/>
        <w:gridCol w:w="1842"/>
        <w:gridCol w:w="4536"/>
        <w:gridCol w:w="1134"/>
        <w:gridCol w:w="793"/>
      </w:tblGrid>
      <w:tr w:rsidR="0062768B" w14:paraId="338924AD" w14:textId="77777777">
        <w:trPr>
          <w:cantSplit/>
          <w:tblHeader/>
          <w:jc w:val="center"/>
        </w:trPr>
        <w:tc>
          <w:tcPr>
            <w:tcW w:w="994" w:type="dxa"/>
            <w:shd w:val="clear" w:color="auto" w:fill="auto"/>
            <w:vAlign w:val="center"/>
          </w:tcPr>
          <w:p w14:paraId="423FF9B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hint="eastAsia"/>
                <w:sz w:val="21"/>
                <w:szCs w:val="21"/>
              </w:rPr>
              <w:t>一级类</w:t>
            </w:r>
          </w:p>
        </w:tc>
        <w:tc>
          <w:tcPr>
            <w:tcW w:w="1842" w:type="dxa"/>
            <w:shd w:val="clear" w:color="auto" w:fill="auto"/>
            <w:vAlign w:val="center"/>
          </w:tcPr>
          <w:p w14:paraId="2B5AB11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hint="eastAsia"/>
                <w:sz w:val="21"/>
                <w:szCs w:val="21"/>
              </w:rPr>
              <w:t>二级类</w:t>
            </w:r>
          </w:p>
        </w:tc>
        <w:tc>
          <w:tcPr>
            <w:tcW w:w="4536" w:type="dxa"/>
            <w:shd w:val="clear" w:color="auto" w:fill="auto"/>
            <w:vAlign w:val="center"/>
          </w:tcPr>
          <w:p w14:paraId="5148F5F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hint="eastAsia"/>
                <w:sz w:val="21"/>
                <w:szCs w:val="21"/>
              </w:rPr>
              <w:t>含义</w:t>
            </w:r>
          </w:p>
        </w:tc>
        <w:tc>
          <w:tcPr>
            <w:tcW w:w="1134" w:type="dxa"/>
            <w:shd w:val="clear" w:color="auto" w:fill="auto"/>
            <w:vAlign w:val="center"/>
          </w:tcPr>
          <w:p w14:paraId="771084B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hint="eastAsia"/>
                <w:sz w:val="21"/>
                <w:szCs w:val="21"/>
              </w:rPr>
              <w:t>参照基准</w:t>
            </w:r>
          </w:p>
        </w:tc>
        <w:tc>
          <w:tcPr>
            <w:tcW w:w="793" w:type="dxa"/>
            <w:shd w:val="clear" w:color="auto" w:fill="auto"/>
            <w:vAlign w:val="center"/>
          </w:tcPr>
          <w:p w14:paraId="4FC0D3C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hint="eastAsia"/>
                <w:sz w:val="21"/>
                <w:szCs w:val="21"/>
              </w:rPr>
              <w:t>用途修正系数</w:t>
            </w:r>
          </w:p>
        </w:tc>
      </w:tr>
      <w:tr w:rsidR="0062768B" w14:paraId="7A3066CD" w14:textId="77777777">
        <w:trPr>
          <w:cantSplit/>
          <w:jc w:val="center"/>
        </w:trPr>
        <w:tc>
          <w:tcPr>
            <w:tcW w:w="994" w:type="dxa"/>
            <w:shd w:val="clear" w:color="auto" w:fill="auto"/>
            <w:noWrap/>
            <w:vAlign w:val="center"/>
          </w:tcPr>
          <w:p w14:paraId="2F50E13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hint="eastAsia"/>
                <w:sz w:val="21"/>
                <w:szCs w:val="21"/>
              </w:rPr>
              <w:t>住宅</w:t>
            </w:r>
          </w:p>
        </w:tc>
        <w:tc>
          <w:tcPr>
            <w:tcW w:w="1842" w:type="dxa"/>
            <w:shd w:val="clear" w:color="auto" w:fill="auto"/>
            <w:noWrap/>
            <w:vAlign w:val="center"/>
          </w:tcPr>
          <w:p w14:paraId="4CDC785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hint="eastAsia"/>
                <w:sz w:val="21"/>
                <w:szCs w:val="21"/>
              </w:rPr>
              <w:t>城镇住宅用地</w:t>
            </w:r>
          </w:p>
        </w:tc>
        <w:tc>
          <w:tcPr>
            <w:tcW w:w="4536" w:type="dxa"/>
            <w:shd w:val="clear" w:color="auto" w:fill="auto"/>
            <w:noWrap/>
            <w:vAlign w:val="center"/>
          </w:tcPr>
          <w:p w14:paraId="41022D8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hint="eastAsia"/>
                <w:sz w:val="21"/>
                <w:szCs w:val="21"/>
              </w:rPr>
              <w:t>指城镇用于生活居住的各类房屋用地及其附属设施用地</w:t>
            </w:r>
            <w:r>
              <w:rPr>
                <w:rFonts w:ascii="Arial" w:eastAsia="仿宋" w:hAnsi="Arial" w:cs="Arial" w:hint="eastAsia"/>
                <w:sz w:val="21"/>
                <w:szCs w:val="21"/>
              </w:rPr>
              <w:t>,</w:t>
            </w:r>
            <w:r>
              <w:rPr>
                <w:rFonts w:ascii="Arial" w:eastAsia="仿宋" w:hAnsi="Arial" w:cs="Arial" w:hint="eastAsia"/>
                <w:sz w:val="21"/>
                <w:szCs w:val="21"/>
              </w:rPr>
              <w:t>不含配套的商业服务设施等用地。</w:t>
            </w:r>
          </w:p>
        </w:tc>
        <w:tc>
          <w:tcPr>
            <w:tcW w:w="1134" w:type="dxa"/>
            <w:shd w:val="clear" w:color="auto" w:fill="auto"/>
            <w:noWrap/>
            <w:vAlign w:val="center"/>
          </w:tcPr>
          <w:p w14:paraId="0B9A42A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hint="eastAsia"/>
                <w:sz w:val="21"/>
                <w:szCs w:val="21"/>
              </w:rPr>
              <w:t>住宅类</w:t>
            </w:r>
          </w:p>
        </w:tc>
        <w:tc>
          <w:tcPr>
            <w:tcW w:w="793" w:type="dxa"/>
            <w:shd w:val="clear" w:color="auto" w:fill="auto"/>
            <w:noWrap/>
            <w:vAlign w:val="center"/>
          </w:tcPr>
          <w:p w14:paraId="37FCD97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hint="eastAsia"/>
                <w:sz w:val="21"/>
                <w:szCs w:val="21"/>
              </w:rPr>
              <w:t>1</w:t>
            </w:r>
          </w:p>
        </w:tc>
      </w:tr>
    </w:tbl>
    <w:p w14:paraId="2DE4B0DF"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依据上表，估价对象地上部分用途修正系数为</w:t>
      </w:r>
      <w:r>
        <w:rPr>
          <w:rFonts w:ascii="Arial" w:eastAsia="仿宋" w:hAnsi="Arial" w:cs="Arial"/>
          <w:sz w:val="28"/>
          <w:szCs w:val="28"/>
        </w:rPr>
        <w:t>1</w:t>
      </w:r>
      <w:r>
        <w:rPr>
          <w:rFonts w:ascii="Arial" w:eastAsia="仿宋" w:hAnsi="Arial" w:cs="Arial"/>
          <w:sz w:val="28"/>
          <w:szCs w:val="28"/>
        </w:rPr>
        <w:t>。</w:t>
      </w:r>
    </w:p>
    <w:p w14:paraId="39623227"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C</w:t>
      </w:r>
      <w:r>
        <w:rPr>
          <w:rFonts w:ascii="Arial" w:eastAsia="仿宋" w:hAnsi="Arial" w:cs="Arial"/>
          <w:sz w:val="28"/>
          <w:szCs w:val="28"/>
        </w:rPr>
        <w:t>）期日修正系数的确定</w:t>
      </w:r>
    </w:p>
    <w:p w14:paraId="072AE587" w14:textId="77777777" w:rsidR="0062768B" w:rsidRDefault="00136729">
      <w:pPr>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《北京市出让国有建设用地使用权基准地价更新成果（二〇二一年）》规定，基准地价期日修正系数必须以北京市地价动态监测成果公布的地价增值率为准。</w:t>
      </w:r>
    </w:p>
    <w:p w14:paraId="13B419FA" w14:textId="77777777" w:rsidR="0062768B" w:rsidRDefault="00136729">
      <w:pPr>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北京市基准地价更新成果的基准日为</w:t>
      </w:r>
      <w:r>
        <w:rPr>
          <w:rFonts w:ascii="Arial" w:eastAsia="仿宋" w:hAnsi="Arial" w:cs="Arial"/>
          <w:sz w:val="28"/>
          <w:szCs w:val="28"/>
        </w:rPr>
        <w:t>2021</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日，本次评估的估价期日为</w:t>
      </w:r>
      <w:r w:rsidR="00550FB0">
        <w:rPr>
          <w:rFonts w:ascii="Arial" w:eastAsia="仿宋" w:hAnsi="Arial" w:cs="Arial"/>
          <w:sz w:val="28"/>
          <w:szCs w:val="28"/>
        </w:rPr>
        <w:t>2023</w:t>
      </w:r>
      <w:r w:rsidR="00550FB0">
        <w:rPr>
          <w:rFonts w:ascii="Arial" w:eastAsia="仿宋" w:hAnsi="Arial" w:cs="Arial"/>
          <w:sz w:val="28"/>
          <w:szCs w:val="28"/>
        </w:rPr>
        <w:t>年</w:t>
      </w:r>
      <w:r w:rsidR="00550FB0">
        <w:rPr>
          <w:rFonts w:ascii="Arial" w:eastAsia="仿宋" w:hAnsi="Arial" w:cs="Arial"/>
          <w:sz w:val="28"/>
          <w:szCs w:val="28"/>
        </w:rPr>
        <w:t>6</w:t>
      </w:r>
      <w:r w:rsidR="00550FB0">
        <w:rPr>
          <w:rFonts w:ascii="Arial" w:eastAsia="仿宋" w:hAnsi="Arial" w:cs="Arial"/>
          <w:sz w:val="28"/>
          <w:szCs w:val="28"/>
        </w:rPr>
        <w:t>月</w:t>
      </w:r>
      <w:r w:rsidR="00550FB0">
        <w:rPr>
          <w:rFonts w:ascii="Arial" w:eastAsia="仿宋" w:hAnsi="Arial" w:cs="Arial"/>
          <w:sz w:val="28"/>
          <w:szCs w:val="28"/>
        </w:rPr>
        <w:t>20</w:t>
      </w:r>
      <w:r w:rsidR="00550FB0">
        <w:rPr>
          <w:rFonts w:ascii="Arial" w:eastAsia="仿宋" w:hAnsi="Arial" w:cs="Arial"/>
          <w:sz w:val="28"/>
          <w:szCs w:val="28"/>
        </w:rPr>
        <w:t>日</w:t>
      </w:r>
      <w:r>
        <w:rPr>
          <w:rFonts w:ascii="Arial" w:eastAsia="仿宋" w:hAnsi="Arial" w:cs="Arial"/>
          <w:sz w:val="28"/>
          <w:szCs w:val="28"/>
        </w:rPr>
        <w:t>，熟地价期日修正以北京市地价动态监测成果公布的地价增长率为准：</w:t>
      </w:r>
    </w:p>
    <w:p w14:paraId="018D1ACF" w14:textId="77777777" w:rsidR="004532BF" w:rsidRDefault="004532BF">
      <w:pPr>
        <w:spacing w:line="240" w:lineRule="auto"/>
        <w:jc w:val="center"/>
        <w:rPr>
          <w:rFonts w:ascii="Arial" w:eastAsia="仿宋" w:hAnsi="Arial" w:cs="Arial"/>
          <w:bCs/>
          <w:sz w:val="28"/>
          <w:szCs w:val="28"/>
        </w:rPr>
      </w:pPr>
    </w:p>
    <w:p w14:paraId="7F554C8E" w14:textId="5A4E1BCB" w:rsidR="0062768B" w:rsidRDefault="00136729">
      <w:pPr>
        <w:spacing w:line="240" w:lineRule="auto"/>
        <w:jc w:val="center"/>
        <w:rPr>
          <w:rFonts w:ascii="Arial" w:eastAsia="仿宋" w:hAnsi="Arial" w:cs="Arial"/>
          <w:bCs/>
          <w:sz w:val="28"/>
          <w:szCs w:val="28"/>
        </w:rPr>
      </w:pPr>
      <w:r>
        <w:rPr>
          <w:rFonts w:ascii="Arial" w:eastAsia="仿宋" w:hAnsi="Arial" w:cs="Arial"/>
          <w:bCs/>
          <w:sz w:val="28"/>
          <w:szCs w:val="28"/>
        </w:rPr>
        <w:lastRenderedPageBreak/>
        <w:t>北京市地价增长率（住宅类）</w:t>
      </w:r>
    </w:p>
    <w:p w14:paraId="0666E165" w14:textId="77777777" w:rsidR="0062768B" w:rsidRDefault="00136729">
      <w:pPr>
        <w:adjustRightInd/>
        <w:spacing w:line="240" w:lineRule="auto"/>
        <w:jc w:val="right"/>
        <w:rPr>
          <w:rFonts w:ascii="Arial" w:eastAsia="华文细黑" w:hAnsi="Arial" w:cs="宋体"/>
          <w:sz w:val="18"/>
          <w:szCs w:val="24"/>
        </w:rPr>
      </w:pPr>
      <w:r>
        <w:rPr>
          <w:rFonts w:ascii="Arial" w:eastAsia="华文细黑" w:hAnsi="Arial" w:cs="宋体" w:hint="eastAsia"/>
          <w:sz w:val="18"/>
          <w:szCs w:val="24"/>
        </w:rPr>
        <w:t xml:space="preserve"> </w:t>
      </w:r>
      <w:r>
        <w:rPr>
          <w:rFonts w:ascii="Arial" w:eastAsia="华文细黑" w:hAnsi="Arial" w:cs="宋体" w:hint="eastAsia"/>
          <w:sz w:val="18"/>
          <w:szCs w:val="24"/>
        </w:rPr>
        <w:t>单位</w:t>
      </w:r>
      <w:r>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62768B" w14:paraId="7C17A5DE" w14:textId="77777777">
        <w:trPr>
          <w:cantSplit/>
          <w:jc w:val="center"/>
        </w:trPr>
        <w:tc>
          <w:tcPr>
            <w:tcW w:w="1859" w:type="dxa"/>
            <w:tcBorders>
              <w:tl2br w:val="single" w:sz="4" w:space="0" w:color="auto"/>
            </w:tcBorders>
            <w:shd w:val="clear" w:color="auto" w:fill="auto"/>
            <w:vAlign w:val="center"/>
          </w:tcPr>
          <w:p w14:paraId="33E19245" w14:textId="77777777" w:rsidR="0062768B" w:rsidRDefault="00136729">
            <w:pPr>
              <w:tabs>
                <w:tab w:val="left" w:pos="2160"/>
              </w:tabs>
              <w:spacing w:line="240" w:lineRule="exact"/>
              <w:ind w:firstLineChars="450" w:firstLine="945"/>
              <w:jc w:val="right"/>
              <w:rPr>
                <w:rFonts w:ascii="Arial" w:eastAsia="仿宋" w:hAnsi="Arial" w:cs="Arial"/>
                <w:sz w:val="21"/>
                <w:szCs w:val="21"/>
              </w:rPr>
            </w:pPr>
            <w:r>
              <w:rPr>
                <w:rFonts w:ascii="Arial" w:eastAsia="仿宋" w:hAnsi="Arial" w:cs="Arial"/>
                <w:sz w:val="21"/>
                <w:szCs w:val="21"/>
              </w:rPr>
              <w:t>季度</w:t>
            </w:r>
          </w:p>
          <w:p w14:paraId="6FB52BD8"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年度</w:t>
            </w:r>
          </w:p>
        </w:tc>
        <w:tc>
          <w:tcPr>
            <w:tcW w:w="1860" w:type="dxa"/>
            <w:shd w:val="clear" w:color="auto" w:fill="auto"/>
            <w:vAlign w:val="center"/>
          </w:tcPr>
          <w:p w14:paraId="145FE1F3"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季度</w:t>
            </w:r>
          </w:p>
        </w:tc>
        <w:tc>
          <w:tcPr>
            <w:tcW w:w="1860" w:type="dxa"/>
            <w:shd w:val="clear" w:color="auto" w:fill="auto"/>
            <w:vAlign w:val="center"/>
          </w:tcPr>
          <w:p w14:paraId="3D6BF115"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季度</w:t>
            </w:r>
          </w:p>
        </w:tc>
        <w:tc>
          <w:tcPr>
            <w:tcW w:w="1860" w:type="dxa"/>
            <w:shd w:val="clear" w:color="auto" w:fill="auto"/>
            <w:vAlign w:val="center"/>
          </w:tcPr>
          <w:p w14:paraId="710C893E"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sz w:val="21"/>
                <w:szCs w:val="21"/>
              </w:rPr>
              <w:t>季度</w:t>
            </w:r>
          </w:p>
        </w:tc>
        <w:tc>
          <w:tcPr>
            <w:tcW w:w="1860" w:type="dxa"/>
            <w:shd w:val="clear" w:color="auto" w:fill="auto"/>
            <w:vAlign w:val="center"/>
          </w:tcPr>
          <w:p w14:paraId="08FA0ED5"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sz w:val="21"/>
                <w:szCs w:val="21"/>
              </w:rPr>
              <w:t>季度</w:t>
            </w:r>
          </w:p>
        </w:tc>
      </w:tr>
      <w:tr w:rsidR="0062768B" w14:paraId="6BE8317A" w14:textId="77777777">
        <w:trPr>
          <w:cantSplit/>
          <w:jc w:val="center"/>
        </w:trPr>
        <w:tc>
          <w:tcPr>
            <w:tcW w:w="1859" w:type="dxa"/>
            <w:shd w:val="clear" w:color="auto" w:fill="auto"/>
            <w:vAlign w:val="center"/>
          </w:tcPr>
          <w:p w14:paraId="32432119"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2021</w:t>
            </w:r>
          </w:p>
        </w:tc>
        <w:tc>
          <w:tcPr>
            <w:tcW w:w="1860" w:type="dxa"/>
            <w:shd w:val="clear" w:color="auto" w:fill="auto"/>
            <w:vAlign w:val="center"/>
          </w:tcPr>
          <w:p w14:paraId="545981D7"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0.98</w:t>
            </w:r>
          </w:p>
        </w:tc>
        <w:tc>
          <w:tcPr>
            <w:tcW w:w="1860" w:type="dxa"/>
            <w:shd w:val="clear" w:color="auto" w:fill="auto"/>
            <w:vAlign w:val="center"/>
          </w:tcPr>
          <w:p w14:paraId="08D6F312"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1.1</w:t>
            </w:r>
          </w:p>
        </w:tc>
        <w:tc>
          <w:tcPr>
            <w:tcW w:w="1860" w:type="dxa"/>
            <w:shd w:val="clear" w:color="auto" w:fill="auto"/>
            <w:vAlign w:val="center"/>
          </w:tcPr>
          <w:p w14:paraId="3937A479"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0.91</w:t>
            </w:r>
          </w:p>
        </w:tc>
        <w:tc>
          <w:tcPr>
            <w:tcW w:w="1860" w:type="dxa"/>
            <w:shd w:val="clear" w:color="auto" w:fill="auto"/>
            <w:vAlign w:val="center"/>
          </w:tcPr>
          <w:p w14:paraId="26AD92DF"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0.68</w:t>
            </w:r>
          </w:p>
        </w:tc>
      </w:tr>
      <w:tr w:rsidR="0062768B" w14:paraId="3A514DBA" w14:textId="77777777">
        <w:trPr>
          <w:cantSplit/>
          <w:jc w:val="center"/>
        </w:trPr>
        <w:tc>
          <w:tcPr>
            <w:tcW w:w="1859" w:type="dxa"/>
            <w:shd w:val="clear" w:color="auto" w:fill="auto"/>
            <w:vAlign w:val="center"/>
          </w:tcPr>
          <w:p w14:paraId="45BF0590"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2022</w:t>
            </w:r>
          </w:p>
        </w:tc>
        <w:tc>
          <w:tcPr>
            <w:tcW w:w="1860" w:type="dxa"/>
            <w:shd w:val="clear" w:color="auto" w:fill="auto"/>
            <w:vAlign w:val="center"/>
          </w:tcPr>
          <w:p w14:paraId="4C45430C"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0.53</w:t>
            </w:r>
          </w:p>
        </w:tc>
        <w:tc>
          <w:tcPr>
            <w:tcW w:w="1860" w:type="dxa"/>
            <w:shd w:val="clear" w:color="auto" w:fill="auto"/>
            <w:vAlign w:val="center"/>
          </w:tcPr>
          <w:p w14:paraId="182A061E"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0.53</w:t>
            </w:r>
          </w:p>
        </w:tc>
        <w:tc>
          <w:tcPr>
            <w:tcW w:w="1860" w:type="dxa"/>
            <w:shd w:val="clear" w:color="auto" w:fill="auto"/>
            <w:vAlign w:val="center"/>
          </w:tcPr>
          <w:p w14:paraId="1F396FD0"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0.83</w:t>
            </w:r>
          </w:p>
        </w:tc>
        <w:tc>
          <w:tcPr>
            <w:tcW w:w="1860" w:type="dxa"/>
            <w:shd w:val="clear" w:color="auto" w:fill="auto"/>
            <w:vAlign w:val="center"/>
          </w:tcPr>
          <w:p w14:paraId="798339E7"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0.38</w:t>
            </w:r>
          </w:p>
        </w:tc>
      </w:tr>
      <w:tr w:rsidR="0062768B" w14:paraId="7EF88E21" w14:textId="77777777">
        <w:trPr>
          <w:cantSplit/>
          <w:jc w:val="center"/>
        </w:trPr>
        <w:tc>
          <w:tcPr>
            <w:tcW w:w="1859" w:type="dxa"/>
            <w:shd w:val="clear" w:color="auto" w:fill="auto"/>
            <w:vAlign w:val="center"/>
          </w:tcPr>
          <w:p w14:paraId="5C1FA752"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2023</w:t>
            </w:r>
          </w:p>
        </w:tc>
        <w:tc>
          <w:tcPr>
            <w:tcW w:w="1860" w:type="dxa"/>
            <w:shd w:val="clear" w:color="auto" w:fill="auto"/>
            <w:vAlign w:val="center"/>
          </w:tcPr>
          <w:p w14:paraId="4562CAF5"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0.64</w:t>
            </w:r>
          </w:p>
        </w:tc>
        <w:tc>
          <w:tcPr>
            <w:tcW w:w="1860" w:type="dxa"/>
            <w:shd w:val="clear" w:color="auto" w:fill="auto"/>
            <w:vAlign w:val="center"/>
          </w:tcPr>
          <w:p w14:paraId="7A10EE7E"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w:t>
            </w:r>
          </w:p>
        </w:tc>
        <w:tc>
          <w:tcPr>
            <w:tcW w:w="1860" w:type="dxa"/>
            <w:shd w:val="clear" w:color="auto" w:fill="auto"/>
            <w:vAlign w:val="center"/>
          </w:tcPr>
          <w:p w14:paraId="769A61A3"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w:t>
            </w:r>
          </w:p>
        </w:tc>
        <w:tc>
          <w:tcPr>
            <w:tcW w:w="1860" w:type="dxa"/>
            <w:shd w:val="clear" w:color="auto" w:fill="auto"/>
            <w:vAlign w:val="center"/>
          </w:tcPr>
          <w:p w14:paraId="1BA0B2D0"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w:t>
            </w:r>
          </w:p>
        </w:tc>
      </w:tr>
    </w:tbl>
    <w:p w14:paraId="3F4EA871"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则有：</w:t>
      </w:r>
    </w:p>
    <w:p w14:paraId="47A0C653"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期日修正系数＝（</w:t>
      </w:r>
      <w:r>
        <w:rPr>
          <w:rFonts w:ascii="Arial" w:eastAsia="仿宋" w:hAnsi="Arial" w:cs="Arial"/>
          <w:sz w:val="28"/>
          <w:szCs w:val="28"/>
        </w:rPr>
        <w:t>1+0.98%</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1+1.1%</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1+0.91%</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1+0.68%</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1+0.53%</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1+0.53%</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1+0.83%</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1+0.38%</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1+0.64%</w:t>
      </w:r>
      <w:r>
        <w:rPr>
          <w:rFonts w:ascii="Arial" w:eastAsia="仿宋" w:hAnsi="Arial" w:cs="Arial"/>
          <w:sz w:val="28"/>
          <w:szCs w:val="28"/>
        </w:rPr>
        <w:t>）</w:t>
      </w:r>
      <w:r>
        <w:rPr>
          <w:rFonts w:ascii="Arial" w:eastAsia="仿宋" w:hAnsi="Arial" w:cs="Arial"/>
          <w:sz w:val="28"/>
          <w:szCs w:val="28"/>
        </w:rPr>
        <w:t>=1.0677</w:t>
      </w:r>
    </w:p>
    <w:p w14:paraId="7DE53EBB" w14:textId="77777777" w:rsidR="0062768B" w:rsidRDefault="00136729">
      <w:pPr>
        <w:snapToGrid w:val="0"/>
        <w:spacing w:beforeLines="50" w:before="120"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D</w:t>
      </w:r>
      <w:r>
        <w:rPr>
          <w:rFonts w:ascii="Arial" w:eastAsia="仿宋" w:hAnsi="Arial" w:cs="Arial"/>
          <w:sz w:val="28"/>
          <w:szCs w:val="28"/>
        </w:rPr>
        <w:t>）年期修正系数的确定</w:t>
      </w:r>
    </w:p>
    <w:p w14:paraId="5EA4914E" w14:textId="77777777" w:rsidR="0062768B" w:rsidRDefault="00136729">
      <w:pPr>
        <w:snapToGrid w:val="0"/>
        <w:spacing w:beforeLines="50" w:before="120" w:line="300" w:lineRule="auto"/>
        <w:ind w:firstLineChars="200" w:firstLine="560"/>
        <w:rPr>
          <w:rFonts w:ascii="Arial" w:eastAsia="仿宋" w:hAnsi="Arial" w:cs="Arial"/>
          <w:sz w:val="28"/>
          <w:szCs w:val="28"/>
        </w:rPr>
      </w:pPr>
      <w:r>
        <w:rPr>
          <w:rFonts w:ascii="Arial" w:eastAsia="仿宋" w:hAnsi="Arial" w:cs="Arial"/>
          <w:sz w:val="28"/>
          <w:szCs w:val="28"/>
        </w:rPr>
        <w:t>年期修正系数＝（</w:t>
      </w:r>
      <w:r>
        <w:rPr>
          <w:rFonts w:ascii="Arial" w:eastAsia="仿宋" w:hAnsi="Arial" w:cs="Arial"/>
          <w:sz w:val="28"/>
          <w:szCs w:val="28"/>
        </w:rPr>
        <w:t>1</w:t>
      </w:r>
      <w:r>
        <w:rPr>
          <w:rFonts w:ascii="Arial" w:eastAsia="仿宋" w:hAnsi="Arial" w:cs="Arial"/>
          <w:sz w:val="28"/>
          <w:szCs w:val="28"/>
        </w:rPr>
        <w:t>－</w:t>
      </w:r>
      <w:r>
        <w:rPr>
          <w:rFonts w:ascii="Arial" w:eastAsia="仿宋" w:hAnsi="Arial" w:cs="Arial"/>
          <w:sz w:val="28"/>
          <w:szCs w:val="28"/>
        </w:rPr>
        <w:t>1÷</w:t>
      </w:r>
      <w:r>
        <w:rPr>
          <w:rFonts w:ascii="Arial" w:eastAsia="仿宋" w:hAnsi="Arial" w:cs="Arial"/>
          <w:sz w:val="28"/>
          <w:szCs w:val="28"/>
        </w:rPr>
        <w:t>（</w:t>
      </w:r>
      <w:r>
        <w:rPr>
          <w:rFonts w:ascii="Arial" w:eastAsia="仿宋" w:hAnsi="Arial" w:cs="Arial"/>
          <w:sz w:val="28"/>
          <w:szCs w:val="28"/>
        </w:rPr>
        <w:t>1</w:t>
      </w:r>
      <w:r>
        <w:rPr>
          <w:rFonts w:ascii="Arial" w:eastAsia="仿宋" w:hAnsi="Arial" w:cs="Arial"/>
          <w:sz w:val="28"/>
          <w:szCs w:val="28"/>
        </w:rPr>
        <w:t>＋</w:t>
      </w:r>
      <w:r>
        <w:rPr>
          <w:rFonts w:ascii="Arial" w:eastAsia="仿宋" w:hAnsi="Arial" w:cs="Arial"/>
          <w:sz w:val="28"/>
          <w:szCs w:val="28"/>
        </w:rPr>
        <w:t>r</w:t>
      </w:r>
      <w:r>
        <w:rPr>
          <w:rFonts w:ascii="Arial" w:eastAsia="仿宋" w:hAnsi="Arial" w:cs="Arial"/>
          <w:sz w:val="28"/>
          <w:szCs w:val="28"/>
        </w:rPr>
        <w:t>）</w:t>
      </w:r>
      <w:r>
        <w:rPr>
          <w:rFonts w:ascii="Arial" w:eastAsia="仿宋" w:hAnsi="Arial" w:cs="Arial"/>
          <w:sz w:val="28"/>
          <w:szCs w:val="28"/>
          <w:vertAlign w:val="superscript"/>
        </w:rPr>
        <w:t>n</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w:t>
      </w:r>
      <w:r>
        <w:rPr>
          <w:rFonts w:ascii="Arial" w:eastAsia="仿宋" w:hAnsi="Arial" w:cs="Arial"/>
          <w:sz w:val="28"/>
          <w:szCs w:val="28"/>
        </w:rPr>
        <w:t>－</w:t>
      </w:r>
      <w:r>
        <w:rPr>
          <w:rFonts w:ascii="Arial" w:eastAsia="仿宋" w:hAnsi="Arial" w:cs="Arial"/>
          <w:sz w:val="28"/>
          <w:szCs w:val="28"/>
        </w:rPr>
        <w:t>1÷</w:t>
      </w:r>
      <w:r>
        <w:rPr>
          <w:rFonts w:ascii="Arial" w:eastAsia="仿宋" w:hAnsi="Arial" w:cs="Arial"/>
          <w:sz w:val="28"/>
          <w:szCs w:val="28"/>
        </w:rPr>
        <w:t>（</w:t>
      </w:r>
      <w:r>
        <w:rPr>
          <w:rFonts w:ascii="Arial" w:eastAsia="仿宋" w:hAnsi="Arial" w:cs="Arial"/>
          <w:sz w:val="28"/>
          <w:szCs w:val="28"/>
        </w:rPr>
        <w:t>1</w:t>
      </w:r>
      <w:r>
        <w:rPr>
          <w:rFonts w:ascii="Arial" w:eastAsia="仿宋" w:hAnsi="Arial" w:cs="Arial"/>
          <w:sz w:val="28"/>
          <w:szCs w:val="28"/>
        </w:rPr>
        <w:t>＋</w:t>
      </w:r>
      <w:r>
        <w:rPr>
          <w:rFonts w:ascii="Arial" w:eastAsia="仿宋" w:hAnsi="Arial" w:cs="Arial"/>
          <w:sz w:val="28"/>
          <w:szCs w:val="28"/>
        </w:rPr>
        <w:t>r</w:t>
      </w:r>
      <w:r>
        <w:rPr>
          <w:rFonts w:ascii="Arial" w:eastAsia="仿宋" w:hAnsi="Arial" w:cs="Arial"/>
          <w:sz w:val="28"/>
          <w:szCs w:val="28"/>
        </w:rPr>
        <w:t>）</w:t>
      </w:r>
      <w:r>
        <w:rPr>
          <w:rFonts w:ascii="Arial" w:eastAsia="仿宋" w:hAnsi="Arial" w:cs="Arial"/>
          <w:sz w:val="28"/>
          <w:szCs w:val="28"/>
          <w:vertAlign w:val="superscript"/>
        </w:rPr>
        <w:t>N</w:t>
      </w:r>
      <w:r>
        <w:rPr>
          <w:rFonts w:ascii="Arial" w:eastAsia="仿宋" w:hAnsi="Arial" w:cs="Arial"/>
          <w:sz w:val="28"/>
          <w:szCs w:val="28"/>
        </w:rPr>
        <w:t>）</w:t>
      </w:r>
    </w:p>
    <w:p w14:paraId="6A674376" w14:textId="77777777" w:rsidR="0062768B" w:rsidRDefault="00136729">
      <w:pPr>
        <w:snapToGrid w:val="0"/>
        <w:spacing w:beforeLines="50" w:before="120" w:line="300" w:lineRule="auto"/>
        <w:ind w:firstLineChars="200" w:firstLine="560"/>
        <w:rPr>
          <w:rFonts w:ascii="Arial" w:eastAsia="仿宋" w:hAnsi="Arial" w:cs="Arial"/>
          <w:sz w:val="28"/>
          <w:szCs w:val="28"/>
        </w:rPr>
      </w:pPr>
      <w:r>
        <w:rPr>
          <w:rFonts w:ascii="Arial" w:eastAsia="仿宋" w:hAnsi="Arial" w:cs="Arial"/>
          <w:sz w:val="28"/>
          <w:szCs w:val="28"/>
        </w:rPr>
        <w:t>其中：</w:t>
      </w:r>
      <w:r>
        <w:rPr>
          <w:rFonts w:ascii="Arial" w:eastAsia="仿宋" w:hAnsi="Arial" w:cs="Arial"/>
          <w:sz w:val="28"/>
          <w:szCs w:val="28"/>
        </w:rPr>
        <w:t>r----</w:t>
      </w:r>
      <w:r>
        <w:rPr>
          <w:rFonts w:ascii="Arial" w:eastAsia="仿宋" w:hAnsi="Arial" w:cs="Arial"/>
          <w:sz w:val="28"/>
          <w:szCs w:val="28"/>
        </w:rPr>
        <w:t>土地还原率</w:t>
      </w:r>
    </w:p>
    <w:p w14:paraId="1693F5D0" w14:textId="77777777" w:rsidR="0062768B" w:rsidRDefault="00136729">
      <w:pPr>
        <w:snapToGrid w:val="0"/>
        <w:spacing w:beforeLines="50" w:before="120" w:line="300" w:lineRule="auto"/>
        <w:ind w:firstLineChars="200" w:firstLine="560"/>
        <w:rPr>
          <w:rFonts w:ascii="Arial" w:eastAsia="仿宋" w:hAnsi="Arial" w:cs="Arial"/>
          <w:sz w:val="28"/>
          <w:szCs w:val="28"/>
        </w:rPr>
      </w:pPr>
      <w:r>
        <w:rPr>
          <w:rFonts w:ascii="Arial" w:eastAsia="仿宋" w:hAnsi="Arial" w:cs="Arial"/>
          <w:sz w:val="28"/>
          <w:szCs w:val="28"/>
        </w:rPr>
        <w:t>n----</w:t>
      </w:r>
      <w:r>
        <w:rPr>
          <w:rFonts w:ascii="Arial" w:eastAsia="仿宋" w:hAnsi="Arial" w:cs="Arial"/>
          <w:sz w:val="28"/>
          <w:szCs w:val="28"/>
        </w:rPr>
        <w:t>宗地剩余土地使用年限</w:t>
      </w:r>
    </w:p>
    <w:p w14:paraId="4549EE46" w14:textId="77777777" w:rsidR="0062768B" w:rsidRDefault="00136729">
      <w:pPr>
        <w:snapToGrid w:val="0"/>
        <w:spacing w:beforeLines="50" w:before="120" w:line="300" w:lineRule="auto"/>
        <w:ind w:firstLineChars="200" w:firstLine="560"/>
        <w:rPr>
          <w:rFonts w:ascii="Arial" w:eastAsia="仿宋" w:hAnsi="Arial" w:cs="Arial"/>
          <w:sz w:val="28"/>
          <w:szCs w:val="28"/>
        </w:rPr>
      </w:pPr>
      <w:r>
        <w:rPr>
          <w:rFonts w:ascii="Arial" w:eastAsia="仿宋" w:hAnsi="Arial" w:cs="Arial"/>
          <w:sz w:val="28"/>
          <w:szCs w:val="28"/>
        </w:rPr>
        <w:t>N----</w:t>
      </w:r>
      <w:r>
        <w:rPr>
          <w:rFonts w:ascii="Arial" w:eastAsia="仿宋" w:hAnsi="Arial" w:cs="Arial"/>
          <w:sz w:val="28"/>
          <w:szCs w:val="28"/>
        </w:rPr>
        <w:t>基准地价规定的相应用途土地使用年限</w:t>
      </w:r>
    </w:p>
    <w:p w14:paraId="4046D8BC"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商业、办公、居住、工业、公共服务用途的土地还原率原则上按同期中国人民银行公布的一年</w:t>
      </w:r>
      <w:proofErr w:type="gramStart"/>
      <w:r>
        <w:rPr>
          <w:rFonts w:ascii="Arial" w:eastAsia="仿宋" w:hAnsi="Arial" w:cs="Arial"/>
          <w:sz w:val="28"/>
          <w:szCs w:val="28"/>
        </w:rPr>
        <w:t>期贷</w:t>
      </w:r>
      <w:proofErr w:type="gramEnd"/>
      <w:r>
        <w:rPr>
          <w:rFonts w:ascii="Arial" w:eastAsia="仿宋" w:hAnsi="Arial" w:cs="Arial"/>
          <w:sz w:val="28"/>
          <w:szCs w:val="28"/>
        </w:rPr>
        <w:t>款利率分别上浮</w:t>
      </w:r>
      <w:r>
        <w:rPr>
          <w:rFonts w:ascii="Arial" w:eastAsia="仿宋" w:hAnsi="Arial" w:cs="Arial"/>
          <w:sz w:val="28"/>
          <w:szCs w:val="28"/>
        </w:rPr>
        <w:t>25</w:t>
      </w:r>
      <w:r>
        <w:rPr>
          <w:rFonts w:ascii="Arial" w:eastAsia="仿宋" w:hAnsi="Arial" w:cs="Arial"/>
          <w:sz w:val="28"/>
          <w:szCs w:val="28"/>
        </w:rPr>
        <w:t>％、</w:t>
      </w:r>
      <w:r>
        <w:rPr>
          <w:rFonts w:ascii="Arial" w:eastAsia="仿宋" w:hAnsi="Arial" w:cs="Arial"/>
          <w:sz w:val="28"/>
          <w:szCs w:val="28"/>
        </w:rPr>
        <w:t>20</w:t>
      </w:r>
      <w:r>
        <w:rPr>
          <w:rFonts w:ascii="Arial" w:eastAsia="仿宋" w:hAnsi="Arial" w:cs="Arial"/>
          <w:sz w:val="28"/>
          <w:szCs w:val="28"/>
        </w:rPr>
        <w:t>％、</w:t>
      </w:r>
      <w:r>
        <w:rPr>
          <w:rFonts w:ascii="Arial" w:eastAsia="仿宋" w:hAnsi="Arial" w:cs="Arial"/>
          <w:sz w:val="28"/>
          <w:szCs w:val="28"/>
        </w:rPr>
        <w:t>15</w:t>
      </w:r>
      <w:r>
        <w:rPr>
          <w:rFonts w:ascii="Arial" w:eastAsia="仿宋" w:hAnsi="Arial" w:cs="Arial"/>
          <w:sz w:val="28"/>
          <w:szCs w:val="28"/>
        </w:rPr>
        <w:t>％、</w:t>
      </w:r>
      <w:r>
        <w:rPr>
          <w:rFonts w:ascii="Arial" w:eastAsia="仿宋" w:hAnsi="Arial" w:cs="Arial"/>
          <w:sz w:val="28"/>
          <w:szCs w:val="28"/>
        </w:rPr>
        <w:t>10</w:t>
      </w:r>
      <w:r>
        <w:rPr>
          <w:rFonts w:ascii="Arial" w:eastAsia="仿宋" w:hAnsi="Arial" w:cs="Arial"/>
          <w:sz w:val="28"/>
          <w:szCs w:val="28"/>
        </w:rPr>
        <w:t>％、</w:t>
      </w:r>
      <w:r>
        <w:rPr>
          <w:rFonts w:ascii="Arial" w:eastAsia="仿宋" w:hAnsi="Arial" w:cs="Arial"/>
          <w:sz w:val="28"/>
          <w:szCs w:val="28"/>
        </w:rPr>
        <w:t>15</w:t>
      </w:r>
      <w:r>
        <w:rPr>
          <w:rFonts w:ascii="Arial" w:eastAsia="仿宋" w:hAnsi="Arial" w:cs="Arial"/>
          <w:sz w:val="28"/>
          <w:szCs w:val="28"/>
        </w:rPr>
        <w:t>％确定，且须分别不低于</w:t>
      </w:r>
      <w:r>
        <w:rPr>
          <w:rFonts w:ascii="Arial" w:eastAsia="仿宋" w:hAnsi="Arial" w:cs="Arial"/>
          <w:sz w:val="28"/>
          <w:szCs w:val="28"/>
        </w:rPr>
        <w:t>5.5</w:t>
      </w:r>
      <w:r>
        <w:rPr>
          <w:rFonts w:ascii="Arial" w:eastAsia="仿宋" w:hAnsi="Arial" w:cs="Arial"/>
          <w:sz w:val="28"/>
          <w:szCs w:val="28"/>
        </w:rPr>
        <w:t>％、</w:t>
      </w:r>
      <w:r>
        <w:rPr>
          <w:rFonts w:ascii="Arial" w:eastAsia="仿宋" w:hAnsi="Arial" w:cs="Arial"/>
          <w:sz w:val="28"/>
          <w:szCs w:val="28"/>
        </w:rPr>
        <w:t>5.5</w:t>
      </w:r>
      <w:r>
        <w:rPr>
          <w:rFonts w:ascii="Arial" w:eastAsia="仿宋" w:hAnsi="Arial" w:cs="Arial"/>
          <w:sz w:val="28"/>
          <w:szCs w:val="28"/>
        </w:rPr>
        <w:t>％、</w:t>
      </w:r>
      <w:r>
        <w:rPr>
          <w:rFonts w:ascii="Arial" w:eastAsia="仿宋" w:hAnsi="Arial" w:cs="Arial"/>
          <w:sz w:val="28"/>
          <w:szCs w:val="28"/>
        </w:rPr>
        <w:t>5</w:t>
      </w:r>
      <w:r>
        <w:rPr>
          <w:rFonts w:ascii="Arial" w:eastAsia="仿宋" w:hAnsi="Arial" w:cs="Arial"/>
          <w:sz w:val="28"/>
          <w:szCs w:val="28"/>
        </w:rPr>
        <w:t>％、</w:t>
      </w:r>
      <w:r>
        <w:rPr>
          <w:rFonts w:ascii="Arial" w:eastAsia="仿宋" w:hAnsi="Arial" w:cs="Arial"/>
          <w:sz w:val="28"/>
          <w:szCs w:val="28"/>
        </w:rPr>
        <w:t>5</w:t>
      </w:r>
      <w:r>
        <w:rPr>
          <w:rFonts w:ascii="Arial" w:eastAsia="仿宋" w:hAnsi="Arial" w:cs="Arial"/>
          <w:sz w:val="28"/>
          <w:szCs w:val="28"/>
        </w:rPr>
        <w:t>％、</w:t>
      </w:r>
      <w:r>
        <w:rPr>
          <w:rFonts w:ascii="Arial" w:eastAsia="仿宋" w:hAnsi="Arial" w:cs="Arial"/>
          <w:sz w:val="28"/>
          <w:szCs w:val="28"/>
        </w:rPr>
        <w:t>5</w:t>
      </w:r>
      <w:r>
        <w:rPr>
          <w:rFonts w:ascii="Arial" w:eastAsia="仿宋" w:hAnsi="Arial" w:cs="Arial"/>
          <w:sz w:val="28"/>
          <w:szCs w:val="28"/>
        </w:rPr>
        <w:t>％，不高于</w:t>
      </w:r>
      <w:r>
        <w:rPr>
          <w:rFonts w:ascii="Arial" w:eastAsia="仿宋" w:hAnsi="Arial" w:cs="Arial"/>
          <w:sz w:val="28"/>
          <w:szCs w:val="28"/>
        </w:rPr>
        <w:t>6.5</w:t>
      </w:r>
      <w:r>
        <w:rPr>
          <w:rFonts w:ascii="Arial" w:eastAsia="仿宋" w:hAnsi="Arial" w:cs="Arial"/>
          <w:sz w:val="28"/>
          <w:szCs w:val="28"/>
        </w:rPr>
        <w:t>％、</w:t>
      </w:r>
      <w:r>
        <w:rPr>
          <w:rFonts w:ascii="Arial" w:eastAsia="仿宋" w:hAnsi="Arial" w:cs="Arial"/>
          <w:sz w:val="28"/>
          <w:szCs w:val="28"/>
        </w:rPr>
        <w:t>6.5</w:t>
      </w:r>
      <w:r>
        <w:rPr>
          <w:rFonts w:ascii="Arial" w:eastAsia="仿宋" w:hAnsi="Arial" w:cs="Arial"/>
          <w:sz w:val="28"/>
          <w:szCs w:val="28"/>
        </w:rPr>
        <w:t>％、</w:t>
      </w:r>
      <w:r>
        <w:rPr>
          <w:rFonts w:ascii="Arial" w:eastAsia="仿宋" w:hAnsi="Arial" w:cs="Arial"/>
          <w:sz w:val="28"/>
          <w:szCs w:val="28"/>
        </w:rPr>
        <w:t>6</w:t>
      </w:r>
      <w:r>
        <w:rPr>
          <w:rFonts w:ascii="Arial" w:eastAsia="仿宋" w:hAnsi="Arial" w:cs="Arial"/>
          <w:sz w:val="28"/>
          <w:szCs w:val="28"/>
        </w:rPr>
        <w:t>％、</w:t>
      </w:r>
      <w:r>
        <w:rPr>
          <w:rFonts w:ascii="Arial" w:eastAsia="仿宋" w:hAnsi="Arial" w:cs="Arial"/>
          <w:sz w:val="28"/>
          <w:szCs w:val="28"/>
        </w:rPr>
        <w:t>6</w:t>
      </w:r>
      <w:r>
        <w:rPr>
          <w:rFonts w:ascii="Arial" w:eastAsia="仿宋" w:hAnsi="Arial" w:cs="Arial"/>
          <w:sz w:val="28"/>
          <w:szCs w:val="28"/>
        </w:rPr>
        <w:t>％、</w:t>
      </w:r>
      <w:r>
        <w:rPr>
          <w:rFonts w:ascii="Arial" w:eastAsia="仿宋" w:hAnsi="Arial" w:cs="Arial"/>
          <w:sz w:val="28"/>
          <w:szCs w:val="28"/>
        </w:rPr>
        <w:t>6</w:t>
      </w:r>
      <w:r>
        <w:rPr>
          <w:rFonts w:ascii="Arial" w:eastAsia="仿宋" w:hAnsi="Arial" w:cs="Arial"/>
          <w:sz w:val="28"/>
          <w:szCs w:val="28"/>
        </w:rPr>
        <w:t>％。估价对象用途为住宅，现行一年</w:t>
      </w:r>
      <w:proofErr w:type="gramStart"/>
      <w:r>
        <w:rPr>
          <w:rFonts w:ascii="Arial" w:eastAsia="仿宋" w:hAnsi="Arial" w:cs="Arial"/>
          <w:sz w:val="28"/>
          <w:szCs w:val="28"/>
        </w:rPr>
        <w:t>期贷</w:t>
      </w:r>
      <w:proofErr w:type="gramEnd"/>
      <w:r>
        <w:rPr>
          <w:rFonts w:ascii="Arial" w:eastAsia="仿宋" w:hAnsi="Arial" w:cs="Arial"/>
          <w:sz w:val="28"/>
          <w:szCs w:val="28"/>
        </w:rPr>
        <w:t>款利率（</w:t>
      </w:r>
      <w:r>
        <w:rPr>
          <w:rFonts w:ascii="Arial" w:eastAsia="仿宋" w:hAnsi="Arial" w:cs="Arial"/>
          <w:sz w:val="28"/>
          <w:szCs w:val="28"/>
        </w:rPr>
        <w:t>2015</w:t>
      </w:r>
      <w:r>
        <w:rPr>
          <w:rFonts w:ascii="Arial" w:eastAsia="仿宋" w:hAnsi="Arial" w:cs="Arial"/>
          <w:sz w:val="28"/>
          <w:szCs w:val="28"/>
        </w:rPr>
        <w:t>年</w:t>
      </w:r>
      <w:r>
        <w:rPr>
          <w:rFonts w:ascii="Arial" w:eastAsia="仿宋" w:hAnsi="Arial" w:cs="Arial"/>
          <w:sz w:val="28"/>
          <w:szCs w:val="28"/>
        </w:rPr>
        <w:t>10</w:t>
      </w:r>
      <w:r>
        <w:rPr>
          <w:rFonts w:ascii="Arial" w:eastAsia="仿宋" w:hAnsi="Arial" w:cs="Arial"/>
          <w:sz w:val="28"/>
          <w:szCs w:val="28"/>
        </w:rPr>
        <w:t>月</w:t>
      </w:r>
      <w:r>
        <w:rPr>
          <w:rFonts w:ascii="Arial" w:eastAsia="仿宋" w:hAnsi="Arial" w:cs="Arial"/>
          <w:sz w:val="28"/>
          <w:szCs w:val="28"/>
        </w:rPr>
        <w:t>24</w:t>
      </w:r>
      <w:r>
        <w:rPr>
          <w:rFonts w:ascii="Arial" w:eastAsia="仿宋" w:hAnsi="Arial" w:cs="Arial"/>
          <w:sz w:val="28"/>
          <w:szCs w:val="28"/>
        </w:rPr>
        <w:t>日公布）为</w:t>
      </w:r>
      <w:r>
        <w:rPr>
          <w:rFonts w:ascii="Arial" w:eastAsia="仿宋" w:hAnsi="Arial" w:cs="Arial"/>
          <w:sz w:val="28"/>
          <w:szCs w:val="28"/>
        </w:rPr>
        <w:t>4.35%</w:t>
      </w:r>
      <w:r>
        <w:rPr>
          <w:rFonts w:ascii="Arial" w:eastAsia="仿宋" w:hAnsi="Arial" w:cs="Arial"/>
          <w:sz w:val="28"/>
          <w:szCs w:val="28"/>
        </w:rPr>
        <w:t>，按照上述利率计算得出的土地还原率为</w:t>
      </w:r>
      <w:r>
        <w:rPr>
          <w:rFonts w:ascii="Arial" w:eastAsia="仿宋" w:hAnsi="Arial" w:cs="Arial"/>
          <w:sz w:val="28"/>
          <w:szCs w:val="28"/>
        </w:rPr>
        <w:t>5%</w:t>
      </w:r>
      <w:r>
        <w:rPr>
          <w:rFonts w:ascii="Arial" w:eastAsia="仿宋" w:hAnsi="Arial" w:cs="Arial"/>
          <w:sz w:val="28"/>
          <w:szCs w:val="28"/>
        </w:rPr>
        <w:t>，低于所要求的</w:t>
      </w:r>
      <w:proofErr w:type="gramStart"/>
      <w:r>
        <w:rPr>
          <w:rFonts w:ascii="Arial" w:eastAsia="仿宋" w:hAnsi="Arial" w:cs="Arial"/>
          <w:sz w:val="28"/>
          <w:szCs w:val="28"/>
        </w:rPr>
        <w:t>的</w:t>
      </w:r>
      <w:proofErr w:type="gramEnd"/>
      <w:r>
        <w:rPr>
          <w:rFonts w:ascii="Arial" w:eastAsia="仿宋" w:hAnsi="Arial" w:cs="Arial"/>
          <w:sz w:val="28"/>
          <w:szCs w:val="28"/>
        </w:rPr>
        <w:t>最低值。故土地还原率</w:t>
      </w:r>
      <w:proofErr w:type="gramStart"/>
      <w:r>
        <w:rPr>
          <w:rFonts w:ascii="Arial" w:eastAsia="仿宋" w:hAnsi="Arial" w:cs="Arial"/>
          <w:sz w:val="28"/>
          <w:szCs w:val="28"/>
        </w:rPr>
        <w:t>取住宅</w:t>
      </w:r>
      <w:proofErr w:type="gramEnd"/>
      <w:r>
        <w:rPr>
          <w:rFonts w:ascii="Arial" w:eastAsia="仿宋" w:hAnsi="Arial" w:cs="Arial"/>
          <w:sz w:val="28"/>
          <w:szCs w:val="28"/>
        </w:rPr>
        <w:t>用途最低值</w:t>
      </w:r>
      <w:r>
        <w:rPr>
          <w:rFonts w:ascii="Arial" w:eastAsia="仿宋" w:hAnsi="Arial" w:cs="Arial"/>
          <w:sz w:val="28"/>
          <w:szCs w:val="28"/>
        </w:rPr>
        <w:t>5%</w:t>
      </w:r>
      <w:r>
        <w:rPr>
          <w:rFonts w:ascii="Arial" w:eastAsia="仿宋" w:hAnsi="Arial" w:cs="Arial"/>
          <w:sz w:val="28"/>
          <w:szCs w:val="28"/>
        </w:rPr>
        <w:t>。</w:t>
      </w:r>
    </w:p>
    <w:p w14:paraId="78F56DF3"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估价对象剩余土地使用年限为</w:t>
      </w:r>
      <w:r>
        <w:rPr>
          <w:rFonts w:ascii="Arial" w:eastAsia="仿宋" w:hAnsi="Arial" w:cs="Arial"/>
          <w:sz w:val="28"/>
          <w:szCs w:val="28"/>
        </w:rPr>
        <w:t>70</w:t>
      </w:r>
      <w:r>
        <w:rPr>
          <w:rFonts w:ascii="Arial" w:eastAsia="仿宋" w:hAnsi="Arial" w:cs="Arial"/>
          <w:sz w:val="28"/>
          <w:szCs w:val="28"/>
        </w:rPr>
        <w:t>年，住宅用途法定用途最高出让年限为</w:t>
      </w:r>
      <w:r>
        <w:rPr>
          <w:rFonts w:ascii="Arial" w:eastAsia="仿宋" w:hAnsi="Arial" w:cs="Arial"/>
          <w:sz w:val="28"/>
          <w:szCs w:val="28"/>
        </w:rPr>
        <w:t>70</w:t>
      </w:r>
      <w:r>
        <w:rPr>
          <w:rFonts w:ascii="Arial" w:eastAsia="仿宋" w:hAnsi="Arial" w:cs="Arial"/>
          <w:sz w:val="28"/>
          <w:szCs w:val="28"/>
        </w:rPr>
        <w:t>年，故不做修正。</w:t>
      </w:r>
    </w:p>
    <w:p w14:paraId="7A87F251"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E</w:t>
      </w:r>
      <w:r>
        <w:rPr>
          <w:rFonts w:ascii="Arial" w:eastAsia="仿宋" w:hAnsi="Arial" w:cs="Arial"/>
          <w:sz w:val="28"/>
          <w:szCs w:val="28"/>
        </w:rPr>
        <w:t>）容积率修正系数的确定</w:t>
      </w:r>
    </w:p>
    <w:p w14:paraId="4C68151F"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依据《北京市基准地价容积率修正系数表（住宅类）》（详见下表）。</w:t>
      </w:r>
    </w:p>
    <w:p w14:paraId="408AC993" w14:textId="77777777" w:rsidR="004532BF" w:rsidRDefault="004532BF">
      <w:pPr>
        <w:spacing w:line="240" w:lineRule="auto"/>
        <w:jc w:val="center"/>
        <w:rPr>
          <w:rFonts w:ascii="Arial" w:eastAsia="仿宋" w:hAnsi="Arial" w:cs="Arial"/>
          <w:bCs/>
          <w:sz w:val="28"/>
          <w:szCs w:val="28"/>
        </w:rPr>
      </w:pPr>
    </w:p>
    <w:p w14:paraId="3D6986F9" w14:textId="77777777" w:rsidR="004532BF" w:rsidRDefault="004532BF">
      <w:pPr>
        <w:spacing w:line="240" w:lineRule="auto"/>
        <w:jc w:val="center"/>
        <w:rPr>
          <w:rFonts w:ascii="Arial" w:eastAsia="仿宋" w:hAnsi="Arial" w:cs="Arial"/>
          <w:bCs/>
          <w:sz w:val="28"/>
          <w:szCs w:val="28"/>
        </w:rPr>
      </w:pPr>
    </w:p>
    <w:p w14:paraId="066183CA" w14:textId="77777777" w:rsidR="004532BF" w:rsidRDefault="004532BF">
      <w:pPr>
        <w:spacing w:line="240" w:lineRule="auto"/>
        <w:jc w:val="center"/>
        <w:rPr>
          <w:rFonts w:ascii="Arial" w:eastAsia="仿宋" w:hAnsi="Arial" w:cs="Arial"/>
          <w:bCs/>
          <w:sz w:val="28"/>
          <w:szCs w:val="28"/>
        </w:rPr>
      </w:pPr>
    </w:p>
    <w:p w14:paraId="160951CE" w14:textId="77777777" w:rsidR="004532BF" w:rsidRDefault="004532BF">
      <w:pPr>
        <w:spacing w:line="240" w:lineRule="auto"/>
        <w:jc w:val="center"/>
        <w:rPr>
          <w:rFonts w:ascii="Arial" w:eastAsia="仿宋" w:hAnsi="Arial" w:cs="Arial"/>
          <w:bCs/>
          <w:sz w:val="28"/>
          <w:szCs w:val="28"/>
        </w:rPr>
      </w:pPr>
    </w:p>
    <w:p w14:paraId="123189A5" w14:textId="77777777" w:rsidR="004532BF" w:rsidRDefault="004532BF">
      <w:pPr>
        <w:spacing w:line="240" w:lineRule="auto"/>
        <w:jc w:val="center"/>
        <w:rPr>
          <w:rFonts w:ascii="Arial" w:eastAsia="仿宋" w:hAnsi="Arial" w:cs="Arial"/>
          <w:bCs/>
          <w:sz w:val="28"/>
          <w:szCs w:val="28"/>
        </w:rPr>
      </w:pPr>
    </w:p>
    <w:p w14:paraId="1BE0D706" w14:textId="77777777" w:rsidR="004532BF" w:rsidRDefault="004532BF">
      <w:pPr>
        <w:spacing w:line="240" w:lineRule="auto"/>
        <w:jc w:val="center"/>
        <w:rPr>
          <w:rFonts w:ascii="Arial" w:eastAsia="仿宋" w:hAnsi="Arial" w:cs="Arial"/>
          <w:bCs/>
          <w:sz w:val="28"/>
          <w:szCs w:val="28"/>
        </w:rPr>
      </w:pPr>
    </w:p>
    <w:p w14:paraId="4FFF1E4D" w14:textId="117A4CCC" w:rsidR="0062768B" w:rsidRDefault="00136729">
      <w:pPr>
        <w:spacing w:line="240" w:lineRule="auto"/>
        <w:jc w:val="center"/>
        <w:rPr>
          <w:rFonts w:ascii="Arial" w:eastAsia="仿宋" w:hAnsi="Arial" w:cs="Arial"/>
          <w:sz w:val="28"/>
          <w:szCs w:val="28"/>
        </w:rPr>
      </w:pPr>
      <w:r>
        <w:rPr>
          <w:rFonts w:ascii="Arial" w:eastAsia="仿宋" w:hAnsi="Arial" w:cs="Arial"/>
          <w:bCs/>
          <w:sz w:val="28"/>
          <w:szCs w:val="28"/>
        </w:rPr>
        <w:lastRenderedPageBreak/>
        <w:t>北京市基准地价容积率修正系数表（住宅）</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79"/>
        <w:gridCol w:w="1098"/>
        <w:gridCol w:w="1253"/>
        <w:gridCol w:w="1253"/>
        <w:gridCol w:w="1179"/>
        <w:gridCol w:w="979"/>
        <w:gridCol w:w="1179"/>
        <w:gridCol w:w="1179"/>
      </w:tblGrid>
      <w:tr w:rsidR="0062768B" w14:paraId="215BE65E" w14:textId="77777777">
        <w:trPr>
          <w:cantSplit/>
          <w:tblHeader/>
          <w:jc w:val="center"/>
        </w:trPr>
        <w:tc>
          <w:tcPr>
            <w:tcW w:w="1179" w:type="dxa"/>
            <w:shd w:val="clear" w:color="auto" w:fill="auto"/>
            <w:noWrap/>
            <w:vAlign w:val="center"/>
          </w:tcPr>
          <w:p w14:paraId="093A5A3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容积率</w:t>
            </w:r>
          </w:p>
        </w:tc>
        <w:tc>
          <w:tcPr>
            <w:tcW w:w="1098" w:type="dxa"/>
            <w:shd w:val="clear" w:color="auto" w:fill="auto"/>
            <w:noWrap/>
            <w:vAlign w:val="center"/>
          </w:tcPr>
          <w:p w14:paraId="1EA405E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1-2</w:t>
            </w:r>
            <w:r>
              <w:rPr>
                <w:rFonts w:ascii="Arial" w:eastAsia="仿宋" w:hAnsi="Arial" w:cs="Arial"/>
                <w:sz w:val="20"/>
              </w:rPr>
              <w:t>级</w:t>
            </w:r>
          </w:p>
        </w:tc>
        <w:tc>
          <w:tcPr>
            <w:tcW w:w="1253" w:type="dxa"/>
            <w:shd w:val="clear" w:color="auto" w:fill="auto"/>
            <w:vAlign w:val="center"/>
          </w:tcPr>
          <w:p w14:paraId="1583A73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3-7</w:t>
            </w:r>
            <w:r>
              <w:rPr>
                <w:rFonts w:ascii="Arial" w:eastAsia="仿宋" w:hAnsi="Arial" w:cs="Arial"/>
                <w:sz w:val="20"/>
              </w:rPr>
              <w:t>级</w:t>
            </w:r>
          </w:p>
        </w:tc>
        <w:tc>
          <w:tcPr>
            <w:tcW w:w="1253" w:type="dxa"/>
            <w:shd w:val="clear" w:color="auto" w:fill="auto"/>
            <w:vAlign w:val="center"/>
          </w:tcPr>
          <w:p w14:paraId="76B3C91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8-12</w:t>
            </w:r>
            <w:r>
              <w:rPr>
                <w:rFonts w:ascii="Arial" w:eastAsia="仿宋" w:hAnsi="Arial" w:cs="Arial"/>
                <w:sz w:val="20"/>
              </w:rPr>
              <w:t>级</w:t>
            </w:r>
          </w:p>
        </w:tc>
        <w:tc>
          <w:tcPr>
            <w:tcW w:w="1179" w:type="dxa"/>
            <w:shd w:val="clear" w:color="auto" w:fill="auto"/>
            <w:noWrap/>
            <w:vAlign w:val="center"/>
          </w:tcPr>
          <w:p w14:paraId="6A357F5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容积率</w:t>
            </w:r>
          </w:p>
        </w:tc>
        <w:tc>
          <w:tcPr>
            <w:tcW w:w="979" w:type="dxa"/>
            <w:shd w:val="clear" w:color="auto" w:fill="auto"/>
            <w:noWrap/>
            <w:vAlign w:val="center"/>
          </w:tcPr>
          <w:p w14:paraId="2162473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1-2</w:t>
            </w:r>
            <w:r>
              <w:rPr>
                <w:rFonts w:ascii="Arial" w:eastAsia="仿宋" w:hAnsi="Arial" w:cs="Arial"/>
                <w:sz w:val="20"/>
              </w:rPr>
              <w:t>级</w:t>
            </w:r>
          </w:p>
        </w:tc>
        <w:tc>
          <w:tcPr>
            <w:tcW w:w="1179" w:type="dxa"/>
            <w:shd w:val="clear" w:color="auto" w:fill="auto"/>
            <w:vAlign w:val="center"/>
          </w:tcPr>
          <w:p w14:paraId="52535F2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3-7</w:t>
            </w:r>
            <w:r>
              <w:rPr>
                <w:rFonts w:ascii="Arial" w:eastAsia="仿宋" w:hAnsi="Arial" w:cs="Arial"/>
                <w:sz w:val="20"/>
              </w:rPr>
              <w:t>级</w:t>
            </w:r>
          </w:p>
        </w:tc>
        <w:tc>
          <w:tcPr>
            <w:tcW w:w="1179" w:type="dxa"/>
            <w:shd w:val="clear" w:color="auto" w:fill="auto"/>
            <w:vAlign w:val="center"/>
          </w:tcPr>
          <w:p w14:paraId="63752D6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8-12</w:t>
            </w:r>
            <w:r>
              <w:rPr>
                <w:rFonts w:ascii="Arial" w:eastAsia="仿宋" w:hAnsi="Arial" w:cs="Arial"/>
                <w:sz w:val="20"/>
              </w:rPr>
              <w:t>级</w:t>
            </w:r>
          </w:p>
        </w:tc>
      </w:tr>
      <w:tr w:rsidR="0062768B" w14:paraId="0FFECB0E" w14:textId="77777777">
        <w:trPr>
          <w:cantSplit/>
          <w:jc w:val="center"/>
        </w:trPr>
        <w:tc>
          <w:tcPr>
            <w:tcW w:w="1179" w:type="dxa"/>
            <w:shd w:val="clear" w:color="auto" w:fill="auto"/>
            <w:noWrap/>
            <w:vAlign w:val="center"/>
          </w:tcPr>
          <w:p w14:paraId="5DA17A1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1.0 </w:t>
            </w:r>
          </w:p>
        </w:tc>
        <w:tc>
          <w:tcPr>
            <w:tcW w:w="1098" w:type="dxa"/>
            <w:shd w:val="clear" w:color="auto" w:fill="auto"/>
            <w:noWrap/>
            <w:vAlign w:val="center"/>
          </w:tcPr>
          <w:p w14:paraId="16D5AB4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1.1902</w:t>
            </w:r>
          </w:p>
        </w:tc>
        <w:tc>
          <w:tcPr>
            <w:tcW w:w="1253" w:type="dxa"/>
            <w:shd w:val="clear" w:color="auto" w:fill="auto"/>
            <w:noWrap/>
            <w:vAlign w:val="center"/>
          </w:tcPr>
          <w:p w14:paraId="1E19BF3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1.222</w:t>
            </w:r>
          </w:p>
        </w:tc>
        <w:tc>
          <w:tcPr>
            <w:tcW w:w="1253" w:type="dxa"/>
            <w:shd w:val="clear" w:color="auto" w:fill="auto"/>
            <w:noWrap/>
            <w:vAlign w:val="center"/>
          </w:tcPr>
          <w:p w14:paraId="5CC90EF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1.1055</w:t>
            </w:r>
          </w:p>
        </w:tc>
        <w:tc>
          <w:tcPr>
            <w:tcW w:w="1179" w:type="dxa"/>
            <w:shd w:val="clear" w:color="auto" w:fill="auto"/>
            <w:vAlign w:val="center"/>
          </w:tcPr>
          <w:p w14:paraId="2851361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5.5 </w:t>
            </w:r>
          </w:p>
        </w:tc>
        <w:tc>
          <w:tcPr>
            <w:tcW w:w="979" w:type="dxa"/>
            <w:shd w:val="clear" w:color="auto" w:fill="auto"/>
            <w:noWrap/>
            <w:vAlign w:val="center"/>
          </w:tcPr>
          <w:p w14:paraId="4E93CD1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0.8981</w:t>
            </w:r>
          </w:p>
        </w:tc>
        <w:tc>
          <w:tcPr>
            <w:tcW w:w="1179" w:type="dxa"/>
            <w:shd w:val="clear" w:color="auto" w:fill="auto"/>
            <w:noWrap/>
            <w:vAlign w:val="center"/>
          </w:tcPr>
          <w:p w14:paraId="172FDDE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0.8772</w:t>
            </w:r>
          </w:p>
        </w:tc>
        <w:tc>
          <w:tcPr>
            <w:tcW w:w="1179" w:type="dxa"/>
            <w:shd w:val="clear" w:color="auto" w:fill="auto"/>
            <w:noWrap/>
            <w:vAlign w:val="center"/>
          </w:tcPr>
          <w:p w14:paraId="2261762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0.7201</w:t>
            </w:r>
          </w:p>
        </w:tc>
      </w:tr>
      <w:tr w:rsidR="0062768B" w14:paraId="2DB413A5" w14:textId="77777777">
        <w:trPr>
          <w:cantSplit/>
          <w:jc w:val="center"/>
        </w:trPr>
        <w:tc>
          <w:tcPr>
            <w:tcW w:w="1179" w:type="dxa"/>
            <w:shd w:val="clear" w:color="auto" w:fill="auto"/>
            <w:noWrap/>
            <w:vAlign w:val="center"/>
          </w:tcPr>
          <w:p w14:paraId="3CC0887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1.1 </w:t>
            </w:r>
          </w:p>
        </w:tc>
        <w:tc>
          <w:tcPr>
            <w:tcW w:w="1098" w:type="dxa"/>
            <w:shd w:val="clear" w:color="auto" w:fill="auto"/>
            <w:noWrap/>
            <w:vAlign w:val="center"/>
          </w:tcPr>
          <w:p w14:paraId="41410A4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1.1715</w:t>
            </w:r>
          </w:p>
        </w:tc>
        <w:tc>
          <w:tcPr>
            <w:tcW w:w="1253" w:type="dxa"/>
            <w:shd w:val="clear" w:color="auto" w:fill="auto"/>
            <w:noWrap/>
            <w:vAlign w:val="center"/>
          </w:tcPr>
          <w:p w14:paraId="77347B6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1.2003</w:t>
            </w:r>
          </w:p>
        </w:tc>
        <w:tc>
          <w:tcPr>
            <w:tcW w:w="1253" w:type="dxa"/>
            <w:shd w:val="clear" w:color="auto" w:fill="auto"/>
            <w:noWrap/>
            <w:vAlign w:val="center"/>
          </w:tcPr>
          <w:p w14:paraId="336F9D1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1.0819</w:t>
            </w:r>
          </w:p>
        </w:tc>
        <w:tc>
          <w:tcPr>
            <w:tcW w:w="1179" w:type="dxa"/>
            <w:shd w:val="clear" w:color="auto" w:fill="auto"/>
            <w:vAlign w:val="center"/>
          </w:tcPr>
          <w:p w14:paraId="5BEAB13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5.6 </w:t>
            </w:r>
          </w:p>
        </w:tc>
        <w:tc>
          <w:tcPr>
            <w:tcW w:w="979" w:type="dxa"/>
            <w:shd w:val="clear" w:color="auto" w:fill="auto"/>
            <w:noWrap/>
            <w:vAlign w:val="center"/>
          </w:tcPr>
          <w:p w14:paraId="559D120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0.8962</w:t>
            </w:r>
          </w:p>
        </w:tc>
        <w:tc>
          <w:tcPr>
            <w:tcW w:w="1179" w:type="dxa"/>
            <w:shd w:val="clear" w:color="auto" w:fill="auto"/>
            <w:noWrap/>
            <w:vAlign w:val="center"/>
          </w:tcPr>
          <w:p w14:paraId="05C94CD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0.8749</w:t>
            </w:r>
          </w:p>
        </w:tc>
        <w:tc>
          <w:tcPr>
            <w:tcW w:w="1179" w:type="dxa"/>
            <w:shd w:val="clear" w:color="auto" w:fill="auto"/>
            <w:noWrap/>
            <w:vAlign w:val="center"/>
          </w:tcPr>
          <w:p w14:paraId="1696AE9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0.7171</w:t>
            </w:r>
          </w:p>
        </w:tc>
      </w:tr>
      <w:tr w:rsidR="0062768B" w14:paraId="6E2F377C" w14:textId="77777777">
        <w:trPr>
          <w:cantSplit/>
          <w:jc w:val="center"/>
        </w:trPr>
        <w:tc>
          <w:tcPr>
            <w:tcW w:w="1179" w:type="dxa"/>
            <w:shd w:val="clear" w:color="auto" w:fill="auto"/>
            <w:noWrap/>
            <w:vAlign w:val="center"/>
          </w:tcPr>
          <w:p w14:paraId="70627D6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1.2 </w:t>
            </w:r>
          </w:p>
        </w:tc>
        <w:tc>
          <w:tcPr>
            <w:tcW w:w="1098" w:type="dxa"/>
            <w:shd w:val="clear" w:color="auto" w:fill="auto"/>
            <w:noWrap/>
            <w:vAlign w:val="center"/>
          </w:tcPr>
          <w:p w14:paraId="0D71B7C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1.1539</w:t>
            </w:r>
          </w:p>
        </w:tc>
        <w:tc>
          <w:tcPr>
            <w:tcW w:w="1253" w:type="dxa"/>
            <w:shd w:val="clear" w:color="auto" w:fill="auto"/>
            <w:noWrap/>
            <w:vAlign w:val="center"/>
          </w:tcPr>
          <w:p w14:paraId="5EA5162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1.1798</w:t>
            </w:r>
          </w:p>
        </w:tc>
        <w:tc>
          <w:tcPr>
            <w:tcW w:w="1253" w:type="dxa"/>
            <w:shd w:val="clear" w:color="auto" w:fill="auto"/>
            <w:noWrap/>
            <w:vAlign w:val="center"/>
          </w:tcPr>
          <w:p w14:paraId="7E4FB87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1.0597</w:t>
            </w:r>
          </w:p>
        </w:tc>
        <w:tc>
          <w:tcPr>
            <w:tcW w:w="1179" w:type="dxa"/>
            <w:shd w:val="clear" w:color="auto" w:fill="auto"/>
            <w:vAlign w:val="center"/>
          </w:tcPr>
          <w:p w14:paraId="5364DFC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5.7 </w:t>
            </w:r>
          </w:p>
        </w:tc>
        <w:tc>
          <w:tcPr>
            <w:tcW w:w="979" w:type="dxa"/>
            <w:shd w:val="clear" w:color="auto" w:fill="auto"/>
            <w:noWrap/>
            <w:vAlign w:val="center"/>
          </w:tcPr>
          <w:p w14:paraId="5FE9F62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0.8943</w:t>
            </w:r>
          </w:p>
        </w:tc>
        <w:tc>
          <w:tcPr>
            <w:tcW w:w="1179" w:type="dxa"/>
            <w:shd w:val="clear" w:color="auto" w:fill="auto"/>
            <w:noWrap/>
            <w:vAlign w:val="center"/>
          </w:tcPr>
          <w:p w14:paraId="2D95826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0.8726</w:t>
            </w:r>
          </w:p>
        </w:tc>
        <w:tc>
          <w:tcPr>
            <w:tcW w:w="1179" w:type="dxa"/>
            <w:shd w:val="clear" w:color="auto" w:fill="auto"/>
            <w:noWrap/>
            <w:vAlign w:val="center"/>
          </w:tcPr>
          <w:p w14:paraId="5BB948E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0.7142</w:t>
            </w:r>
          </w:p>
        </w:tc>
      </w:tr>
      <w:tr w:rsidR="0062768B" w14:paraId="7B47A207" w14:textId="77777777">
        <w:trPr>
          <w:cantSplit/>
          <w:jc w:val="center"/>
        </w:trPr>
        <w:tc>
          <w:tcPr>
            <w:tcW w:w="1179" w:type="dxa"/>
            <w:shd w:val="clear" w:color="auto" w:fill="auto"/>
            <w:noWrap/>
            <w:vAlign w:val="center"/>
          </w:tcPr>
          <w:p w14:paraId="2470814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1.3 </w:t>
            </w:r>
          </w:p>
        </w:tc>
        <w:tc>
          <w:tcPr>
            <w:tcW w:w="1098" w:type="dxa"/>
            <w:shd w:val="clear" w:color="auto" w:fill="auto"/>
            <w:noWrap/>
            <w:vAlign w:val="center"/>
          </w:tcPr>
          <w:p w14:paraId="0B1BD2D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1.1372</w:t>
            </w:r>
          </w:p>
        </w:tc>
        <w:tc>
          <w:tcPr>
            <w:tcW w:w="1253" w:type="dxa"/>
            <w:shd w:val="clear" w:color="auto" w:fill="auto"/>
            <w:noWrap/>
            <w:vAlign w:val="center"/>
          </w:tcPr>
          <w:p w14:paraId="457534D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1.1605</w:t>
            </w:r>
          </w:p>
        </w:tc>
        <w:tc>
          <w:tcPr>
            <w:tcW w:w="1253" w:type="dxa"/>
            <w:shd w:val="clear" w:color="auto" w:fill="auto"/>
            <w:noWrap/>
            <w:vAlign w:val="center"/>
          </w:tcPr>
          <w:p w14:paraId="3C79CE3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1.0386</w:t>
            </w:r>
          </w:p>
        </w:tc>
        <w:tc>
          <w:tcPr>
            <w:tcW w:w="1179" w:type="dxa"/>
            <w:shd w:val="clear" w:color="auto" w:fill="auto"/>
            <w:vAlign w:val="center"/>
          </w:tcPr>
          <w:p w14:paraId="27E7E15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5.8 </w:t>
            </w:r>
          </w:p>
        </w:tc>
        <w:tc>
          <w:tcPr>
            <w:tcW w:w="979" w:type="dxa"/>
            <w:shd w:val="clear" w:color="auto" w:fill="auto"/>
            <w:noWrap/>
            <w:vAlign w:val="center"/>
          </w:tcPr>
          <w:p w14:paraId="05BD125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0.8925</w:t>
            </w:r>
          </w:p>
        </w:tc>
        <w:tc>
          <w:tcPr>
            <w:tcW w:w="1179" w:type="dxa"/>
            <w:shd w:val="clear" w:color="auto" w:fill="auto"/>
            <w:noWrap/>
            <w:vAlign w:val="center"/>
          </w:tcPr>
          <w:p w14:paraId="4175428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0.8703</w:t>
            </w:r>
          </w:p>
        </w:tc>
        <w:tc>
          <w:tcPr>
            <w:tcW w:w="1179" w:type="dxa"/>
            <w:shd w:val="clear" w:color="auto" w:fill="auto"/>
            <w:noWrap/>
            <w:vAlign w:val="center"/>
          </w:tcPr>
          <w:p w14:paraId="4A856A3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0.7113</w:t>
            </w:r>
          </w:p>
        </w:tc>
      </w:tr>
      <w:tr w:rsidR="0062768B" w14:paraId="50C23C79" w14:textId="77777777">
        <w:trPr>
          <w:cantSplit/>
          <w:jc w:val="center"/>
        </w:trPr>
        <w:tc>
          <w:tcPr>
            <w:tcW w:w="1179" w:type="dxa"/>
            <w:shd w:val="clear" w:color="auto" w:fill="auto"/>
            <w:noWrap/>
            <w:vAlign w:val="center"/>
          </w:tcPr>
          <w:p w14:paraId="061FEAA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1.4 </w:t>
            </w:r>
          </w:p>
        </w:tc>
        <w:tc>
          <w:tcPr>
            <w:tcW w:w="1098" w:type="dxa"/>
            <w:shd w:val="clear" w:color="auto" w:fill="auto"/>
            <w:noWrap/>
            <w:vAlign w:val="center"/>
          </w:tcPr>
          <w:p w14:paraId="1179786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1.1216</w:t>
            </w:r>
          </w:p>
        </w:tc>
        <w:tc>
          <w:tcPr>
            <w:tcW w:w="1253" w:type="dxa"/>
            <w:shd w:val="clear" w:color="auto" w:fill="auto"/>
            <w:noWrap/>
            <w:vAlign w:val="center"/>
          </w:tcPr>
          <w:p w14:paraId="7C0D1E0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1.1422</w:t>
            </w:r>
          </w:p>
        </w:tc>
        <w:tc>
          <w:tcPr>
            <w:tcW w:w="1253" w:type="dxa"/>
            <w:shd w:val="clear" w:color="auto" w:fill="auto"/>
            <w:noWrap/>
            <w:vAlign w:val="center"/>
          </w:tcPr>
          <w:p w14:paraId="1E45A9C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1.0188</w:t>
            </w:r>
          </w:p>
        </w:tc>
        <w:tc>
          <w:tcPr>
            <w:tcW w:w="1179" w:type="dxa"/>
            <w:shd w:val="clear" w:color="auto" w:fill="auto"/>
            <w:vAlign w:val="center"/>
          </w:tcPr>
          <w:p w14:paraId="718E991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5.9 </w:t>
            </w:r>
          </w:p>
        </w:tc>
        <w:tc>
          <w:tcPr>
            <w:tcW w:w="979" w:type="dxa"/>
            <w:shd w:val="clear" w:color="auto" w:fill="auto"/>
            <w:noWrap/>
            <w:vAlign w:val="center"/>
          </w:tcPr>
          <w:p w14:paraId="0694263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0.8907</w:t>
            </w:r>
          </w:p>
        </w:tc>
        <w:tc>
          <w:tcPr>
            <w:tcW w:w="1179" w:type="dxa"/>
            <w:shd w:val="clear" w:color="auto" w:fill="auto"/>
            <w:noWrap/>
            <w:vAlign w:val="center"/>
          </w:tcPr>
          <w:p w14:paraId="7C8A75B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0.868</w:t>
            </w:r>
          </w:p>
        </w:tc>
        <w:tc>
          <w:tcPr>
            <w:tcW w:w="1179" w:type="dxa"/>
            <w:shd w:val="clear" w:color="auto" w:fill="auto"/>
            <w:noWrap/>
            <w:vAlign w:val="center"/>
          </w:tcPr>
          <w:p w14:paraId="66D33C6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0.7084</w:t>
            </w:r>
          </w:p>
        </w:tc>
      </w:tr>
      <w:tr w:rsidR="0062768B" w14:paraId="3131E719" w14:textId="77777777">
        <w:trPr>
          <w:cantSplit/>
          <w:jc w:val="center"/>
        </w:trPr>
        <w:tc>
          <w:tcPr>
            <w:tcW w:w="1179" w:type="dxa"/>
            <w:shd w:val="clear" w:color="auto" w:fill="auto"/>
            <w:noWrap/>
            <w:vAlign w:val="center"/>
          </w:tcPr>
          <w:p w14:paraId="4696D91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1.5 </w:t>
            </w:r>
          </w:p>
        </w:tc>
        <w:tc>
          <w:tcPr>
            <w:tcW w:w="1098" w:type="dxa"/>
            <w:shd w:val="clear" w:color="auto" w:fill="auto"/>
            <w:noWrap/>
            <w:vAlign w:val="center"/>
          </w:tcPr>
          <w:p w14:paraId="2413B0E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1.1069</w:t>
            </w:r>
          </w:p>
        </w:tc>
        <w:tc>
          <w:tcPr>
            <w:tcW w:w="1253" w:type="dxa"/>
            <w:shd w:val="clear" w:color="auto" w:fill="auto"/>
            <w:noWrap/>
            <w:vAlign w:val="center"/>
          </w:tcPr>
          <w:p w14:paraId="227694C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1.125</w:t>
            </w:r>
          </w:p>
        </w:tc>
        <w:tc>
          <w:tcPr>
            <w:tcW w:w="1253" w:type="dxa"/>
            <w:shd w:val="clear" w:color="auto" w:fill="auto"/>
            <w:noWrap/>
            <w:vAlign w:val="center"/>
          </w:tcPr>
          <w:p w14:paraId="3A36E16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w:t>
            </w:r>
          </w:p>
        </w:tc>
        <w:tc>
          <w:tcPr>
            <w:tcW w:w="1179" w:type="dxa"/>
            <w:shd w:val="clear" w:color="auto" w:fill="auto"/>
            <w:vAlign w:val="center"/>
          </w:tcPr>
          <w:p w14:paraId="6672D67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6.0 </w:t>
            </w:r>
          </w:p>
        </w:tc>
        <w:tc>
          <w:tcPr>
            <w:tcW w:w="979" w:type="dxa"/>
            <w:shd w:val="clear" w:color="auto" w:fill="auto"/>
            <w:noWrap/>
            <w:vAlign w:val="center"/>
          </w:tcPr>
          <w:p w14:paraId="5E9B1C4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0.8889</w:t>
            </w:r>
          </w:p>
        </w:tc>
        <w:tc>
          <w:tcPr>
            <w:tcW w:w="1179" w:type="dxa"/>
            <w:shd w:val="clear" w:color="auto" w:fill="auto"/>
            <w:noWrap/>
            <w:vAlign w:val="center"/>
          </w:tcPr>
          <w:p w14:paraId="7F97AED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0.8658</w:t>
            </w:r>
          </w:p>
        </w:tc>
        <w:tc>
          <w:tcPr>
            <w:tcW w:w="1179" w:type="dxa"/>
            <w:shd w:val="clear" w:color="auto" w:fill="auto"/>
            <w:noWrap/>
            <w:vAlign w:val="center"/>
          </w:tcPr>
          <w:p w14:paraId="791B8E6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0.7055</w:t>
            </w:r>
          </w:p>
        </w:tc>
      </w:tr>
      <w:tr w:rsidR="0062768B" w14:paraId="50920724" w14:textId="77777777">
        <w:trPr>
          <w:cantSplit/>
          <w:jc w:val="center"/>
        </w:trPr>
        <w:tc>
          <w:tcPr>
            <w:tcW w:w="1179" w:type="dxa"/>
            <w:shd w:val="clear" w:color="auto" w:fill="auto"/>
            <w:noWrap/>
            <w:vAlign w:val="center"/>
          </w:tcPr>
          <w:p w14:paraId="627B650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1.6 </w:t>
            </w:r>
          </w:p>
        </w:tc>
        <w:tc>
          <w:tcPr>
            <w:tcW w:w="1098" w:type="dxa"/>
            <w:shd w:val="clear" w:color="auto" w:fill="auto"/>
            <w:noWrap/>
            <w:vAlign w:val="center"/>
          </w:tcPr>
          <w:p w14:paraId="32E07BB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1.0929</w:t>
            </w:r>
          </w:p>
        </w:tc>
        <w:tc>
          <w:tcPr>
            <w:tcW w:w="1253" w:type="dxa"/>
            <w:shd w:val="clear" w:color="auto" w:fill="auto"/>
            <w:noWrap/>
            <w:vAlign w:val="center"/>
          </w:tcPr>
          <w:p w14:paraId="68F5F23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1.1087</w:t>
            </w:r>
          </w:p>
        </w:tc>
        <w:tc>
          <w:tcPr>
            <w:tcW w:w="1253" w:type="dxa"/>
            <w:shd w:val="clear" w:color="auto" w:fill="auto"/>
            <w:noWrap/>
            <w:vAlign w:val="center"/>
          </w:tcPr>
          <w:p w14:paraId="3E5A1BA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0.9823</w:t>
            </w:r>
          </w:p>
        </w:tc>
        <w:tc>
          <w:tcPr>
            <w:tcW w:w="1179" w:type="dxa"/>
            <w:shd w:val="clear" w:color="auto" w:fill="auto"/>
            <w:vAlign w:val="center"/>
          </w:tcPr>
          <w:p w14:paraId="21E45A5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6.1 </w:t>
            </w:r>
          </w:p>
        </w:tc>
        <w:tc>
          <w:tcPr>
            <w:tcW w:w="979" w:type="dxa"/>
            <w:shd w:val="clear" w:color="auto" w:fill="auto"/>
            <w:noWrap/>
            <w:vAlign w:val="center"/>
          </w:tcPr>
          <w:p w14:paraId="506AB90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0.8871</w:t>
            </w:r>
          </w:p>
        </w:tc>
        <w:tc>
          <w:tcPr>
            <w:tcW w:w="1179" w:type="dxa"/>
            <w:shd w:val="clear" w:color="auto" w:fill="auto"/>
            <w:noWrap/>
            <w:vAlign w:val="center"/>
          </w:tcPr>
          <w:p w14:paraId="29496AA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0.8636</w:t>
            </w:r>
          </w:p>
        </w:tc>
        <w:tc>
          <w:tcPr>
            <w:tcW w:w="1179" w:type="dxa"/>
            <w:shd w:val="clear" w:color="auto" w:fill="auto"/>
            <w:noWrap/>
            <w:vAlign w:val="center"/>
          </w:tcPr>
          <w:p w14:paraId="008D877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0.7027</w:t>
            </w:r>
          </w:p>
        </w:tc>
      </w:tr>
      <w:tr w:rsidR="0062768B" w14:paraId="62E643E5" w14:textId="77777777">
        <w:trPr>
          <w:cantSplit/>
          <w:jc w:val="center"/>
        </w:trPr>
        <w:tc>
          <w:tcPr>
            <w:tcW w:w="1179" w:type="dxa"/>
            <w:shd w:val="clear" w:color="auto" w:fill="auto"/>
            <w:noWrap/>
            <w:vAlign w:val="center"/>
          </w:tcPr>
          <w:p w14:paraId="0D28CB0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1.7 </w:t>
            </w:r>
          </w:p>
        </w:tc>
        <w:tc>
          <w:tcPr>
            <w:tcW w:w="1098" w:type="dxa"/>
            <w:shd w:val="clear" w:color="auto" w:fill="auto"/>
            <w:noWrap/>
            <w:vAlign w:val="center"/>
          </w:tcPr>
          <w:p w14:paraId="7102379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1.0798</w:t>
            </w:r>
          </w:p>
        </w:tc>
        <w:tc>
          <w:tcPr>
            <w:tcW w:w="1253" w:type="dxa"/>
            <w:shd w:val="clear" w:color="auto" w:fill="auto"/>
            <w:noWrap/>
            <w:vAlign w:val="center"/>
          </w:tcPr>
          <w:p w14:paraId="7D1A95F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1.0934</w:t>
            </w:r>
          </w:p>
        </w:tc>
        <w:tc>
          <w:tcPr>
            <w:tcW w:w="1253" w:type="dxa"/>
            <w:shd w:val="clear" w:color="auto" w:fill="auto"/>
            <w:noWrap/>
            <w:vAlign w:val="center"/>
          </w:tcPr>
          <w:p w14:paraId="7FF7C19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0.9656</w:t>
            </w:r>
          </w:p>
        </w:tc>
        <w:tc>
          <w:tcPr>
            <w:tcW w:w="1179" w:type="dxa"/>
            <w:shd w:val="clear" w:color="auto" w:fill="auto"/>
            <w:vAlign w:val="center"/>
          </w:tcPr>
          <w:p w14:paraId="5ECA220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6.2 </w:t>
            </w:r>
          </w:p>
        </w:tc>
        <w:tc>
          <w:tcPr>
            <w:tcW w:w="979" w:type="dxa"/>
            <w:shd w:val="clear" w:color="auto" w:fill="auto"/>
            <w:noWrap/>
            <w:vAlign w:val="center"/>
          </w:tcPr>
          <w:p w14:paraId="0B89647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0.8853</w:t>
            </w:r>
          </w:p>
        </w:tc>
        <w:tc>
          <w:tcPr>
            <w:tcW w:w="1179" w:type="dxa"/>
            <w:shd w:val="clear" w:color="auto" w:fill="auto"/>
            <w:noWrap/>
            <w:vAlign w:val="center"/>
          </w:tcPr>
          <w:p w14:paraId="30DF892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0.8614</w:t>
            </w:r>
          </w:p>
        </w:tc>
        <w:tc>
          <w:tcPr>
            <w:tcW w:w="1179" w:type="dxa"/>
            <w:shd w:val="clear" w:color="auto" w:fill="auto"/>
            <w:noWrap/>
            <w:vAlign w:val="center"/>
          </w:tcPr>
          <w:p w14:paraId="0A9DCDA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0.6999</w:t>
            </w:r>
          </w:p>
        </w:tc>
      </w:tr>
      <w:tr w:rsidR="0062768B" w14:paraId="4A3DEBC2" w14:textId="77777777">
        <w:trPr>
          <w:cantSplit/>
          <w:jc w:val="center"/>
        </w:trPr>
        <w:tc>
          <w:tcPr>
            <w:tcW w:w="1179" w:type="dxa"/>
            <w:shd w:val="clear" w:color="auto" w:fill="auto"/>
            <w:noWrap/>
            <w:vAlign w:val="center"/>
          </w:tcPr>
          <w:p w14:paraId="36C7A10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1.8 </w:t>
            </w:r>
          </w:p>
        </w:tc>
        <w:tc>
          <w:tcPr>
            <w:tcW w:w="1098" w:type="dxa"/>
            <w:shd w:val="clear" w:color="auto" w:fill="auto"/>
            <w:noWrap/>
            <w:vAlign w:val="center"/>
          </w:tcPr>
          <w:p w14:paraId="237A490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1.0675</w:t>
            </w:r>
          </w:p>
        </w:tc>
        <w:tc>
          <w:tcPr>
            <w:tcW w:w="1253" w:type="dxa"/>
            <w:shd w:val="clear" w:color="auto" w:fill="auto"/>
            <w:noWrap/>
            <w:vAlign w:val="center"/>
          </w:tcPr>
          <w:p w14:paraId="2550CBE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1.0791</w:t>
            </w:r>
          </w:p>
        </w:tc>
        <w:tc>
          <w:tcPr>
            <w:tcW w:w="1253" w:type="dxa"/>
            <w:shd w:val="clear" w:color="auto" w:fill="auto"/>
            <w:noWrap/>
            <w:vAlign w:val="center"/>
          </w:tcPr>
          <w:p w14:paraId="27AAB9B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0.9499</w:t>
            </w:r>
          </w:p>
        </w:tc>
        <w:tc>
          <w:tcPr>
            <w:tcW w:w="1179" w:type="dxa"/>
            <w:shd w:val="clear" w:color="auto" w:fill="auto"/>
            <w:vAlign w:val="center"/>
          </w:tcPr>
          <w:p w14:paraId="5BA2F9F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6.3 </w:t>
            </w:r>
          </w:p>
        </w:tc>
        <w:tc>
          <w:tcPr>
            <w:tcW w:w="979" w:type="dxa"/>
            <w:shd w:val="clear" w:color="auto" w:fill="auto"/>
            <w:noWrap/>
            <w:vAlign w:val="center"/>
          </w:tcPr>
          <w:p w14:paraId="165D69A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0.8835</w:t>
            </w:r>
          </w:p>
        </w:tc>
        <w:tc>
          <w:tcPr>
            <w:tcW w:w="1179" w:type="dxa"/>
            <w:shd w:val="clear" w:color="auto" w:fill="auto"/>
            <w:noWrap/>
            <w:vAlign w:val="center"/>
          </w:tcPr>
          <w:p w14:paraId="18ABFAF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0.8592</w:t>
            </w:r>
          </w:p>
        </w:tc>
        <w:tc>
          <w:tcPr>
            <w:tcW w:w="1179" w:type="dxa"/>
            <w:shd w:val="clear" w:color="auto" w:fill="auto"/>
            <w:noWrap/>
            <w:vAlign w:val="center"/>
          </w:tcPr>
          <w:p w14:paraId="18C7F63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0.6971</w:t>
            </w:r>
          </w:p>
        </w:tc>
      </w:tr>
      <w:tr w:rsidR="0062768B" w14:paraId="1506C097" w14:textId="77777777">
        <w:trPr>
          <w:cantSplit/>
          <w:jc w:val="center"/>
        </w:trPr>
        <w:tc>
          <w:tcPr>
            <w:tcW w:w="1179" w:type="dxa"/>
            <w:shd w:val="clear" w:color="auto" w:fill="auto"/>
            <w:noWrap/>
            <w:vAlign w:val="center"/>
          </w:tcPr>
          <w:p w14:paraId="448A3F6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1.9 </w:t>
            </w:r>
          </w:p>
        </w:tc>
        <w:tc>
          <w:tcPr>
            <w:tcW w:w="1098" w:type="dxa"/>
            <w:shd w:val="clear" w:color="auto" w:fill="auto"/>
            <w:noWrap/>
            <w:vAlign w:val="center"/>
          </w:tcPr>
          <w:p w14:paraId="06AF28A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1.0558</w:t>
            </w:r>
          </w:p>
        </w:tc>
        <w:tc>
          <w:tcPr>
            <w:tcW w:w="1253" w:type="dxa"/>
            <w:shd w:val="clear" w:color="auto" w:fill="auto"/>
            <w:noWrap/>
            <w:vAlign w:val="center"/>
          </w:tcPr>
          <w:p w14:paraId="08B7B7D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1.0655</w:t>
            </w:r>
          </w:p>
        </w:tc>
        <w:tc>
          <w:tcPr>
            <w:tcW w:w="1253" w:type="dxa"/>
            <w:shd w:val="clear" w:color="auto" w:fill="auto"/>
            <w:noWrap/>
            <w:vAlign w:val="center"/>
          </w:tcPr>
          <w:p w14:paraId="0B152BF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0.9352</w:t>
            </w:r>
          </w:p>
        </w:tc>
        <w:tc>
          <w:tcPr>
            <w:tcW w:w="1179" w:type="dxa"/>
            <w:shd w:val="clear" w:color="auto" w:fill="auto"/>
            <w:vAlign w:val="center"/>
          </w:tcPr>
          <w:p w14:paraId="46439F2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6.4 </w:t>
            </w:r>
          </w:p>
        </w:tc>
        <w:tc>
          <w:tcPr>
            <w:tcW w:w="979" w:type="dxa"/>
            <w:shd w:val="clear" w:color="auto" w:fill="auto"/>
            <w:noWrap/>
            <w:vAlign w:val="center"/>
          </w:tcPr>
          <w:p w14:paraId="2B3D9CD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0.8818</w:t>
            </w:r>
          </w:p>
        </w:tc>
        <w:tc>
          <w:tcPr>
            <w:tcW w:w="1179" w:type="dxa"/>
            <w:shd w:val="clear" w:color="auto" w:fill="auto"/>
            <w:noWrap/>
            <w:vAlign w:val="center"/>
          </w:tcPr>
          <w:p w14:paraId="75B7DA9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0.857</w:t>
            </w:r>
          </w:p>
        </w:tc>
        <w:tc>
          <w:tcPr>
            <w:tcW w:w="1179" w:type="dxa"/>
            <w:shd w:val="clear" w:color="auto" w:fill="auto"/>
            <w:noWrap/>
            <w:vAlign w:val="center"/>
          </w:tcPr>
          <w:p w14:paraId="2949F34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0.6943</w:t>
            </w:r>
          </w:p>
        </w:tc>
      </w:tr>
      <w:tr w:rsidR="0062768B" w14:paraId="6F4E12D9" w14:textId="77777777">
        <w:trPr>
          <w:cantSplit/>
          <w:jc w:val="center"/>
        </w:trPr>
        <w:tc>
          <w:tcPr>
            <w:tcW w:w="1179" w:type="dxa"/>
            <w:shd w:val="clear" w:color="auto" w:fill="auto"/>
            <w:noWrap/>
            <w:vAlign w:val="center"/>
          </w:tcPr>
          <w:p w14:paraId="3F17138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2.0 </w:t>
            </w:r>
          </w:p>
        </w:tc>
        <w:tc>
          <w:tcPr>
            <w:tcW w:w="1098" w:type="dxa"/>
            <w:shd w:val="clear" w:color="auto" w:fill="auto"/>
            <w:noWrap/>
            <w:vAlign w:val="center"/>
          </w:tcPr>
          <w:p w14:paraId="735433F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1.045</w:t>
            </w:r>
          </w:p>
        </w:tc>
        <w:tc>
          <w:tcPr>
            <w:tcW w:w="1253" w:type="dxa"/>
            <w:shd w:val="clear" w:color="auto" w:fill="auto"/>
            <w:noWrap/>
            <w:vAlign w:val="center"/>
          </w:tcPr>
          <w:p w14:paraId="005AB7D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1.0528</w:t>
            </w:r>
          </w:p>
        </w:tc>
        <w:tc>
          <w:tcPr>
            <w:tcW w:w="1253" w:type="dxa"/>
            <w:shd w:val="clear" w:color="auto" w:fill="auto"/>
            <w:noWrap/>
            <w:vAlign w:val="center"/>
          </w:tcPr>
          <w:p w14:paraId="334A972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0.9213</w:t>
            </w:r>
          </w:p>
        </w:tc>
        <w:tc>
          <w:tcPr>
            <w:tcW w:w="1179" w:type="dxa"/>
            <w:shd w:val="clear" w:color="auto" w:fill="auto"/>
            <w:vAlign w:val="center"/>
          </w:tcPr>
          <w:p w14:paraId="4F9699C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6.5 </w:t>
            </w:r>
          </w:p>
        </w:tc>
        <w:tc>
          <w:tcPr>
            <w:tcW w:w="979" w:type="dxa"/>
            <w:shd w:val="clear" w:color="auto" w:fill="auto"/>
            <w:noWrap/>
            <w:vAlign w:val="center"/>
          </w:tcPr>
          <w:p w14:paraId="5F9635E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0.8801</w:t>
            </w:r>
          </w:p>
        </w:tc>
        <w:tc>
          <w:tcPr>
            <w:tcW w:w="1179" w:type="dxa"/>
            <w:shd w:val="clear" w:color="auto" w:fill="auto"/>
            <w:noWrap/>
            <w:vAlign w:val="center"/>
          </w:tcPr>
          <w:p w14:paraId="209E5A6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0.8549</w:t>
            </w:r>
          </w:p>
        </w:tc>
        <w:tc>
          <w:tcPr>
            <w:tcW w:w="1179" w:type="dxa"/>
            <w:shd w:val="clear" w:color="auto" w:fill="auto"/>
            <w:noWrap/>
            <w:vAlign w:val="center"/>
          </w:tcPr>
          <w:p w14:paraId="75FFBEF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0.6916</w:t>
            </w:r>
          </w:p>
        </w:tc>
      </w:tr>
      <w:tr w:rsidR="0062768B" w14:paraId="1B999B8C" w14:textId="77777777">
        <w:trPr>
          <w:cantSplit/>
          <w:jc w:val="center"/>
        </w:trPr>
        <w:tc>
          <w:tcPr>
            <w:tcW w:w="1179" w:type="dxa"/>
            <w:shd w:val="clear" w:color="auto" w:fill="auto"/>
            <w:noWrap/>
            <w:vAlign w:val="center"/>
          </w:tcPr>
          <w:p w14:paraId="2135F84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2.1 </w:t>
            </w:r>
          </w:p>
        </w:tc>
        <w:tc>
          <w:tcPr>
            <w:tcW w:w="1098" w:type="dxa"/>
            <w:shd w:val="clear" w:color="auto" w:fill="auto"/>
            <w:noWrap/>
            <w:vAlign w:val="center"/>
          </w:tcPr>
          <w:p w14:paraId="2E81C55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1.0348</w:t>
            </w:r>
          </w:p>
        </w:tc>
        <w:tc>
          <w:tcPr>
            <w:tcW w:w="1253" w:type="dxa"/>
            <w:shd w:val="clear" w:color="auto" w:fill="auto"/>
            <w:noWrap/>
            <w:vAlign w:val="center"/>
          </w:tcPr>
          <w:p w14:paraId="437C210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1.0408</w:t>
            </w:r>
          </w:p>
        </w:tc>
        <w:tc>
          <w:tcPr>
            <w:tcW w:w="1253" w:type="dxa"/>
            <w:shd w:val="clear" w:color="auto" w:fill="auto"/>
            <w:noWrap/>
            <w:vAlign w:val="center"/>
          </w:tcPr>
          <w:p w14:paraId="0C0CBB0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0.9082</w:t>
            </w:r>
          </w:p>
        </w:tc>
        <w:tc>
          <w:tcPr>
            <w:tcW w:w="1179" w:type="dxa"/>
            <w:shd w:val="clear" w:color="auto" w:fill="auto"/>
            <w:vAlign w:val="center"/>
          </w:tcPr>
          <w:p w14:paraId="5F6FC41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6.6 </w:t>
            </w:r>
          </w:p>
        </w:tc>
        <w:tc>
          <w:tcPr>
            <w:tcW w:w="979" w:type="dxa"/>
            <w:shd w:val="clear" w:color="auto" w:fill="auto"/>
            <w:noWrap/>
            <w:vAlign w:val="center"/>
          </w:tcPr>
          <w:p w14:paraId="5DC1E02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0.8784</w:t>
            </w:r>
          </w:p>
        </w:tc>
        <w:tc>
          <w:tcPr>
            <w:tcW w:w="1179" w:type="dxa"/>
            <w:shd w:val="clear" w:color="auto" w:fill="auto"/>
            <w:noWrap/>
            <w:vAlign w:val="center"/>
          </w:tcPr>
          <w:p w14:paraId="71C0E41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0.8528</w:t>
            </w:r>
          </w:p>
        </w:tc>
        <w:tc>
          <w:tcPr>
            <w:tcW w:w="1179" w:type="dxa"/>
            <w:shd w:val="clear" w:color="auto" w:fill="auto"/>
            <w:noWrap/>
            <w:vAlign w:val="center"/>
          </w:tcPr>
          <w:p w14:paraId="0FFA97A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0.6889</w:t>
            </w:r>
          </w:p>
        </w:tc>
      </w:tr>
      <w:tr w:rsidR="0062768B" w14:paraId="456008C9" w14:textId="77777777">
        <w:trPr>
          <w:cantSplit/>
          <w:jc w:val="center"/>
        </w:trPr>
        <w:tc>
          <w:tcPr>
            <w:tcW w:w="1179" w:type="dxa"/>
            <w:shd w:val="clear" w:color="auto" w:fill="auto"/>
            <w:noWrap/>
            <w:vAlign w:val="center"/>
          </w:tcPr>
          <w:p w14:paraId="6EF0F93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2.2 </w:t>
            </w:r>
          </w:p>
        </w:tc>
        <w:tc>
          <w:tcPr>
            <w:tcW w:w="1098" w:type="dxa"/>
            <w:shd w:val="clear" w:color="auto" w:fill="auto"/>
            <w:noWrap/>
            <w:vAlign w:val="center"/>
          </w:tcPr>
          <w:p w14:paraId="2D95850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1.0252</w:t>
            </w:r>
          </w:p>
        </w:tc>
        <w:tc>
          <w:tcPr>
            <w:tcW w:w="1253" w:type="dxa"/>
            <w:shd w:val="clear" w:color="auto" w:fill="auto"/>
            <w:noWrap/>
            <w:vAlign w:val="center"/>
          </w:tcPr>
          <w:p w14:paraId="5C1D337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1.0296</w:t>
            </w:r>
          </w:p>
        </w:tc>
        <w:tc>
          <w:tcPr>
            <w:tcW w:w="1253" w:type="dxa"/>
            <w:shd w:val="clear" w:color="auto" w:fill="auto"/>
            <w:noWrap/>
            <w:vAlign w:val="center"/>
          </w:tcPr>
          <w:p w14:paraId="674D02F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0.8957</w:t>
            </w:r>
          </w:p>
        </w:tc>
        <w:tc>
          <w:tcPr>
            <w:tcW w:w="1179" w:type="dxa"/>
            <w:shd w:val="clear" w:color="auto" w:fill="auto"/>
            <w:vAlign w:val="center"/>
          </w:tcPr>
          <w:p w14:paraId="1078E08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6.7 </w:t>
            </w:r>
          </w:p>
        </w:tc>
        <w:tc>
          <w:tcPr>
            <w:tcW w:w="979" w:type="dxa"/>
            <w:shd w:val="clear" w:color="auto" w:fill="auto"/>
            <w:noWrap/>
            <w:vAlign w:val="center"/>
          </w:tcPr>
          <w:p w14:paraId="084995F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0.8767</w:t>
            </w:r>
          </w:p>
        </w:tc>
        <w:tc>
          <w:tcPr>
            <w:tcW w:w="1179" w:type="dxa"/>
            <w:shd w:val="clear" w:color="auto" w:fill="auto"/>
            <w:noWrap/>
            <w:vAlign w:val="center"/>
          </w:tcPr>
          <w:p w14:paraId="0A0B348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0.8507</w:t>
            </w:r>
          </w:p>
        </w:tc>
        <w:tc>
          <w:tcPr>
            <w:tcW w:w="1179" w:type="dxa"/>
            <w:shd w:val="clear" w:color="auto" w:fill="auto"/>
            <w:noWrap/>
            <w:vAlign w:val="center"/>
          </w:tcPr>
          <w:p w14:paraId="6AEA9B9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0.6862</w:t>
            </w:r>
          </w:p>
        </w:tc>
      </w:tr>
      <w:tr w:rsidR="0062768B" w14:paraId="091705B1" w14:textId="77777777">
        <w:trPr>
          <w:cantSplit/>
          <w:jc w:val="center"/>
        </w:trPr>
        <w:tc>
          <w:tcPr>
            <w:tcW w:w="1179" w:type="dxa"/>
            <w:shd w:val="clear" w:color="auto" w:fill="auto"/>
            <w:noWrap/>
            <w:vAlign w:val="center"/>
          </w:tcPr>
          <w:p w14:paraId="103DD68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2.3 </w:t>
            </w:r>
          </w:p>
        </w:tc>
        <w:tc>
          <w:tcPr>
            <w:tcW w:w="1098" w:type="dxa"/>
            <w:shd w:val="clear" w:color="auto" w:fill="auto"/>
            <w:noWrap/>
            <w:vAlign w:val="center"/>
          </w:tcPr>
          <w:p w14:paraId="2F5B7B7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1.0162</w:t>
            </w:r>
          </w:p>
        </w:tc>
        <w:tc>
          <w:tcPr>
            <w:tcW w:w="1253" w:type="dxa"/>
            <w:shd w:val="clear" w:color="auto" w:fill="auto"/>
            <w:noWrap/>
            <w:vAlign w:val="center"/>
          </w:tcPr>
          <w:p w14:paraId="639B70B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1.0191</w:t>
            </w:r>
          </w:p>
        </w:tc>
        <w:tc>
          <w:tcPr>
            <w:tcW w:w="1253" w:type="dxa"/>
            <w:shd w:val="clear" w:color="auto" w:fill="auto"/>
            <w:noWrap/>
            <w:vAlign w:val="center"/>
          </w:tcPr>
          <w:p w14:paraId="5D3F43E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0.8842</w:t>
            </w:r>
          </w:p>
        </w:tc>
        <w:tc>
          <w:tcPr>
            <w:tcW w:w="1179" w:type="dxa"/>
            <w:shd w:val="clear" w:color="auto" w:fill="auto"/>
            <w:vAlign w:val="center"/>
          </w:tcPr>
          <w:p w14:paraId="5F1D4D6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6.8 </w:t>
            </w:r>
          </w:p>
        </w:tc>
        <w:tc>
          <w:tcPr>
            <w:tcW w:w="979" w:type="dxa"/>
            <w:shd w:val="clear" w:color="auto" w:fill="auto"/>
            <w:noWrap/>
            <w:vAlign w:val="center"/>
          </w:tcPr>
          <w:p w14:paraId="022E9F9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0.875</w:t>
            </w:r>
          </w:p>
        </w:tc>
        <w:tc>
          <w:tcPr>
            <w:tcW w:w="1179" w:type="dxa"/>
            <w:shd w:val="clear" w:color="auto" w:fill="auto"/>
            <w:noWrap/>
            <w:vAlign w:val="center"/>
          </w:tcPr>
          <w:p w14:paraId="51AD286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0.8486</w:t>
            </w:r>
          </w:p>
        </w:tc>
        <w:tc>
          <w:tcPr>
            <w:tcW w:w="1179" w:type="dxa"/>
            <w:shd w:val="clear" w:color="auto" w:fill="auto"/>
            <w:noWrap/>
            <w:vAlign w:val="center"/>
          </w:tcPr>
          <w:p w14:paraId="7AF44C1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0.6835</w:t>
            </w:r>
          </w:p>
        </w:tc>
      </w:tr>
      <w:tr w:rsidR="0062768B" w14:paraId="7E57A7B4" w14:textId="77777777">
        <w:trPr>
          <w:cantSplit/>
          <w:jc w:val="center"/>
        </w:trPr>
        <w:tc>
          <w:tcPr>
            <w:tcW w:w="1179" w:type="dxa"/>
            <w:shd w:val="clear" w:color="auto" w:fill="auto"/>
            <w:noWrap/>
            <w:vAlign w:val="center"/>
          </w:tcPr>
          <w:p w14:paraId="5341FEC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2.4 </w:t>
            </w:r>
          </w:p>
        </w:tc>
        <w:tc>
          <w:tcPr>
            <w:tcW w:w="1098" w:type="dxa"/>
            <w:shd w:val="clear" w:color="auto" w:fill="auto"/>
            <w:noWrap/>
            <w:vAlign w:val="center"/>
          </w:tcPr>
          <w:p w14:paraId="25D85AA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1.0078</w:t>
            </w:r>
          </w:p>
        </w:tc>
        <w:tc>
          <w:tcPr>
            <w:tcW w:w="1253" w:type="dxa"/>
            <w:shd w:val="clear" w:color="auto" w:fill="auto"/>
            <w:noWrap/>
            <w:vAlign w:val="center"/>
          </w:tcPr>
          <w:p w14:paraId="781ABF9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1.0092</w:t>
            </w:r>
          </w:p>
        </w:tc>
        <w:tc>
          <w:tcPr>
            <w:tcW w:w="1253" w:type="dxa"/>
            <w:shd w:val="clear" w:color="auto" w:fill="auto"/>
            <w:noWrap/>
            <w:vAlign w:val="center"/>
          </w:tcPr>
          <w:p w14:paraId="3535C90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0.8733</w:t>
            </w:r>
          </w:p>
        </w:tc>
        <w:tc>
          <w:tcPr>
            <w:tcW w:w="1179" w:type="dxa"/>
            <w:shd w:val="clear" w:color="auto" w:fill="auto"/>
            <w:vAlign w:val="center"/>
          </w:tcPr>
          <w:p w14:paraId="6B6E911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6.9 </w:t>
            </w:r>
          </w:p>
        </w:tc>
        <w:tc>
          <w:tcPr>
            <w:tcW w:w="979" w:type="dxa"/>
            <w:shd w:val="clear" w:color="auto" w:fill="auto"/>
            <w:noWrap/>
            <w:vAlign w:val="center"/>
          </w:tcPr>
          <w:p w14:paraId="0BC2423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0.8733</w:t>
            </w:r>
          </w:p>
        </w:tc>
        <w:tc>
          <w:tcPr>
            <w:tcW w:w="1179" w:type="dxa"/>
            <w:shd w:val="clear" w:color="auto" w:fill="auto"/>
            <w:noWrap/>
            <w:vAlign w:val="center"/>
          </w:tcPr>
          <w:p w14:paraId="3672AD1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0.8465</w:t>
            </w:r>
          </w:p>
        </w:tc>
        <w:tc>
          <w:tcPr>
            <w:tcW w:w="1179" w:type="dxa"/>
            <w:shd w:val="clear" w:color="auto" w:fill="auto"/>
            <w:noWrap/>
            <w:vAlign w:val="center"/>
          </w:tcPr>
          <w:p w14:paraId="686824C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0.6809</w:t>
            </w:r>
          </w:p>
        </w:tc>
      </w:tr>
      <w:tr w:rsidR="0062768B" w14:paraId="3C20B209" w14:textId="77777777">
        <w:trPr>
          <w:cantSplit/>
          <w:jc w:val="center"/>
        </w:trPr>
        <w:tc>
          <w:tcPr>
            <w:tcW w:w="1179" w:type="dxa"/>
            <w:shd w:val="clear" w:color="auto" w:fill="auto"/>
            <w:noWrap/>
            <w:vAlign w:val="center"/>
          </w:tcPr>
          <w:p w14:paraId="03C9943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2.5 </w:t>
            </w:r>
          </w:p>
        </w:tc>
        <w:tc>
          <w:tcPr>
            <w:tcW w:w="1098" w:type="dxa"/>
            <w:shd w:val="clear" w:color="auto" w:fill="auto"/>
            <w:noWrap/>
            <w:vAlign w:val="center"/>
          </w:tcPr>
          <w:p w14:paraId="6746A93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w:t>
            </w:r>
          </w:p>
        </w:tc>
        <w:tc>
          <w:tcPr>
            <w:tcW w:w="1253" w:type="dxa"/>
            <w:shd w:val="clear" w:color="auto" w:fill="auto"/>
            <w:noWrap/>
            <w:vAlign w:val="center"/>
          </w:tcPr>
          <w:p w14:paraId="1CD66A2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w:t>
            </w:r>
          </w:p>
        </w:tc>
        <w:tc>
          <w:tcPr>
            <w:tcW w:w="1253" w:type="dxa"/>
            <w:shd w:val="clear" w:color="auto" w:fill="auto"/>
            <w:noWrap/>
            <w:vAlign w:val="center"/>
          </w:tcPr>
          <w:p w14:paraId="68B3962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0.863</w:t>
            </w:r>
          </w:p>
        </w:tc>
        <w:tc>
          <w:tcPr>
            <w:tcW w:w="1179" w:type="dxa"/>
            <w:shd w:val="clear" w:color="auto" w:fill="auto"/>
            <w:vAlign w:val="center"/>
          </w:tcPr>
          <w:p w14:paraId="4C9498F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7.0 </w:t>
            </w:r>
          </w:p>
        </w:tc>
        <w:tc>
          <w:tcPr>
            <w:tcW w:w="979" w:type="dxa"/>
            <w:shd w:val="clear" w:color="auto" w:fill="auto"/>
            <w:noWrap/>
            <w:vAlign w:val="center"/>
          </w:tcPr>
          <w:p w14:paraId="7BBDB93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0.8717</w:t>
            </w:r>
          </w:p>
        </w:tc>
        <w:tc>
          <w:tcPr>
            <w:tcW w:w="1179" w:type="dxa"/>
            <w:shd w:val="clear" w:color="auto" w:fill="auto"/>
            <w:noWrap/>
            <w:vAlign w:val="center"/>
          </w:tcPr>
          <w:p w14:paraId="3877394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0.8445</w:t>
            </w:r>
          </w:p>
        </w:tc>
        <w:tc>
          <w:tcPr>
            <w:tcW w:w="1179" w:type="dxa"/>
            <w:shd w:val="clear" w:color="auto" w:fill="auto"/>
            <w:noWrap/>
            <w:vAlign w:val="center"/>
          </w:tcPr>
          <w:p w14:paraId="50DCA7D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0.6783</w:t>
            </w:r>
          </w:p>
        </w:tc>
      </w:tr>
      <w:tr w:rsidR="0062768B" w14:paraId="48713E1C" w14:textId="77777777">
        <w:trPr>
          <w:cantSplit/>
          <w:jc w:val="center"/>
        </w:trPr>
        <w:tc>
          <w:tcPr>
            <w:tcW w:w="1179" w:type="dxa"/>
            <w:shd w:val="clear" w:color="auto" w:fill="auto"/>
            <w:noWrap/>
            <w:vAlign w:val="center"/>
          </w:tcPr>
          <w:p w14:paraId="4D5ADA8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2.6 </w:t>
            </w:r>
          </w:p>
        </w:tc>
        <w:tc>
          <w:tcPr>
            <w:tcW w:w="1098" w:type="dxa"/>
            <w:shd w:val="clear" w:color="auto" w:fill="auto"/>
            <w:noWrap/>
            <w:vAlign w:val="center"/>
          </w:tcPr>
          <w:p w14:paraId="317F913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0.9927</w:t>
            </w:r>
          </w:p>
        </w:tc>
        <w:tc>
          <w:tcPr>
            <w:tcW w:w="1253" w:type="dxa"/>
            <w:shd w:val="clear" w:color="auto" w:fill="auto"/>
            <w:noWrap/>
            <w:vAlign w:val="center"/>
          </w:tcPr>
          <w:p w14:paraId="05F3C39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0.9914</w:t>
            </w:r>
          </w:p>
        </w:tc>
        <w:tc>
          <w:tcPr>
            <w:tcW w:w="1253" w:type="dxa"/>
            <w:shd w:val="clear" w:color="auto" w:fill="auto"/>
            <w:noWrap/>
            <w:vAlign w:val="center"/>
          </w:tcPr>
          <w:p w14:paraId="73A2C64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0.8534</w:t>
            </w:r>
          </w:p>
        </w:tc>
        <w:tc>
          <w:tcPr>
            <w:tcW w:w="1179" w:type="dxa"/>
            <w:shd w:val="clear" w:color="auto" w:fill="auto"/>
            <w:vAlign w:val="center"/>
          </w:tcPr>
          <w:p w14:paraId="469C7C0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7.1 </w:t>
            </w:r>
          </w:p>
        </w:tc>
        <w:tc>
          <w:tcPr>
            <w:tcW w:w="979" w:type="dxa"/>
            <w:shd w:val="clear" w:color="auto" w:fill="auto"/>
            <w:noWrap/>
            <w:vAlign w:val="center"/>
          </w:tcPr>
          <w:p w14:paraId="7C4E552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0.8701</w:t>
            </w:r>
          </w:p>
        </w:tc>
        <w:tc>
          <w:tcPr>
            <w:tcW w:w="1179" w:type="dxa"/>
            <w:shd w:val="clear" w:color="auto" w:fill="auto"/>
            <w:noWrap/>
            <w:vAlign w:val="center"/>
          </w:tcPr>
          <w:p w14:paraId="6426BA9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0.8425</w:t>
            </w:r>
          </w:p>
        </w:tc>
        <w:tc>
          <w:tcPr>
            <w:tcW w:w="1179" w:type="dxa"/>
            <w:shd w:val="clear" w:color="auto" w:fill="auto"/>
            <w:noWrap/>
            <w:vAlign w:val="center"/>
          </w:tcPr>
          <w:p w14:paraId="3CD1673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0.6757</w:t>
            </w:r>
          </w:p>
        </w:tc>
      </w:tr>
      <w:tr w:rsidR="0062768B" w14:paraId="7F6A7569" w14:textId="77777777">
        <w:trPr>
          <w:cantSplit/>
          <w:jc w:val="center"/>
        </w:trPr>
        <w:tc>
          <w:tcPr>
            <w:tcW w:w="1179" w:type="dxa"/>
            <w:shd w:val="clear" w:color="auto" w:fill="auto"/>
            <w:noWrap/>
            <w:vAlign w:val="center"/>
          </w:tcPr>
          <w:p w14:paraId="3B689A8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2.7 </w:t>
            </w:r>
          </w:p>
        </w:tc>
        <w:tc>
          <w:tcPr>
            <w:tcW w:w="1098" w:type="dxa"/>
            <w:shd w:val="clear" w:color="auto" w:fill="auto"/>
            <w:noWrap/>
            <w:vAlign w:val="center"/>
          </w:tcPr>
          <w:p w14:paraId="36FE000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0.9858</w:t>
            </w:r>
          </w:p>
        </w:tc>
        <w:tc>
          <w:tcPr>
            <w:tcW w:w="1253" w:type="dxa"/>
            <w:shd w:val="clear" w:color="auto" w:fill="auto"/>
            <w:noWrap/>
            <w:vAlign w:val="center"/>
          </w:tcPr>
          <w:p w14:paraId="49538FC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0.9833</w:t>
            </w:r>
          </w:p>
        </w:tc>
        <w:tc>
          <w:tcPr>
            <w:tcW w:w="1253" w:type="dxa"/>
            <w:shd w:val="clear" w:color="auto" w:fill="auto"/>
            <w:noWrap/>
            <w:vAlign w:val="center"/>
          </w:tcPr>
          <w:p w14:paraId="25BF24C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0.8444</w:t>
            </w:r>
          </w:p>
        </w:tc>
        <w:tc>
          <w:tcPr>
            <w:tcW w:w="1179" w:type="dxa"/>
            <w:shd w:val="clear" w:color="auto" w:fill="auto"/>
            <w:vAlign w:val="center"/>
          </w:tcPr>
          <w:p w14:paraId="30F2A03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7.2 </w:t>
            </w:r>
          </w:p>
        </w:tc>
        <w:tc>
          <w:tcPr>
            <w:tcW w:w="979" w:type="dxa"/>
            <w:shd w:val="clear" w:color="auto" w:fill="auto"/>
            <w:noWrap/>
            <w:vAlign w:val="center"/>
          </w:tcPr>
          <w:p w14:paraId="66F9211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0.8685</w:t>
            </w:r>
          </w:p>
        </w:tc>
        <w:tc>
          <w:tcPr>
            <w:tcW w:w="1179" w:type="dxa"/>
            <w:shd w:val="clear" w:color="auto" w:fill="auto"/>
            <w:noWrap/>
            <w:vAlign w:val="center"/>
          </w:tcPr>
          <w:p w14:paraId="7E784C2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0.8405</w:t>
            </w:r>
          </w:p>
        </w:tc>
        <w:tc>
          <w:tcPr>
            <w:tcW w:w="1179" w:type="dxa"/>
            <w:shd w:val="clear" w:color="auto" w:fill="auto"/>
            <w:noWrap/>
            <w:vAlign w:val="center"/>
          </w:tcPr>
          <w:p w14:paraId="680E15E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0.6731</w:t>
            </w:r>
          </w:p>
        </w:tc>
      </w:tr>
      <w:tr w:rsidR="0062768B" w14:paraId="0A58B8DB" w14:textId="77777777">
        <w:trPr>
          <w:cantSplit/>
          <w:jc w:val="center"/>
        </w:trPr>
        <w:tc>
          <w:tcPr>
            <w:tcW w:w="1179" w:type="dxa"/>
            <w:shd w:val="clear" w:color="auto" w:fill="auto"/>
            <w:noWrap/>
            <w:vAlign w:val="center"/>
          </w:tcPr>
          <w:p w14:paraId="3227361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2.8 </w:t>
            </w:r>
          </w:p>
        </w:tc>
        <w:tc>
          <w:tcPr>
            <w:tcW w:w="1098" w:type="dxa"/>
            <w:shd w:val="clear" w:color="auto" w:fill="auto"/>
            <w:noWrap/>
            <w:vAlign w:val="center"/>
          </w:tcPr>
          <w:p w14:paraId="25527DB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0.9794</w:t>
            </w:r>
          </w:p>
        </w:tc>
        <w:tc>
          <w:tcPr>
            <w:tcW w:w="1253" w:type="dxa"/>
            <w:shd w:val="clear" w:color="auto" w:fill="auto"/>
            <w:noWrap/>
            <w:vAlign w:val="center"/>
          </w:tcPr>
          <w:p w14:paraId="68AD0D1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0.9757</w:t>
            </w:r>
          </w:p>
        </w:tc>
        <w:tc>
          <w:tcPr>
            <w:tcW w:w="1253" w:type="dxa"/>
            <w:shd w:val="clear" w:color="auto" w:fill="auto"/>
            <w:noWrap/>
            <w:vAlign w:val="center"/>
          </w:tcPr>
          <w:p w14:paraId="51DC667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0.836</w:t>
            </w:r>
          </w:p>
        </w:tc>
        <w:tc>
          <w:tcPr>
            <w:tcW w:w="1179" w:type="dxa"/>
            <w:shd w:val="clear" w:color="auto" w:fill="auto"/>
            <w:vAlign w:val="center"/>
          </w:tcPr>
          <w:p w14:paraId="0F5338F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7.3 </w:t>
            </w:r>
          </w:p>
        </w:tc>
        <w:tc>
          <w:tcPr>
            <w:tcW w:w="979" w:type="dxa"/>
            <w:shd w:val="clear" w:color="auto" w:fill="auto"/>
            <w:noWrap/>
            <w:vAlign w:val="center"/>
          </w:tcPr>
          <w:p w14:paraId="06BD713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0.8669</w:t>
            </w:r>
          </w:p>
        </w:tc>
        <w:tc>
          <w:tcPr>
            <w:tcW w:w="1179" w:type="dxa"/>
            <w:shd w:val="clear" w:color="auto" w:fill="auto"/>
            <w:noWrap/>
            <w:vAlign w:val="center"/>
          </w:tcPr>
          <w:p w14:paraId="2CAD0CC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0.8385</w:t>
            </w:r>
          </w:p>
        </w:tc>
        <w:tc>
          <w:tcPr>
            <w:tcW w:w="1179" w:type="dxa"/>
            <w:shd w:val="clear" w:color="auto" w:fill="auto"/>
            <w:noWrap/>
            <w:vAlign w:val="center"/>
          </w:tcPr>
          <w:p w14:paraId="05CFA77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0.6706</w:t>
            </w:r>
          </w:p>
        </w:tc>
      </w:tr>
      <w:tr w:rsidR="0062768B" w14:paraId="502064DC" w14:textId="77777777">
        <w:trPr>
          <w:cantSplit/>
          <w:jc w:val="center"/>
        </w:trPr>
        <w:tc>
          <w:tcPr>
            <w:tcW w:w="1179" w:type="dxa"/>
            <w:shd w:val="clear" w:color="auto" w:fill="auto"/>
            <w:noWrap/>
            <w:vAlign w:val="center"/>
          </w:tcPr>
          <w:p w14:paraId="08B8729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2.9 </w:t>
            </w:r>
          </w:p>
        </w:tc>
        <w:tc>
          <w:tcPr>
            <w:tcW w:w="1098" w:type="dxa"/>
            <w:shd w:val="clear" w:color="auto" w:fill="auto"/>
            <w:noWrap/>
            <w:vAlign w:val="center"/>
          </w:tcPr>
          <w:p w14:paraId="2711CEB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0.9735</w:t>
            </w:r>
          </w:p>
        </w:tc>
        <w:tc>
          <w:tcPr>
            <w:tcW w:w="1253" w:type="dxa"/>
            <w:shd w:val="clear" w:color="auto" w:fill="auto"/>
            <w:noWrap/>
            <w:vAlign w:val="center"/>
          </w:tcPr>
          <w:p w14:paraId="71335E7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0.9687</w:t>
            </w:r>
          </w:p>
        </w:tc>
        <w:tc>
          <w:tcPr>
            <w:tcW w:w="1253" w:type="dxa"/>
            <w:shd w:val="clear" w:color="auto" w:fill="auto"/>
            <w:noWrap/>
            <w:vAlign w:val="center"/>
          </w:tcPr>
          <w:p w14:paraId="5ABB4F2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0.8282</w:t>
            </w:r>
          </w:p>
        </w:tc>
        <w:tc>
          <w:tcPr>
            <w:tcW w:w="1179" w:type="dxa"/>
            <w:shd w:val="clear" w:color="auto" w:fill="auto"/>
            <w:vAlign w:val="center"/>
          </w:tcPr>
          <w:p w14:paraId="5ED92C5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7.4 </w:t>
            </w:r>
          </w:p>
        </w:tc>
        <w:tc>
          <w:tcPr>
            <w:tcW w:w="979" w:type="dxa"/>
            <w:shd w:val="clear" w:color="auto" w:fill="auto"/>
            <w:noWrap/>
            <w:vAlign w:val="center"/>
          </w:tcPr>
          <w:p w14:paraId="4C85F76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0.8653</w:t>
            </w:r>
          </w:p>
        </w:tc>
        <w:tc>
          <w:tcPr>
            <w:tcW w:w="1179" w:type="dxa"/>
            <w:shd w:val="clear" w:color="auto" w:fill="auto"/>
            <w:noWrap/>
            <w:vAlign w:val="center"/>
          </w:tcPr>
          <w:p w14:paraId="4A709A9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0.8365</w:t>
            </w:r>
          </w:p>
        </w:tc>
        <w:tc>
          <w:tcPr>
            <w:tcW w:w="1179" w:type="dxa"/>
            <w:shd w:val="clear" w:color="auto" w:fill="auto"/>
            <w:noWrap/>
            <w:vAlign w:val="center"/>
          </w:tcPr>
          <w:p w14:paraId="5CE81FF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0.6681</w:t>
            </w:r>
          </w:p>
        </w:tc>
      </w:tr>
      <w:tr w:rsidR="0062768B" w14:paraId="5A66D58A" w14:textId="77777777">
        <w:trPr>
          <w:cantSplit/>
          <w:jc w:val="center"/>
        </w:trPr>
        <w:tc>
          <w:tcPr>
            <w:tcW w:w="1179" w:type="dxa"/>
            <w:shd w:val="clear" w:color="auto" w:fill="auto"/>
            <w:noWrap/>
            <w:vAlign w:val="center"/>
          </w:tcPr>
          <w:p w14:paraId="05CA22F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3.0 </w:t>
            </w:r>
          </w:p>
        </w:tc>
        <w:tc>
          <w:tcPr>
            <w:tcW w:w="1098" w:type="dxa"/>
            <w:shd w:val="clear" w:color="auto" w:fill="auto"/>
            <w:noWrap/>
            <w:vAlign w:val="center"/>
          </w:tcPr>
          <w:p w14:paraId="36AD204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0.9679</w:t>
            </w:r>
          </w:p>
        </w:tc>
        <w:tc>
          <w:tcPr>
            <w:tcW w:w="1253" w:type="dxa"/>
            <w:shd w:val="clear" w:color="auto" w:fill="auto"/>
            <w:noWrap/>
            <w:vAlign w:val="center"/>
          </w:tcPr>
          <w:p w14:paraId="2ABCDC0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0.9621</w:t>
            </w:r>
          </w:p>
        </w:tc>
        <w:tc>
          <w:tcPr>
            <w:tcW w:w="1253" w:type="dxa"/>
            <w:shd w:val="clear" w:color="auto" w:fill="auto"/>
            <w:noWrap/>
            <w:vAlign w:val="center"/>
          </w:tcPr>
          <w:p w14:paraId="2A51B8E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0.8208</w:t>
            </w:r>
          </w:p>
        </w:tc>
        <w:tc>
          <w:tcPr>
            <w:tcW w:w="1179" w:type="dxa"/>
            <w:shd w:val="clear" w:color="auto" w:fill="auto"/>
            <w:vAlign w:val="center"/>
          </w:tcPr>
          <w:p w14:paraId="1C2F773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7.5 </w:t>
            </w:r>
          </w:p>
        </w:tc>
        <w:tc>
          <w:tcPr>
            <w:tcW w:w="979" w:type="dxa"/>
            <w:shd w:val="clear" w:color="auto" w:fill="auto"/>
            <w:noWrap/>
            <w:vAlign w:val="center"/>
          </w:tcPr>
          <w:p w14:paraId="63FE72F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0.8637</w:t>
            </w:r>
          </w:p>
        </w:tc>
        <w:tc>
          <w:tcPr>
            <w:tcW w:w="1179" w:type="dxa"/>
            <w:shd w:val="clear" w:color="auto" w:fill="auto"/>
            <w:noWrap/>
            <w:vAlign w:val="center"/>
          </w:tcPr>
          <w:p w14:paraId="338E629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0.8346</w:t>
            </w:r>
          </w:p>
        </w:tc>
        <w:tc>
          <w:tcPr>
            <w:tcW w:w="1179" w:type="dxa"/>
            <w:shd w:val="clear" w:color="auto" w:fill="auto"/>
            <w:noWrap/>
            <w:vAlign w:val="center"/>
          </w:tcPr>
          <w:p w14:paraId="7868753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0.6656</w:t>
            </w:r>
          </w:p>
        </w:tc>
      </w:tr>
      <w:tr w:rsidR="0062768B" w14:paraId="5F43FC92" w14:textId="77777777">
        <w:trPr>
          <w:cantSplit/>
          <w:jc w:val="center"/>
        </w:trPr>
        <w:tc>
          <w:tcPr>
            <w:tcW w:w="1179" w:type="dxa"/>
            <w:shd w:val="clear" w:color="auto" w:fill="auto"/>
            <w:noWrap/>
            <w:vAlign w:val="center"/>
          </w:tcPr>
          <w:p w14:paraId="361AFF7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3.1 </w:t>
            </w:r>
          </w:p>
        </w:tc>
        <w:tc>
          <w:tcPr>
            <w:tcW w:w="1098" w:type="dxa"/>
            <w:shd w:val="clear" w:color="auto" w:fill="auto"/>
            <w:noWrap/>
            <w:vAlign w:val="center"/>
          </w:tcPr>
          <w:p w14:paraId="44C6C35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0.9627</w:t>
            </w:r>
          </w:p>
        </w:tc>
        <w:tc>
          <w:tcPr>
            <w:tcW w:w="1253" w:type="dxa"/>
            <w:shd w:val="clear" w:color="auto" w:fill="auto"/>
            <w:noWrap/>
            <w:vAlign w:val="center"/>
          </w:tcPr>
          <w:p w14:paraId="1840649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0.9559</w:t>
            </w:r>
          </w:p>
        </w:tc>
        <w:tc>
          <w:tcPr>
            <w:tcW w:w="1253" w:type="dxa"/>
            <w:shd w:val="clear" w:color="auto" w:fill="auto"/>
            <w:noWrap/>
            <w:vAlign w:val="center"/>
          </w:tcPr>
          <w:p w14:paraId="795F4D4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0.8139</w:t>
            </w:r>
          </w:p>
        </w:tc>
        <w:tc>
          <w:tcPr>
            <w:tcW w:w="1179" w:type="dxa"/>
            <w:shd w:val="clear" w:color="auto" w:fill="auto"/>
            <w:vAlign w:val="center"/>
          </w:tcPr>
          <w:p w14:paraId="582513A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7.6</w:t>
            </w:r>
          </w:p>
        </w:tc>
        <w:tc>
          <w:tcPr>
            <w:tcW w:w="979" w:type="dxa"/>
            <w:shd w:val="clear" w:color="auto" w:fill="auto"/>
            <w:noWrap/>
            <w:vAlign w:val="center"/>
          </w:tcPr>
          <w:p w14:paraId="2170E78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0.8622</w:t>
            </w:r>
          </w:p>
        </w:tc>
        <w:tc>
          <w:tcPr>
            <w:tcW w:w="1179" w:type="dxa"/>
            <w:shd w:val="clear" w:color="auto" w:fill="auto"/>
            <w:noWrap/>
            <w:vAlign w:val="center"/>
          </w:tcPr>
          <w:p w14:paraId="036F26C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0.8327</w:t>
            </w:r>
          </w:p>
        </w:tc>
        <w:tc>
          <w:tcPr>
            <w:tcW w:w="1179" w:type="dxa"/>
            <w:shd w:val="clear" w:color="auto" w:fill="auto"/>
            <w:noWrap/>
            <w:vAlign w:val="center"/>
          </w:tcPr>
          <w:p w14:paraId="5A2F2FA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0.6631</w:t>
            </w:r>
          </w:p>
        </w:tc>
      </w:tr>
      <w:tr w:rsidR="0062768B" w14:paraId="07DDF08D" w14:textId="77777777">
        <w:trPr>
          <w:cantSplit/>
          <w:jc w:val="center"/>
        </w:trPr>
        <w:tc>
          <w:tcPr>
            <w:tcW w:w="1179" w:type="dxa"/>
            <w:shd w:val="clear" w:color="auto" w:fill="auto"/>
            <w:noWrap/>
            <w:vAlign w:val="center"/>
          </w:tcPr>
          <w:p w14:paraId="4E3D644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3.2 </w:t>
            </w:r>
          </w:p>
        </w:tc>
        <w:tc>
          <w:tcPr>
            <w:tcW w:w="1098" w:type="dxa"/>
            <w:shd w:val="clear" w:color="auto" w:fill="auto"/>
            <w:noWrap/>
            <w:vAlign w:val="center"/>
          </w:tcPr>
          <w:p w14:paraId="243BC4B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0.9579</w:t>
            </w:r>
          </w:p>
        </w:tc>
        <w:tc>
          <w:tcPr>
            <w:tcW w:w="1253" w:type="dxa"/>
            <w:shd w:val="clear" w:color="auto" w:fill="auto"/>
            <w:noWrap/>
            <w:vAlign w:val="center"/>
          </w:tcPr>
          <w:p w14:paraId="23F675A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0.9502</w:t>
            </w:r>
          </w:p>
        </w:tc>
        <w:tc>
          <w:tcPr>
            <w:tcW w:w="1253" w:type="dxa"/>
            <w:shd w:val="clear" w:color="auto" w:fill="auto"/>
            <w:noWrap/>
            <w:vAlign w:val="center"/>
          </w:tcPr>
          <w:p w14:paraId="410D357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0.8075</w:t>
            </w:r>
          </w:p>
        </w:tc>
        <w:tc>
          <w:tcPr>
            <w:tcW w:w="1179" w:type="dxa"/>
            <w:shd w:val="clear" w:color="auto" w:fill="auto"/>
            <w:vAlign w:val="center"/>
          </w:tcPr>
          <w:p w14:paraId="32C97C0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7.7 </w:t>
            </w:r>
          </w:p>
        </w:tc>
        <w:tc>
          <w:tcPr>
            <w:tcW w:w="979" w:type="dxa"/>
            <w:shd w:val="clear" w:color="auto" w:fill="auto"/>
            <w:noWrap/>
            <w:vAlign w:val="center"/>
          </w:tcPr>
          <w:p w14:paraId="76A842A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0.8607</w:t>
            </w:r>
          </w:p>
        </w:tc>
        <w:tc>
          <w:tcPr>
            <w:tcW w:w="1179" w:type="dxa"/>
            <w:shd w:val="clear" w:color="auto" w:fill="auto"/>
            <w:noWrap/>
            <w:vAlign w:val="center"/>
          </w:tcPr>
          <w:p w14:paraId="301100C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0.8308</w:t>
            </w:r>
          </w:p>
        </w:tc>
        <w:tc>
          <w:tcPr>
            <w:tcW w:w="1179" w:type="dxa"/>
            <w:shd w:val="clear" w:color="auto" w:fill="auto"/>
            <w:noWrap/>
            <w:vAlign w:val="center"/>
          </w:tcPr>
          <w:p w14:paraId="175736C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0.6607</w:t>
            </w:r>
          </w:p>
        </w:tc>
      </w:tr>
      <w:tr w:rsidR="0062768B" w14:paraId="5E12B32A" w14:textId="77777777">
        <w:trPr>
          <w:cantSplit/>
          <w:jc w:val="center"/>
        </w:trPr>
        <w:tc>
          <w:tcPr>
            <w:tcW w:w="1179" w:type="dxa"/>
            <w:shd w:val="clear" w:color="auto" w:fill="auto"/>
            <w:noWrap/>
            <w:vAlign w:val="center"/>
          </w:tcPr>
          <w:p w14:paraId="68620CC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3.3 </w:t>
            </w:r>
          </w:p>
        </w:tc>
        <w:tc>
          <w:tcPr>
            <w:tcW w:w="1098" w:type="dxa"/>
            <w:shd w:val="clear" w:color="auto" w:fill="auto"/>
            <w:noWrap/>
            <w:vAlign w:val="center"/>
          </w:tcPr>
          <w:p w14:paraId="14918AB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0.9534</w:t>
            </w:r>
          </w:p>
        </w:tc>
        <w:tc>
          <w:tcPr>
            <w:tcW w:w="1253" w:type="dxa"/>
            <w:shd w:val="clear" w:color="auto" w:fill="auto"/>
            <w:noWrap/>
            <w:vAlign w:val="center"/>
          </w:tcPr>
          <w:p w14:paraId="2E84109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0.9448</w:t>
            </w:r>
          </w:p>
        </w:tc>
        <w:tc>
          <w:tcPr>
            <w:tcW w:w="1253" w:type="dxa"/>
            <w:shd w:val="clear" w:color="auto" w:fill="auto"/>
            <w:noWrap/>
            <w:vAlign w:val="center"/>
          </w:tcPr>
          <w:p w14:paraId="1B7E00F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0.8015</w:t>
            </w:r>
          </w:p>
        </w:tc>
        <w:tc>
          <w:tcPr>
            <w:tcW w:w="1179" w:type="dxa"/>
            <w:shd w:val="clear" w:color="auto" w:fill="auto"/>
            <w:vAlign w:val="center"/>
          </w:tcPr>
          <w:p w14:paraId="4BF905B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7.8 </w:t>
            </w:r>
          </w:p>
        </w:tc>
        <w:tc>
          <w:tcPr>
            <w:tcW w:w="979" w:type="dxa"/>
            <w:shd w:val="clear" w:color="auto" w:fill="auto"/>
            <w:noWrap/>
            <w:vAlign w:val="center"/>
          </w:tcPr>
          <w:p w14:paraId="2B5BFC9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0.8592</w:t>
            </w:r>
          </w:p>
        </w:tc>
        <w:tc>
          <w:tcPr>
            <w:tcW w:w="1179" w:type="dxa"/>
            <w:shd w:val="clear" w:color="auto" w:fill="auto"/>
            <w:noWrap/>
            <w:vAlign w:val="center"/>
          </w:tcPr>
          <w:p w14:paraId="02F6FE6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0.8289</w:t>
            </w:r>
          </w:p>
        </w:tc>
        <w:tc>
          <w:tcPr>
            <w:tcW w:w="1179" w:type="dxa"/>
            <w:shd w:val="clear" w:color="auto" w:fill="auto"/>
            <w:noWrap/>
            <w:vAlign w:val="center"/>
          </w:tcPr>
          <w:p w14:paraId="588AC0C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0.6583</w:t>
            </w:r>
          </w:p>
        </w:tc>
      </w:tr>
      <w:tr w:rsidR="0062768B" w14:paraId="5FA017E6" w14:textId="77777777">
        <w:trPr>
          <w:cantSplit/>
          <w:jc w:val="center"/>
        </w:trPr>
        <w:tc>
          <w:tcPr>
            <w:tcW w:w="1179" w:type="dxa"/>
            <w:shd w:val="clear" w:color="auto" w:fill="auto"/>
            <w:noWrap/>
            <w:vAlign w:val="center"/>
          </w:tcPr>
          <w:p w14:paraId="0E70426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3.4 </w:t>
            </w:r>
          </w:p>
        </w:tc>
        <w:tc>
          <w:tcPr>
            <w:tcW w:w="1098" w:type="dxa"/>
            <w:shd w:val="clear" w:color="auto" w:fill="auto"/>
            <w:noWrap/>
            <w:vAlign w:val="center"/>
          </w:tcPr>
          <w:p w14:paraId="03B1263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0.9492</w:t>
            </w:r>
          </w:p>
        </w:tc>
        <w:tc>
          <w:tcPr>
            <w:tcW w:w="1253" w:type="dxa"/>
            <w:shd w:val="clear" w:color="auto" w:fill="auto"/>
            <w:noWrap/>
            <w:vAlign w:val="center"/>
          </w:tcPr>
          <w:p w14:paraId="3E13E4E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0.9399</w:t>
            </w:r>
          </w:p>
        </w:tc>
        <w:tc>
          <w:tcPr>
            <w:tcW w:w="1253" w:type="dxa"/>
            <w:shd w:val="clear" w:color="auto" w:fill="auto"/>
            <w:noWrap/>
            <w:vAlign w:val="center"/>
          </w:tcPr>
          <w:p w14:paraId="1C41FC8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0.7959</w:t>
            </w:r>
          </w:p>
        </w:tc>
        <w:tc>
          <w:tcPr>
            <w:tcW w:w="1179" w:type="dxa"/>
            <w:shd w:val="clear" w:color="auto" w:fill="auto"/>
            <w:vAlign w:val="center"/>
          </w:tcPr>
          <w:p w14:paraId="2A81121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7.9 </w:t>
            </w:r>
          </w:p>
        </w:tc>
        <w:tc>
          <w:tcPr>
            <w:tcW w:w="979" w:type="dxa"/>
            <w:shd w:val="clear" w:color="auto" w:fill="auto"/>
            <w:noWrap/>
            <w:vAlign w:val="center"/>
          </w:tcPr>
          <w:p w14:paraId="349F064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0.8577</w:t>
            </w:r>
          </w:p>
        </w:tc>
        <w:tc>
          <w:tcPr>
            <w:tcW w:w="1179" w:type="dxa"/>
            <w:shd w:val="clear" w:color="auto" w:fill="auto"/>
            <w:noWrap/>
            <w:vAlign w:val="center"/>
          </w:tcPr>
          <w:p w14:paraId="53C054B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0.827</w:t>
            </w:r>
          </w:p>
        </w:tc>
        <w:tc>
          <w:tcPr>
            <w:tcW w:w="1179" w:type="dxa"/>
            <w:shd w:val="clear" w:color="auto" w:fill="auto"/>
            <w:noWrap/>
            <w:vAlign w:val="center"/>
          </w:tcPr>
          <w:p w14:paraId="147ECD8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0.6559</w:t>
            </w:r>
          </w:p>
        </w:tc>
      </w:tr>
      <w:tr w:rsidR="0062768B" w14:paraId="0A6AF5B2" w14:textId="77777777">
        <w:trPr>
          <w:cantSplit/>
          <w:jc w:val="center"/>
        </w:trPr>
        <w:tc>
          <w:tcPr>
            <w:tcW w:w="1179" w:type="dxa"/>
            <w:shd w:val="clear" w:color="auto" w:fill="auto"/>
            <w:noWrap/>
            <w:vAlign w:val="center"/>
          </w:tcPr>
          <w:p w14:paraId="1BC1BA8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3.5 </w:t>
            </w:r>
          </w:p>
        </w:tc>
        <w:tc>
          <w:tcPr>
            <w:tcW w:w="1098" w:type="dxa"/>
            <w:shd w:val="clear" w:color="auto" w:fill="auto"/>
            <w:noWrap/>
            <w:vAlign w:val="center"/>
          </w:tcPr>
          <w:p w14:paraId="721EB7E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0.9454</w:t>
            </w:r>
          </w:p>
        </w:tc>
        <w:tc>
          <w:tcPr>
            <w:tcW w:w="1253" w:type="dxa"/>
            <w:shd w:val="clear" w:color="auto" w:fill="auto"/>
            <w:noWrap/>
            <w:vAlign w:val="center"/>
          </w:tcPr>
          <w:p w14:paraId="1F82A68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0.9352</w:t>
            </w:r>
          </w:p>
        </w:tc>
        <w:tc>
          <w:tcPr>
            <w:tcW w:w="1253" w:type="dxa"/>
            <w:shd w:val="clear" w:color="auto" w:fill="auto"/>
            <w:noWrap/>
            <w:vAlign w:val="center"/>
          </w:tcPr>
          <w:p w14:paraId="723AB80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0.7906</w:t>
            </w:r>
          </w:p>
        </w:tc>
        <w:tc>
          <w:tcPr>
            <w:tcW w:w="1179" w:type="dxa"/>
            <w:shd w:val="clear" w:color="auto" w:fill="auto"/>
            <w:vAlign w:val="center"/>
          </w:tcPr>
          <w:p w14:paraId="51B370A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8.0 </w:t>
            </w:r>
          </w:p>
        </w:tc>
        <w:tc>
          <w:tcPr>
            <w:tcW w:w="979" w:type="dxa"/>
            <w:shd w:val="clear" w:color="auto" w:fill="auto"/>
            <w:noWrap/>
            <w:vAlign w:val="center"/>
          </w:tcPr>
          <w:p w14:paraId="6BF4F3C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0.8562</w:t>
            </w:r>
          </w:p>
        </w:tc>
        <w:tc>
          <w:tcPr>
            <w:tcW w:w="1179" w:type="dxa"/>
            <w:shd w:val="clear" w:color="auto" w:fill="auto"/>
            <w:noWrap/>
            <w:vAlign w:val="center"/>
          </w:tcPr>
          <w:p w14:paraId="2F382B7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0.8251</w:t>
            </w:r>
          </w:p>
        </w:tc>
        <w:tc>
          <w:tcPr>
            <w:tcW w:w="1179" w:type="dxa"/>
            <w:shd w:val="clear" w:color="auto" w:fill="auto"/>
            <w:noWrap/>
            <w:vAlign w:val="center"/>
          </w:tcPr>
          <w:p w14:paraId="18E7A9D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0.6535</w:t>
            </w:r>
          </w:p>
        </w:tc>
      </w:tr>
      <w:tr w:rsidR="0062768B" w14:paraId="270C48C2" w14:textId="77777777">
        <w:trPr>
          <w:cantSplit/>
          <w:jc w:val="center"/>
        </w:trPr>
        <w:tc>
          <w:tcPr>
            <w:tcW w:w="1179" w:type="dxa"/>
            <w:shd w:val="clear" w:color="auto" w:fill="auto"/>
            <w:noWrap/>
            <w:vAlign w:val="center"/>
          </w:tcPr>
          <w:p w14:paraId="446072A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3.6 </w:t>
            </w:r>
          </w:p>
        </w:tc>
        <w:tc>
          <w:tcPr>
            <w:tcW w:w="1098" w:type="dxa"/>
            <w:shd w:val="clear" w:color="auto" w:fill="auto"/>
            <w:noWrap/>
            <w:vAlign w:val="center"/>
          </w:tcPr>
          <w:p w14:paraId="431C157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0.9418</w:t>
            </w:r>
          </w:p>
        </w:tc>
        <w:tc>
          <w:tcPr>
            <w:tcW w:w="1253" w:type="dxa"/>
            <w:shd w:val="clear" w:color="auto" w:fill="auto"/>
            <w:noWrap/>
            <w:vAlign w:val="center"/>
          </w:tcPr>
          <w:p w14:paraId="2771308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0.9309</w:t>
            </w:r>
          </w:p>
        </w:tc>
        <w:tc>
          <w:tcPr>
            <w:tcW w:w="1253" w:type="dxa"/>
            <w:shd w:val="clear" w:color="auto" w:fill="auto"/>
            <w:noWrap/>
            <w:vAlign w:val="center"/>
          </w:tcPr>
          <w:p w14:paraId="3C6090C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0.7857</w:t>
            </w:r>
          </w:p>
        </w:tc>
        <w:tc>
          <w:tcPr>
            <w:tcW w:w="1179" w:type="dxa"/>
            <w:shd w:val="clear" w:color="auto" w:fill="auto"/>
            <w:vAlign w:val="center"/>
          </w:tcPr>
          <w:p w14:paraId="5F9DF56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8.1 </w:t>
            </w:r>
          </w:p>
        </w:tc>
        <w:tc>
          <w:tcPr>
            <w:tcW w:w="979" w:type="dxa"/>
            <w:shd w:val="clear" w:color="auto" w:fill="auto"/>
            <w:noWrap/>
            <w:vAlign w:val="center"/>
          </w:tcPr>
          <w:p w14:paraId="49DD7B7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0.8547</w:t>
            </w:r>
          </w:p>
        </w:tc>
        <w:tc>
          <w:tcPr>
            <w:tcW w:w="1179" w:type="dxa"/>
            <w:shd w:val="clear" w:color="auto" w:fill="auto"/>
            <w:noWrap/>
            <w:vAlign w:val="center"/>
          </w:tcPr>
          <w:p w14:paraId="50D568E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0.8233</w:t>
            </w:r>
          </w:p>
        </w:tc>
        <w:tc>
          <w:tcPr>
            <w:tcW w:w="1179" w:type="dxa"/>
            <w:shd w:val="clear" w:color="auto" w:fill="auto"/>
            <w:noWrap/>
            <w:vAlign w:val="center"/>
          </w:tcPr>
          <w:p w14:paraId="2626515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0.6512</w:t>
            </w:r>
          </w:p>
        </w:tc>
      </w:tr>
      <w:tr w:rsidR="0062768B" w14:paraId="562B4BD9" w14:textId="77777777">
        <w:trPr>
          <w:cantSplit/>
          <w:jc w:val="center"/>
        </w:trPr>
        <w:tc>
          <w:tcPr>
            <w:tcW w:w="1179" w:type="dxa"/>
            <w:shd w:val="clear" w:color="auto" w:fill="auto"/>
            <w:noWrap/>
            <w:vAlign w:val="center"/>
          </w:tcPr>
          <w:p w14:paraId="1D500A8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3.7 </w:t>
            </w:r>
          </w:p>
        </w:tc>
        <w:tc>
          <w:tcPr>
            <w:tcW w:w="1098" w:type="dxa"/>
            <w:shd w:val="clear" w:color="auto" w:fill="auto"/>
            <w:noWrap/>
            <w:vAlign w:val="center"/>
          </w:tcPr>
          <w:p w14:paraId="22AFAA0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0.9384</w:t>
            </w:r>
          </w:p>
        </w:tc>
        <w:tc>
          <w:tcPr>
            <w:tcW w:w="1253" w:type="dxa"/>
            <w:shd w:val="clear" w:color="auto" w:fill="auto"/>
            <w:noWrap/>
            <w:vAlign w:val="center"/>
          </w:tcPr>
          <w:p w14:paraId="481B1DC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0.9269</w:t>
            </w:r>
          </w:p>
        </w:tc>
        <w:tc>
          <w:tcPr>
            <w:tcW w:w="1253" w:type="dxa"/>
            <w:shd w:val="clear" w:color="auto" w:fill="auto"/>
            <w:noWrap/>
            <w:vAlign w:val="center"/>
          </w:tcPr>
          <w:p w14:paraId="5352DE9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0.7811</w:t>
            </w:r>
          </w:p>
        </w:tc>
        <w:tc>
          <w:tcPr>
            <w:tcW w:w="1179" w:type="dxa"/>
            <w:shd w:val="clear" w:color="auto" w:fill="auto"/>
            <w:vAlign w:val="center"/>
          </w:tcPr>
          <w:p w14:paraId="2D33467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8.2 </w:t>
            </w:r>
          </w:p>
        </w:tc>
        <w:tc>
          <w:tcPr>
            <w:tcW w:w="979" w:type="dxa"/>
            <w:shd w:val="clear" w:color="auto" w:fill="auto"/>
            <w:noWrap/>
            <w:vAlign w:val="center"/>
          </w:tcPr>
          <w:p w14:paraId="2324034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0.8533</w:t>
            </w:r>
          </w:p>
        </w:tc>
        <w:tc>
          <w:tcPr>
            <w:tcW w:w="1179" w:type="dxa"/>
            <w:shd w:val="clear" w:color="auto" w:fill="auto"/>
            <w:noWrap/>
            <w:vAlign w:val="center"/>
          </w:tcPr>
          <w:p w14:paraId="379D7FE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0.8215</w:t>
            </w:r>
          </w:p>
        </w:tc>
        <w:tc>
          <w:tcPr>
            <w:tcW w:w="1179" w:type="dxa"/>
            <w:shd w:val="clear" w:color="auto" w:fill="auto"/>
            <w:noWrap/>
            <w:vAlign w:val="center"/>
          </w:tcPr>
          <w:p w14:paraId="30415A2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0.6489</w:t>
            </w:r>
          </w:p>
        </w:tc>
      </w:tr>
      <w:tr w:rsidR="0062768B" w14:paraId="217EE418" w14:textId="77777777">
        <w:trPr>
          <w:cantSplit/>
          <w:jc w:val="center"/>
        </w:trPr>
        <w:tc>
          <w:tcPr>
            <w:tcW w:w="1179" w:type="dxa"/>
            <w:shd w:val="clear" w:color="auto" w:fill="auto"/>
            <w:noWrap/>
            <w:vAlign w:val="center"/>
          </w:tcPr>
          <w:p w14:paraId="5609B5F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3.8 </w:t>
            </w:r>
          </w:p>
        </w:tc>
        <w:tc>
          <w:tcPr>
            <w:tcW w:w="1098" w:type="dxa"/>
            <w:shd w:val="clear" w:color="auto" w:fill="auto"/>
            <w:noWrap/>
            <w:vAlign w:val="center"/>
          </w:tcPr>
          <w:p w14:paraId="4D95F74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0.9353</w:t>
            </w:r>
          </w:p>
        </w:tc>
        <w:tc>
          <w:tcPr>
            <w:tcW w:w="1253" w:type="dxa"/>
            <w:shd w:val="clear" w:color="auto" w:fill="auto"/>
            <w:noWrap/>
            <w:vAlign w:val="center"/>
          </w:tcPr>
          <w:p w14:paraId="0D3B598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0.9231</w:t>
            </w:r>
          </w:p>
        </w:tc>
        <w:tc>
          <w:tcPr>
            <w:tcW w:w="1253" w:type="dxa"/>
            <w:shd w:val="clear" w:color="auto" w:fill="auto"/>
            <w:noWrap/>
            <w:vAlign w:val="center"/>
          </w:tcPr>
          <w:p w14:paraId="38E531A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0.7768</w:t>
            </w:r>
          </w:p>
        </w:tc>
        <w:tc>
          <w:tcPr>
            <w:tcW w:w="1179" w:type="dxa"/>
            <w:shd w:val="clear" w:color="auto" w:fill="auto"/>
            <w:vAlign w:val="center"/>
          </w:tcPr>
          <w:p w14:paraId="4BAECFA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8.3 </w:t>
            </w:r>
          </w:p>
        </w:tc>
        <w:tc>
          <w:tcPr>
            <w:tcW w:w="979" w:type="dxa"/>
            <w:shd w:val="clear" w:color="auto" w:fill="auto"/>
            <w:noWrap/>
            <w:vAlign w:val="center"/>
          </w:tcPr>
          <w:p w14:paraId="0C61EAE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0.8519</w:t>
            </w:r>
          </w:p>
        </w:tc>
        <w:tc>
          <w:tcPr>
            <w:tcW w:w="1179" w:type="dxa"/>
            <w:shd w:val="clear" w:color="auto" w:fill="auto"/>
            <w:noWrap/>
            <w:vAlign w:val="center"/>
          </w:tcPr>
          <w:p w14:paraId="237E601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0.8197</w:t>
            </w:r>
          </w:p>
        </w:tc>
        <w:tc>
          <w:tcPr>
            <w:tcW w:w="1179" w:type="dxa"/>
            <w:shd w:val="clear" w:color="auto" w:fill="auto"/>
            <w:noWrap/>
            <w:vAlign w:val="center"/>
          </w:tcPr>
          <w:p w14:paraId="42390B9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0.6466</w:t>
            </w:r>
          </w:p>
        </w:tc>
      </w:tr>
      <w:tr w:rsidR="0062768B" w14:paraId="2A79A3AD" w14:textId="77777777">
        <w:trPr>
          <w:cantSplit/>
          <w:jc w:val="center"/>
        </w:trPr>
        <w:tc>
          <w:tcPr>
            <w:tcW w:w="1179" w:type="dxa"/>
            <w:shd w:val="clear" w:color="auto" w:fill="auto"/>
            <w:noWrap/>
            <w:vAlign w:val="center"/>
          </w:tcPr>
          <w:p w14:paraId="1C013BB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3.9 </w:t>
            </w:r>
          </w:p>
        </w:tc>
        <w:tc>
          <w:tcPr>
            <w:tcW w:w="1098" w:type="dxa"/>
            <w:shd w:val="clear" w:color="auto" w:fill="auto"/>
            <w:noWrap/>
            <w:vAlign w:val="center"/>
          </w:tcPr>
          <w:p w14:paraId="765BE05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0.9324</w:t>
            </w:r>
          </w:p>
        </w:tc>
        <w:tc>
          <w:tcPr>
            <w:tcW w:w="1253" w:type="dxa"/>
            <w:shd w:val="clear" w:color="auto" w:fill="auto"/>
            <w:noWrap/>
            <w:vAlign w:val="center"/>
          </w:tcPr>
          <w:p w14:paraId="3DBB8C0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0.9196</w:t>
            </w:r>
          </w:p>
        </w:tc>
        <w:tc>
          <w:tcPr>
            <w:tcW w:w="1253" w:type="dxa"/>
            <w:shd w:val="clear" w:color="auto" w:fill="auto"/>
            <w:noWrap/>
            <w:vAlign w:val="center"/>
          </w:tcPr>
          <w:p w14:paraId="5EF6E6F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0.7727</w:t>
            </w:r>
          </w:p>
        </w:tc>
        <w:tc>
          <w:tcPr>
            <w:tcW w:w="1179" w:type="dxa"/>
            <w:shd w:val="clear" w:color="auto" w:fill="auto"/>
            <w:vAlign w:val="center"/>
          </w:tcPr>
          <w:p w14:paraId="410875F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8.4 </w:t>
            </w:r>
          </w:p>
        </w:tc>
        <w:tc>
          <w:tcPr>
            <w:tcW w:w="979" w:type="dxa"/>
            <w:shd w:val="clear" w:color="auto" w:fill="auto"/>
            <w:noWrap/>
            <w:vAlign w:val="center"/>
          </w:tcPr>
          <w:p w14:paraId="7CA165F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0.8505</w:t>
            </w:r>
          </w:p>
        </w:tc>
        <w:tc>
          <w:tcPr>
            <w:tcW w:w="1179" w:type="dxa"/>
            <w:shd w:val="clear" w:color="auto" w:fill="auto"/>
            <w:noWrap/>
            <w:vAlign w:val="center"/>
          </w:tcPr>
          <w:p w14:paraId="56D145D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0.8179</w:t>
            </w:r>
          </w:p>
        </w:tc>
        <w:tc>
          <w:tcPr>
            <w:tcW w:w="1179" w:type="dxa"/>
            <w:shd w:val="clear" w:color="auto" w:fill="auto"/>
            <w:noWrap/>
            <w:vAlign w:val="center"/>
          </w:tcPr>
          <w:p w14:paraId="3570264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0.6443</w:t>
            </w:r>
          </w:p>
        </w:tc>
      </w:tr>
      <w:tr w:rsidR="0062768B" w14:paraId="63E15FF0" w14:textId="77777777">
        <w:trPr>
          <w:cantSplit/>
          <w:jc w:val="center"/>
        </w:trPr>
        <w:tc>
          <w:tcPr>
            <w:tcW w:w="1179" w:type="dxa"/>
            <w:shd w:val="clear" w:color="auto" w:fill="auto"/>
            <w:noWrap/>
            <w:vAlign w:val="center"/>
          </w:tcPr>
          <w:p w14:paraId="1788DF9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4.0 </w:t>
            </w:r>
          </w:p>
        </w:tc>
        <w:tc>
          <w:tcPr>
            <w:tcW w:w="1098" w:type="dxa"/>
            <w:shd w:val="clear" w:color="auto" w:fill="auto"/>
            <w:noWrap/>
            <w:vAlign w:val="center"/>
          </w:tcPr>
          <w:p w14:paraId="78F58E9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0.9297</w:t>
            </w:r>
          </w:p>
        </w:tc>
        <w:tc>
          <w:tcPr>
            <w:tcW w:w="1253" w:type="dxa"/>
            <w:shd w:val="clear" w:color="auto" w:fill="auto"/>
            <w:noWrap/>
            <w:vAlign w:val="center"/>
          </w:tcPr>
          <w:p w14:paraId="7F6C640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0.9163</w:t>
            </w:r>
          </w:p>
        </w:tc>
        <w:tc>
          <w:tcPr>
            <w:tcW w:w="1253" w:type="dxa"/>
            <w:shd w:val="clear" w:color="auto" w:fill="auto"/>
            <w:noWrap/>
            <w:vAlign w:val="center"/>
          </w:tcPr>
          <w:p w14:paraId="7C45BE9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0.7688</w:t>
            </w:r>
          </w:p>
        </w:tc>
        <w:tc>
          <w:tcPr>
            <w:tcW w:w="1179" w:type="dxa"/>
            <w:shd w:val="clear" w:color="auto" w:fill="auto"/>
            <w:vAlign w:val="center"/>
          </w:tcPr>
          <w:p w14:paraId="1AADE8F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8.5 </w:t>
            </w:r>
          </w:p>
        </w:tc>
        <w:tc>
          <w:tcPr>
            <w:tcW w:w="979" w:type="dxa"/>
            <w:shd w:val="clear" w:color="auto" w:fill="auto"/>
            <w:noWrap/>
            <w:vAlign w:val="center"/>
          </w:tcPr>
          <w:p w14:paraId="1CD04A6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0.8491</w:t>
            </w:r>
          </w:p>
        </w:tc>
        <w:tc>
          <w:tcPr>
            <w:tcW w:w="1179" w:type="dxa"/>
            <w:shd w:val="clear" w:color="auto" w:fill="auto"/>
            <w:noWrap/>
            <w:vAlign w:val="center"/>
          </w:tcPr>
          <w:p w14:paraId="7DC2AA4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0.8161</w:t>
            </w:r>
          </w:p>
        </w:tc>
        <w:tc>
          <w:tcPr>
            <w:tcW w:w="1179" w:type="dxa"/>
            <w:shd w:val="clear" w:color="auto" w:fill="auto"/>
            <w:noWrap/>
            <w:vAlign w:val="center"/>
          </w:tcPr>
          <w:p w14:paraId="300C533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0.6421</w:t>
            </w:r>
          </w:p>
        </w:tc>
      </w:tr>
      <w:tr w:rsidR="0062768B" w14:paraId="3D384129" w14:textId="77777777">
        <w:trPr>
          <w:cantSplit/>
          <w:jc w:val="center"/>
        </w:trPr>
        <w:tc>
          <w:tcPr>
            <w:tcW w:w="1179" w:type="dxa"/>
            <w:shd w:val="clear" w:color="auto" w:fill="auto"/>
            <w:noWrap/>
            <w:vAlign w:val="center"/>
          </w:tcPr>
          <w:p w14:paraId="582A56C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4.1 </w:t>
            </w:r>
          </w:p>
        </w:tc>
        <w:tc>
          <w:tcPr>
            <w:tcW w:w="1098" w:type="dxa"/>
            <w:shd w:val="clear" w:color="auto" w:fill="auto"/>
            <w:noWrap/>
            <w:vAlign w:val="center"/>
          </w:tcPr>
          <w:p w14:paraId="6B50BD6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0.9272</w:t>
            </w:r>
          </w:p>
        </w:tc>
        <w:tc>
          <w:tcPr>
            <w:tcW w:w="1253" w:type="dxa"/>
            <w:shd w:val="clear" w:color="auto" w:fill="auto"/>
            <w:noWrap/>
            <w:vAlign w:val="center"/>
          </w:tcPr>
          <w:p w14:paraId="137FFF5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0.9132</w:t>
            </w:r>
          </w:p>
        </w:tc>
        <w:tc>
          <w:tcPr>
            <w:tcW w:w="1253" w:type="dxa"/>
            <w:shd w:val="clear" w:color="auto" w:fill="auto"/>
            <w:noWrap/>
            <w:vAlign w:val="center"/>
          </w:tcPr>
          <w:p w14:paraId="3072EF6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0.7651</w:t>
            </w:r>
          </w:p>
        </w:tc>
        <w:tc>
          <w:tcPr>
            <w:tcW w:w="1179" w:type="dxa"/>
            <w:shd w:val="clear" w:color="auto" w:fill="auto"/>
            <w:vAlign w:val="center"/>
          </w:tcPr>
          <w:p w14:paraId="445699C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8.6 </w:t>
            </w:r>
          </w:p>
        </w:tc>
        <w:tc>
          <w:tcPr>
            <w:tcW w:w="979" w:type="dxa"/>
            <w:shd w:val="clear" w:color="auto" w:fill="auto"/>
            <w:noWrap/>
            <w:vAlign w:val="center"/>
          </w:tcPr>
          <w:p w14:paraId="495762C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0.8477</w:t>
            </w:r>
          </w:p>
        </w:tc>
        <w:tc>
          <w:tcPr>
            <w:tcW w:w="1179" w:type="dxa"/>
            <w:shd w:val="clear" w:color="auto" w:fill="auto"/>
            <w:noWrap/>
            <w:vAlign w:val="center"/>
          </w:tcPr>
          <w:p w14:paraId="3876530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0.8144</w:t>
            </w:r>
          </w:p>
        </w:tc>
        <w:tc>
          <w:tcPr>
            <w:tcW w:w="1179" w:type="dxa"/>
            <w:shd w:val="clear" w:color="auto" w:fill="auto"/>
            <w:noWrap/>
            <w:vAlign w:val="center"/>
          </w:tcPr>
          <w:p w14:paraId="2E5CE7E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0.6399</w:t>
            </w:r>
          </w:p>
        </w:tc>
      </w:tr>
      <w:tr w:rsidR="0062768B" w14:paraId="499D1C3D" w14:textId="77777777">
        <w:trPr>
          <w:cantSplit/>
          <w:jc w:val="center"/>
        </w:trPr>
        <w:tc>
          <w:tcPr>
            <w:tcW w:w="1179" w:type="dxa"/>
            <w:shd w:val="clear" w:color="auto" w:fill="auto"/>
            <w:noWrap/>
            <w:vAlign w:val="center"/>
          </w:tcPr>
          <w:p w14:paraId="322891F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4.2 </w:t>
            </w:r>
          </w:p>
        </w:tc>
        <w:tc>
          <w:tcPr>
            <w:tcW w:w="1098" w:type="dxa"/>
            <w:shd w:val="clear" w:color="auto" w:fill="auto"/>
            <w:noWrap/>
            <w:vAlign w:val="center"/>
          </w:tcPr>
          <w:p w14:paraId="59759DC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0.9248</w:t>
            </w:r>
          </w:p>
        </w:tc>
        <w:tc>
          <w:tcPr>
            <w:tcW w:w="1253" w:type="dxa"/>
            <w:shd w:val="clear" w:color="auto" w:fill="auto"/>
            <w:noWrap/>
            <w:vAlign w:val="center"/>
          </w:tcPr>
          <w:p w14:paraId="1032D9B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0.9102</w:t>
            </w:r>
          </w:p>
        </w:tc>
        <w:tc>
          <w:tcPr>
            <w:tcW w:w="1253" w:type="dxa"/>
            <w:shd w:val="clear" w:color="auto" w:fill="auto"/>
            <w:noWrap/>
            <w:vAlign w:val="center"/>
          </w:tcPr>
          <w:p w14:paraId="09D66BE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0.7615</w:t>
            </w:r>
          </w:p>
        </w:tc>
        <w:tc>
          <w:tcPr>
            <w:tcW w:w="1179" w:type="dxa"/>
            <w:shd w:val="clear" w:color="auto" w:fill="auto"/>
            <w:vAlign w:val="center"/>
          </w:tcPr>
          <w:p w14:paraId="01F6B93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8.7 </w:t>
            </w:r>
          </w:p>
        </w:tc>
        <w:tc>
          <w:tcPr>
            <w:tcW w:w="979" w:type="dxa"/>
            <w:shd w:val="clear" w:color="auto" w:fill="auto"/>
            <w:noWrap/>
            <w:vAlign w:val="center"/>
          </w:tcPr>
          <w:p w14:paraId="712C383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0.8463</w:t>
            </w:r>
          </w:p>
        </w:tc>
        <w:tc>
          <w:tcPr>
            <w:tcW w:w="1179" w:type="dxa"/>
            <w:shd w:val="clear" w:color="auto" w:fill="auto"/>
            <w:noWrap/>
            <w:vAlign w:val="center"/>
          </w:tcPr>
          <w:p w14:paraId="4875698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0.8127</w:t>
            </w:r>
          </w:p>
        </w:tc>
        <w:tc>
          <w:tcPr>
            <w:tcW w:w="1179" w:type="dxa"/>
            <w:shd w:val="clear" w:color="auto" w:fill="auto"/>
            <w:noWrap/>
            <w:vAlign w:val="center"/>
          </w:tcPr>
          <w:p w14:paraId="5B5E3ED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0.6377</w:t>
            </w:r>
          </w:p>
        </w:tc>
      </w:tr>
      <w:tr w:rsidR="0062768B" w14:paraId="4EA780F0" w14:textId="77777777">
        <w:trPr>
          <w:cantSplit/>
          <w:jc w:val="center"/>
        </w:trPr>
        <w:tc>
          <w:tcPr>
            <w:tcW w:w="1179" w:type="dxa"/>
            <w:shd w:val="clear" w:color="auto" w:fill="auto"/>
            <w:noWrap/>
            <w:vAlign w:val="center"/>
          </w:tcPr>
          <w:p w14:paraId="2B51261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4.3 </w:t>
            </w:r>
          </w:p>
        </w:tc>
        <w:tc>
          <w:tcPr>
            <w:tcW w:w="1098" w:type="dxa"/>
            <w:shd w:val="clear" w:color="auto" w:fill="auto"/>
            <w:noWrap/>
            <w:vAlign w:val="center"/>
          </w:tcPr>
          <w:p w14:paraId="632F9A6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0.9225</w:t>
            </w:r>
          </w:p>
        </w:tc>
        <w:tc>
          <w:tcPr>
            <w:tcW w:w="1253" w:type="dxa"/>
            <w:shd w:val="clear" w:color="auto" w:fill="auto"/>
            <w:noWrap/>
            <w:vAlign w:val="center"/>
          </w:tcPr>
          <w:p w14:paraId="3443048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0.9073</w:t>
            </w:r>
          </w:p>
        </w:tc>
        <w:tc>
          <w:tcPr>
            <w:tcW w:w="1253" w:type="dxa"/>
            <w:shd w:val="clear" w:color="auto" w:fill="auto"/>
            <w:noWrap/>
            <w:vAlign w:val="center"/>
          </w:tcPr>
          <w:p w14:paraId="0A12C30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0.758</w:t>
            </w:r>
          </w:p>
        </w:tc>
        <w:tc>
          <w:tcPr>
            <w:tcW w:w="1179" w:type="dxa"/>
            <w:shd w:val="clear" w:color="auto" w:fill="auto"/>
            <w:vAlign w:val="center"/>
          </w:tcPr>
          <w:p w14:paraId="0CD1D98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8.8 </w:t>
            </w:r>
          </w:p>
        </w:tc>
        <w:tc>
          <w:tcPr>
            <w:tcW w:w="979" w:type="dxa"/>
            <w:shd w:val="clear" w:color="auto" w:fill="auto"/>
            <w:noWrap/>
            <w:vAlign w:val="center"/>
          </w:tcPr>
          <w:p w14:paraId="69923FD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0.8449</w:t>
            </w:r>
          </w:p>
        </w:tc>
        <w:tc>
          <w:tcPr>
            <w:tcW w:w="1179" w:type="dxa"/>
            <w:shd w:val="clear" w:color="auto" w:fill="auto"/>
            <w:noWrap/>
            <w:vAlign w:val="center"/>
          </w:tcPr>
          <w:p w14:paraId="2AA91A3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0.811</w:t>
            </w:r>
          </w:p>
        </w:tc>
        <w:tc>
          <w:tcPr>
            <w:tcW w:w="1179" w:type="dxa"/>
            <w:shd w:val="clear" w:color="auto" w:fill="auto"/>
            <w:noWrap/>
            <w:vAlign w:val="center"/>
          </w:tcPr>
          <w:p w14:paraId="345F7F6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0.6355</w:t>
            </w:r>
          </w:p>
        </w:tc>
      </w:tr>
      <w:tr w:rsidR="0062768B" w14:paraId="3173D41E" w14:textId="77777777">
        <w:trPr>
          <w:cantSplit/>
          <w:jc w:val="center"/>
        </w:trPr>
        <w:tc>
          <w:tcPr>
            <w:tcW w:w="1179" w:type="dxa"/>
            <w:shd w:val="clear" w:color="auto" w:fill="auto"/>
            <w:noWrap/>
            <w:vAlign w:val="center"/>
          </w:tcPr>
          <w:p w14:paraId="0B0A4DF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4.4 </w:t>
            </w:r>
          </w:p>
        </w:tc>
        <w:tc>
          <w:tcPr>
            <w:tcW w:w="1098" w:type="dxa"/>
            <w:shd w:val="clear" w:color="auto" w:fill="auto"/>
            <w:noWrap/>
            <w:vAlign w:val="center"/>
          </w:tcPr>
          <w:p w14:paraId="255D708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0.9203</w:t>
            </w:r>
          </w:p>
        </w:tc>
        <w:tc>
          <w:tcPr>
            <w:tcW w:w="1253" w:type="dxa"/>
            <w:shd w:val="clear" w:color="auto" w:fill="auto"/>
            <w:noWrap/>
            <w:vAlign w:val="center"/>
          </w:tcPr>
          <w:p w14:paraId="0CB260D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0.9045</w:t>
            </w:r>
          </w:p>
        </w:tc>
        <w:tc>
          <w:tcPr>
            <w:tcW w:w="1253" w:type="dxa"/>
            <w:shd w:val="clear" w:color="auto" w:fill="auto"/>
            <w:noWrap/>
            <w:vAlign w:val="center"/>
          </w:tcPr>
          <w:p w14:paraId="323A706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0.7546</w:t>
            </w:r>
          </w:p>
        </w:tc>
        <w:tc>
          <w:tcPr>
            <w:tcW w:w="1179" w:type="dxa"/>
            <w:shd w:val="clear" w:color="auto" w:fill="auto"/>
            <w:vAlign w:val="center"/>
          </w:tcPr>
          <w:p w14:paraId="06F7C84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8.9 </w:t>
            </w:r>
          </w:p>
        </w:tc>
        <w:tc>
          <w:tcPr>
            <w:tcW w:w="979" w:type="dxa"/>
            <w:shd w:val="clear" w:color="auto" w:fill="auto"/>
            <w:noWrap/>
            <w:vAlign w:val="center"/>
          </w:tcPr>
          <w:p w14:paraId="6ACB655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0.8436</w:t>
            </w:r>
          </w:p>
        </w:tc>
        <w:tc>
          <w:tcPr>
            <w:tcW w:w="1179" w:type="dxa"/>
            <w:shd w:val="clear" w:color="auto" w:fill="auto"/>
            <w:noWrap/>
            <w:vAlign w:val="center"/>
          </w:tcPr>
          <w:p w14:paraId="17FADB9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0.8093</w:t>
            </w:r>
          </w:p>
        </w:tc>
        <w:tc>
          <w:tcPr>
            <w:tcW w:w="1179" w:type="dxa"/>
            <w:shd w:val="clear" w:color="auto" w:fill="auto"/>
            <w:noWrap/>
            <w:vAlign w:val="center"/>
          </w:tcPr>
          <w:p w14:paraId="0DC74A2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0.6334</w:t>
            </w:r>
          </w:p>
        </w:tc>
      </w:tr>
      <w:tr w:rsidR="0062768B" w14:paraId="2EEDCABC" w14:textId="77777777">
        <w:trPr>
          <w:cantSplit/>
          <w:jc w:val="center"/>
        </w:trPr>
        <w:tc>
          <w:tcPr>
            <w:tcW w:w="1179" w:type="dxa"/>
            <w:shd w:val="clear" w:color="auto" w:fill="auto"/>
            <w:noWrap/>
            <w:vAlign w:val="center"/>
          </w:tcPr>
          <w:p w14:paraId="439D4D9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4.5 </w:t>
            </w:r>
          </w:p>
        </w:tc>
        <w:tc>
          <w:tcPr>
            <w:tcW w:w="1098" w:type="dxa"/>
            <w:shd w:val="clear" w:color="auto" w:fill="auto"/>
            <w:noWrap/>
            <w:vAlign w:val="center"/>
          </w:tcPr>
          <w:p w14:paraId="04B6EA7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0.9181</w:t>
            </w:r>
          </w:p>
        </w:tc>
        <w:tc>
          <w:tcPr>
            <w:tcW w:w="1253" w:type="dxa"/>
            <w:shd w:val="clear" w:color="auto" w:fill="auto"/>
            <w:noWrap/>
            <w:vAlign w:val="center"/>
          </w:tcPr>
          <w:p w14:paraId="784D585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0.9018</w:t>
            </w:r>
          </w:p>
        </w:tc>
        <w:tc>
          <w:tcPr>
            <w:tcW w:w="1253" w:type="dxa"/>
            <w:shd w:val="clear" w:color="auto" w:fill="auto"/>
            <w:noWrap/>
            <w:vAlign w:val="center"/>
          </w:tcPr>
          <w:p w14:paraId="4A436A5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0.7513</w:t>
            </w:r>
          </w:p>
        </w:tc>
        <w:tc>
          <w:tcPr>
            <w:tcW w:w="1179" w:type="dxa"/>
            <w:shd w:val="clear" w:color="auto" w:fill="auto"/>
            <w:vAlign w:val="center"/>
          </w:tcPr>
          <w:p w14:paraId="17531F9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9.0 </w:t>
            </w:r>
          </w:p>
        </w:tc>
        <w:tc>
          <w:tcPr>
            <w:tcW w:w="979" w:type="dxa"/>
            <w:shd w:val="clear" w:color="auto" w:fill="auto"/>
            <w:noWrap/>
            <w:vAlign w:val="center"/>
          </w:tcPr>
          <w:p w14:paraId="6AF0909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0.8423</w:t>
            </w:r>
          </w:p>
        </w:tc>
        <w:tc>
          <w:tcPr>
            <w:tcW w:w="1179" w:type="dxa"/>
            <w:shd w:val="clear" w:color="auto" w:fill="auto"/>
            <w:noWrap/>
            <w:vAlign w:val="center"/>
          </w:tcPr>
          <w:p w14:paraId="29E8DB4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0.8076</w:t>
            </w:r>
          </w:p>
        </w:tc>
        <w:tc>
          <w:tcPr>
            <w:tcW w:w="1179" w:type="dxa"/>
            <w:shd w:val="clear" w:color="auto" w:fill="auto"/>
            <w:noWrap/>
            <w:vAlign w:val="center"/>
          </w:tcPr>
          <w:p w14:paraId="653149E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0.6313</w:t>
            </w:r>
          </w:p>
        </w:tc>
      </w:tr>
      <w:tr w:rsidR="0062768B" w14:paraId="732E067C" w14:textId="77777777">
        <w:trPr>
          <w:cantSplit/>
          <w:jc w:val="center"/>
        </w:trPr>
        <w:tc>
          <w:tcPr>
            <w:tcW w:w="1179" w:type="dxa"/>
            <w:shd w:val="clear" w:color="auto" w:fill="auto"/>
            <w:noWrap/>
            <w:vAlign w:val="center"/>
          </w:tcPr>
          <w:p w14:paraId="73876CA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4.6 </w:t>
            </w:r>
          </w:p>
        </w:tc>
        <w:tc>
          <w:tcPr>
            <w:tcW w:w="1098" w:type="dxa"/>
            <w:shd w:val="clear" w:color="auto" w:fill="auto"/>
            <w:noWrap/>
            <w:vAlign w:val="center"/>
          </w:tcPr>
          <w:p w14:paraId="2D5F50A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0.916</w:t>
            </w:r>
          </w:p>
        </w:tc>
        <w:tc>
          <w:tcPr>
            <w:tcW w:w="1253" w:type="dxa"/>
            <w:shd w:val="clear" w:color="auto" w:fill="auto"/>
            <w:noWrap/>
            <w:vAlign w:val="center"/>
          </w:tcPr>
          <w:p w14:paraId="3CA4F8F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0.8992</w:t>
            </w:r>
          </w:p>
        </w:tc>
        <w:tc>
          <w:tcPr>
            <w:tcW w:w="1253" w:type="dxa"/>
            <w:shd w:val="clear" w:color="auto" w:fill="auto"/>
            <w:noWrap/>
            <w:vAlign w:val="center"/>
          </w:tcPr>
          <w:p w14:paraId="1FEF283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0.748</w:t>
            </w:r>
          </w:p>
        </w:tc>
        <w:tc>
          <w:tcPr>
            <w:tcW w:w="1179" w:type="dxa"/>
            <w:shd w:val="clear" w:color="auto" w:fill="auto"/>
            <w:vAlign w:val="center"/>
          </w:tcPr>
          <w:p w14:paraId="34E5B63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9.1 </w:t>
            </w:r>
          </w:p>
        </w:tc>
        <w:tc>
          <w:tcPr>
            <w:tcW w:w="979" w:type="dxa"/>
            <w:shd w:val="clear" w:color="auto" w:fill="auto"/>
            <w:noWrap/>
            <w:vAlign w:val="center"/>
          </w:tcPr>
          <w:p w14:paraId="6B8B603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0.841</w:t>
            </w:r>
          </w:p>
        </w:tc>
        <w:tc>
          <w:tcPr>
            <w:tcW w:w="1179" w:type="dxa"/>
            <w:shd w:val="clear" w:color="auto" w:fill="auto"/>
            <w:noWrap/>
            <w:vAlign w:val="center"/>
          </w:tcPr>
          <w:p w14:paraId="5CF65BA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0.806</w:t>
            </w:r>
          </w:p>
        </w:tc>
        <w:tc>
          <w:tcPr>
            <w:tcW w:w="1179" w:type="dxa"/>
            <w:shd w:val="clear" w:color="auto" w:fill="auto"/>
            <w:noWrap/>
            <w:vAlign w:val="center"/>
          </w:tcPr>
          <w:p w14:paraId="7227928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0.6292</w:t>
            </w:r>
          </w:p>
        </w:tc>
      </w:tr>
      <w:tr w:rsidR="0062768B" w14:paraId="7761F309" w14:textId="77777777">
        <w:trPr>
          <w:cantSplit/>
          <w:jc w:val="center"/>
        </w:trPr>
        <w:tc>
          <w:tcPr>
            <w:tcW w:w="1179" w:type="dxa"/>
            <w:shd w:val="clear" w:color="auto" w:fill="auto"/>
            <w:noWrap/>
            <w:vAlign w:val="center"/>
          </w:tcPr>
          <w:p w14:paraId="47BBA62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4.7 </w:t>
            </w:r>
          </w:p>
        </w:tc>
        <w:tc>
          <w:tcPr>
            <w:tcW w:w="1098" w:type="dxa"/>
            <w:shd w:val="clear" w:color="auto" w:fill="auto"/>
            <w:noWrap/>
            <w:vAlign w:val="center"/>
          </w:tcPr>
          <w:p w14:paraId="04E2F22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0.9139</w:t>
            </w:r>
          </w:p>
        </w:tc>
        <w:tc>
          <w:tcPr>
            <w:tcW w:w="1253" w:type="dxa"/>
            <w:shd w:val="clear" w:color="auto" w:fill="auto"/>
            <w:noWrap/>
            <w:vAlign w:val="center"/>
          </w:tcPr>
          <w:p w14:paraId="11717C6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0.8966</w:t>
            </w:r>
          </w:p>
        </w:tc>
        <w:tc>
          <w:tcPr>
            <w:tcW w:w="1253" w:type="dxa"/>
            <w:shd w:val="clear" w:color="auto" w:fill="auto"/>
            <w:noWrap/>
            <w:vAlign w:val="center"/>
          </w:tcPr>
          <w:p w14:paraId="49BEE71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0.7448</w:t>
            </w:r>
          </w:p>
        </w:tc>
        <w:tc>
          <w:tcPr>
            <w:tcW w:w="1179" w:type="dxa"/>
            <w:shd w:val="clear" w:color="auto" w:fill="auto"/>
            <w:vAlign w:val="center"/>
          </w:tcPr>
          <w:p w14:paraId="3BB35AF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9.2 </w:t>
            </w:r>
          </w:p>
        </w:tc>
        <w:tc>
          <w:tcPr>
            <w:tcW w:w="979" w:type="dxa"/>
            <w:shd w:val="clear" w:color="auto" w:fill="auto"/>
            <w:noWrap/>
            <w:vAlign w:val="center"/>
          </w:tcPr>
          <w:p w14:paraId="6AB626E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0.8397</w:t>
            </w:r>
          </w:p>
        </w:tc>
        <w:tc>
          <w:tcPr>
            <w:tcW w:w="1179" w:type="dxa"/>
            <w:shd w:val="clear" w:color="auto" w:fill="auto"/>
            <w:noWrap/>
            <w:vAlign w:val="center"/>
          </w:tcPr>
          <w:p w14:paraId="6900207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0.8044</w:t>
            </w:r>
          </w:p>
        </w:tc>
        <w:tc>
          <w:tcPr>
            <w:tcW w:w="1179" w:type="dxa"/>
            <w:shd w:val="clear" w:color="auto" w:fill="auto"/>
            <w:noWrap/>
            <w:vAlign w:val="center"/>
          </w:tcPr>
          <w:p w14:paraId="44EA9BA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0.6271</w:t>
            </w:r>
          </w:p>
        </w:tc>
      </w:tr>
      <w:tr w:rsidR="0062768B" w14:paraId="73C652AA" w14:textId="77777777">
        <w:trPr>
          <w:cantSplit/>
          <w:jc w:val="center"/>
        </w:trPr>
        <w:tc>
          <w:tcPr>
            <w:tcW w:w="1179" w:type="dxa"/>
            <w:shd w:val="clear" w:color="auto" w:fill="auto"/>
            <w:noWrap/>
            <w:vAlign w:val="center"/>
          </w:tcPr>
          <w:p w14:paraId="03B5A84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4.8 </w:t>
            </w:r>
          </w:p>
        </w:tc>
        <w:tc>
          <w:tcPr>
            <w:tcW w:w="1098" w:type="dxa"/>
            <w:shd w:val="clear" w:color="auto" w:fill="auto"/>
            <w:noWrap/>
            <w:vAlign w:val="center"/>
          </w:tcPr>
          <w:p w14:paraId="6B05064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0.9118</w:t>
            </w:r>
          </w:p>
        </w:tc>
        <w:tc>
          <w:tcPr>
            <w:tcW w:w="1253" w:type="dxa"/>
            <w:shd w:val="clear" w:color="auto" w:fill="auto"/>
            <w:noWrap/>
            <w:vAlign w:val="center"/>
          </w:tcPr>
          <w:p w14:paraId="3ACDC56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0.8941</w:t>
            </w:r>
          </w:p>
        </w:tc>
        <w:tc>
          <w:tcPr>
            <w:tcW w:w="1253" w:type="dxa"/>
            <w:shd w:val="clear" w:color="auto" w:fill="auto"/>
            <w:noWrap/>
            <w:vAlign w:val="center"/>
          </w:tcPr>
          <w:p w14:paraId="0319E51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0.7416</w:t>
            </w:r>
          </w:p>
        </w:tc>
        <w:tc>
          <w:tcPr>
            <w:tcW w:w="1179" w:type="dxa"/>
            <w:shd w:val="clear" w:color="auto" w:fill="auto"/>
            <w:vAlign w:val="center"/>
          </w:tcPr>
          <w:p w14:paraId="13768EC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9.3 </w:t>
            </w:r>
          </w:p>
        </w:tc>
        <w:tc>
          <w:tcPr>
            <w:tcW w:w="979" w:type="dxa"/>
            <w:shd w:val="clear" w:color="auto" w:fill="auto"/>
            <w:noWrap/>
            <w:vAlign w:val="center"/>
          </w:tcPr>
          <w:p w14:paraId="46513A7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0.8384</w:t>
            </w:r>
          </w:p>
        </w:tc>
        <w:tc>
          <w:tcPr>
            <w:tcW w:w="1179" w:type="dxa"/>
            <w:shd w:val="clear" w:color="auto" w:fill="auto"/>
            <w:noWrap/>
            <w:vAlign w:val="center"/>
          </w:tcPr>
          <w:p w14:paraId="353C0E7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0.8028</w:t>
            </w:r>
          </w:p>
        </w:tc>
        <w:tc>
          <w:tcPr>
            <w:tcW w:w="1179" w:type="dxa"/>
            <w:shd w:val="clear" w:color="auto" w:fill="auto"/>
            <w:noWrap/>
            <w:vAlign w:val="center"/>
          </w:tcPr>
          <w:p w14:paraId="5C02D58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0.6251</w:t>
            </w:r>
          </w:p>
        </w:tc>
      </w:tr>
      <w:tr w:rsidR="0062768B" w14:paraId="02B0ACAA" w14:textId="77777777">
        <w:trPr>
          <w:cantSplit/>
          <w:jc w:val="center"/>
        </w:trPr>
        <w:tc>
          <w:tcPr>
            <w:tcW w:w="1179" w:type="dxa"/>
            <w:shd w:val="clear" w:color="auto" w:fill="auto"/>
            <w:noWrap/>
            <w:vAlign w:val="center"/>
          </w:tcPr>
          <w:p w14:paraId="1A5E2D8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4.9 </w:t>
            </w:r>
          </w:p>
        </w:tc>
        <w:tc>
          <w:tcPr>
            <w:tcW w:w="1098" w:type="dxa"/>
            <w:shd w:val="clear" w:color="auto" w:fill="auto"/>
            <w:noWrap/>
            <w:vAlign w:val="center"/>
          </w:tcPr>
          <w:p w14:paraId="2A068CB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0.9098</w:t>
            </w:r>
          </w:p>
        </w:tc>
        <w:tc>
          <w:tcPr>
            <w:tcW w:w="1253" w:type="dxa"/>
            <w:shd w:val="clear" w:color="auto" w:fill="auto"/>
            <w:noWrap/>
            <w:vAlign w:val="center"/>
          </w:tcPr>
          <w:p w14:paraId="5850D9B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0.8916</w:t>
            </w:r>
          </w:p>
        </w:tc>
        <w:tc>
          <w:tcPr>
            <w:tcW w:w="1253" w:type="dxa"/>
            <w:shd w:val="clear" w:color="auto" w:fill="auto"/>
            <w:noWrap/>
            <w:vAlign w:val="center"/>
          </w:tcPr>
          <w:p w14:paraId="30BD12C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0.7384</w:t>
            </w:r>
          </w:p>
        </w:tc>
        <w:tc>
          <w:tcPr>
            <w:tcW w:w="1179" w:type="dxa"/>
            <w:shd w:val="clear" w:color="auto" w:fill="auto"/>
            <w:vAlign w:val="center"/>
          </w:tcPr>
          <w:p w14:paraId="6086393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9.4 </w:t>
            </w:r>
          </w:p>
        </w:tc>
        <w:tc>
          <w:tcPr>
            <w:tcW w:w="979" w:type="dxa"/>
            <w:shd w:val="clear" w:color="auto" w:fill="auto"/>
            <w:noWrap/>
            <w:vAlign w:val="center"/>
          </w:tcPr>
          <w:p w14:paraId="184D62B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0.8371</w:t>
            </w:r>
          </w:p>
        </w:tc>
        <w:tc>
          <w:tcPr>
            <w:tcW w:w="1179" w:type="dxa"/>
            <w:shd w:val="clear" w:color="auto" w:fill="auto"/>
            <w:noWrap/>
            <w:vAlign w:val="center"/>
          </w:tcPr>
          <w:p w14:paraId="6BD11D1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0.8012</w:t>
            </w:r>
          </w:p>
        </w:tc>
        <w:tc>
          <w:tcPr>
            <w:tcW w:w="1179" w:type="dxa"/>
            <w:shd w:val="clear" w:color="auto" w:fill="auto"/>
            <w:noWrap/>
            <w:vAlign w:val="center"/>
          </w:tcPr>
          <w:p w14:paraId="5055B29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0.6231</w:t>
            </w:r>
          </w:p>
        </w:tc>
      </w:tr>
      <w:tr w:rsidR="0062768B" w14:paraId="121A84DC" w14:textId="77777777">
        <w:trPr>
          <w:cantSplit/>
          <w:jc w:val="center"/>
        </w:trPr>
        <w:tc>
          <w:tcPr>
            <w:tcW w:w="1179" w:type="dxa"/>
            <w:shd w:val="clear" w:color="auto" w:fill="auto"/>
            <w:noWrap/>
            <w:vAlign w:val="center"/>
          </w:tcPr>
          <w:p w14:paraId="4EDCA18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5.0</w:t>
            </w:r>
          </w:p>
        </w:tc>
        <w:tc>
          <w:tcPr>
            <w:tcW w:w="1098" w:type="dxa"/>
            <w:shd w:val="clear" w:color="auto" w:fill="auto"/>
            <w:noWrap/>
            <w:vAlign w:val="center"/>
          </w:tcPr>
          <w:p w14:paraId="012D21C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0.9078</w:t>
            </w:r>
          </w:p>
        </w:tc>
        <w:tc>
          <w:tcPr>
            <w:tcW w:w="1253" w:type="dxa"/>
            <w:shd w:val="clear" w:color="auto" w:fill="auto"/>
            <w:noWrap/>
            <w:vAlign w:val="center"/>
          </w:tcPr>
          <w:p w14:paraId="3B76354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0.8891</w:t>
            </w:r>
          </w:p>
        </w:tc>
        <w:tc>
          <w:tcPr>
            <w:tcW w:w="1253" w:type="dxa"/>
            <w:shd w:val="clear" w:color="auto" w:fill="auto"/>
            <w:noWrap/>
            <w:vAlign w:val="center"/>
          </w:tcPr>
          <w:p w14:paraId="40E59D2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0.7353</w:t>
            </w:r>
          </w:p>
        </w:tc>
        <w:tc>
          <w:tcPr>
            <w:tcW w:w="1179" w:type="dxa"/>
            <w:shd w:val="clear" w:color="auto" w:fill="auto"/>
            <w:vAlign w:val="center"/>
          </w:tcPr>
          <w:p w14:paraId="43CBFD9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9.5 </w:t>
            </w:r>
          </w:p>
        </w:tc>
        <w:tc>
          <w:tcPr>
            <w:tcW w:w="979" w:type="dxa"/>
            <w:shd w:val="clear" w:color="auto" w:fill="auto"/>
            <w:noWrap/>
            <w:vAlign w:val="center"/>
          </w:tcPr>
          <w:p w14:paraId="03CBC0A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0.8358</w:t>
            </w:r>
          </w:p>
        </w:tc>
        <w:tc>
          <w:tcPr>
            <w:tcW w:w="1179" w:type="dxa"/>
            <w:shd w:val="clear" w:color="auto" w:fill="auto"/>
            <w:noWrap/>
            <w:vAlign w:val="center"/>
          </w:tcPr>
          <w:p w14:paraId="3AAA8EC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0.7996</w:t>
            </w:r>
          </w:p>
        </w:tc>
        <w:tc>
          <w:tcPr>
            <w:tcW w:w="1179" w:type="dxa"/>
            <w:shd w:val="clear" w:color="auto" w:fill="auto"/>
            <w:noWrap/>
            <w:vAlign w:val="center"/>
          </w:tcPr>
          <w:p w14:paraId="3C332B8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0.6211</w:t>
            </w:r>
          </w:p>
        </w:tc>
      </w:tr>
      <w:tr w:rsidR="0062768B" w14:paraId="674A03F2" w14:textId="77777777">
        <w:trPr>
          <w:cantSplit/>
          <w:jc w:val="center"/>
        </w:trPr>
        <w:tc>
          <w:tcPr>
            <w:tcW w:w="1179" w:type="dxa"/>
            <w:shd w:val="clear" w:color="auto" w:fill="auto"/>
            <w:noWrap/>
            <w:vAlign w:val="center"/>
          </w:tcPr>
          <w:p w14:paraId="1E67AE1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5.1 </w:t>
            </w:r>
          </w:p>
        </w:tc>
        <w:tc>
          <w:tcPr>
            <w:tcW w:w="1098" w:type="dxa"/>
            <w:shd w:val="clear" w:color="auto" w:fill="auto"/>
            <w:noWrap/>
            <w:vAlign w:val="center"/>
          </w:tcPr>
          <w:p w14:paraId="0A8E446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0.9058</w:t>
            </w:r>
          </w:p>
        </w:tc>
        <w:tc>
          <w:tcPr>
            <w:tcW w:w="1253" w:type="dxa"/>
            <w:shd w:val="clear" w:color="auto" w:fill="auto"/>
            <w:noWrap/>
            <w:vAlign w:val="center"/>
          </w:tcPr>
          <w:p w14:paraId="0EE2148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0.8867</w:t>
            </w:r>
          </w:p>
        </w:tc>
        <w:tc>
          <w:tcPr>
            <w:tcW w:w="1253" w:type="dxa"/>
            <w:shd w:val="clear" w:color="auto" w:fill="auto"/>
            <w:noWrap/>
            <w:vAlign w:val="center"/>
          </w:tcPr>
          <w:p w14:paraId="123A705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0.7322</w:t>
            </w:r>
          </w:p>
        </w:tc>
        <w:tc>
          <w:tcPr>
            <w:tcW w:w="1179" w:type="dxa"/>
            <w:shd w:val="clear" w:color="auto" w:fill="auto"/>
            <w:vAlign w:val="center"/>
          </w:tcPr>
          <w:p w14:paraId="66F45F4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9.6 </w:t>
            </w:r>
          </w:p>
        </w:tc>
        <w:tc>
          <w:tcPr>
            <w:tcW w:w="979" w:type="dxa"/>
            <w:shd w:val="clear" w:color="auto" w:fill="auto"/>
            <w:noWrap/>
            <w:vAlign w:val="center"/>
          </w:tcPr>
          <w:p w14:paraId="47F8A81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0.8346</w:t>
            </w:r>
          </w:p>
        </w:tc>
        <w:tc>
          <w:tcPr>
            <w:tcW w:w="1179" w:type="dxa"/>
            <w:shd w:val="clear" w:color="auto" w:fill="auto"/>
            <w:noWrap/>
            <w:vAlign w:val="center"/>
          </w:tcPr>
          <w:p w14:paraId="2955977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0.798</w:t>
            </w:r>
          </w:p>
        </w:tc>
        <w:tc>
          <w:tcPr>
            <w:tcW w:w="1179" w:type="dxa"/>
            <w:shd w:val="clear" w:color="auto" w:fill="auto"/>
            <w:noWrap/>
            <w:vAlign w:val="center"/>
          </w:tcPr>
          <w:p w14:paraId="53A11FB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0.6191</w:t>
            </w:r>
          </w:p>
        </w:tc>
      </w:tr>
      <w:tr w:rsidR="0062768B" w14:paraId="1F0EBD61" w14:textId="77777777">
        <w:trPr>
          <w:cantSplit/>
          <w:jc w:val="center"/>
        </w:trPr>
        <w:tc>
          <w:tcPr>
            <w:tcW w:w="1179" w:type="dxa"/>
            <w:shd w:val="clear" w:color="auto" w:fill="auto"/>
            <w:noWrap/>
            <w:vAlign w:val="center"/>
          </w:tcPr>
          <w:p w14:paraId="1D8646A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5.2 </w:t>
            </w:r>
          </w:p>
        </w:tc>
        <w:tc>
          <w:tcPr>
            <w:tcW w:w="1098" w:type="dxa"/>
            <w:shd w:val="clear" w:color="auto" w:fill="auto"/>
            <w:noWrap/>
            <w:vAlign w:val="center"/>
          </w:tcPr>
          <w:p w14:paraId="4351A2E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0.9038</w:t>
            </w:r>
          </w:p>
        </w:tc>
        <w:tc>
          <w:tcPr>
            <w:tcW w:w="1253" w:type="dxa"/>
            <w:shd w:val="clear" w:color="auto" w:fill="auto"/>
            <w:noWrap/>
            <w:vAlign w:val="center"/>
          </w:tcPr>
          <w:p w14:paraId="2DE2514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0.8843</w:t>
            </w:r>
          </w:p>
        </w:tc>
        <w:tc>
          <w:tcPr>
            <w:tcW w:w="1253" w:type="dxa"/>
            <w:shd w:val="clear" w:color="auto" w:fill="auto"/>
            <w:noWrap/>
            <w:vAlign w:val="center"/>
          </w:tcPr>
          <w:p w14:paraId="5E54EBD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0.7291</w:t>
            </w:r>
          </w:p>
        </w:tc>
        <w:tc>
          <w:tcPr>
            <w:tcW w:w="1179" w:type="dxa"/>
            <w:shd w:val="clear" w:color="auto" w:fill="auto"/>
            <w:vAlign w:val="center"/>
          </w:tcPr>
          <w:p w14:paraId="7AE8187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9.7 </w:t>
            </w:r>
          </w:p>
        </w:tc>
        <w:tc>
          <w:tcPr>
            <w:tcW w:w="979" w:type="dxa"/>
            <w:shd w:val="clear" w:color="auto" w:fill="auto"/>
            <w:noWrap/>
            <w:vAlign w:val="center"/>
          </w:tcPr>
          <w:p w14:paraId="34FEFE5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0.8334</w:t>
            </w:r>
          </w:p>
        </w:tc>
        <w:tc>
          <w:tcPr>
            <w:tcW w:w="1179" w:type="dxa"/>
            <w:shd w:val="clear" w:color="auto" w:fill="auto"/>
            <w:noWrap/>
            <w:vAlign w:val="center"/>
          </w:tcPr>
          <w:p w14:paraId="356F641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0.7965</w:t>
            </w:r>
          </w:p>
        </w:tc>
        <w:tc>
          <w:tcPr>
            <w:tcW w:w="1179" w:type="dxa"/>
            <w:shd w:val="clear" w:color="auto" w:fill="auto"/>
            <w:noWrap/>
            <w:vAlign w:val="center"/>
          </w:tcPr>
          <w:p w14:paraId="0D5F60B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0.6172</w:t>
            </w:r>
          </w:p>
        </w:tc>
      </w:tr>
      <w:tr w:rsidR="0062768B" w14:paraId="775F1463" w14:textId="77777777">
        <w:trPr>
          <w:cantSplit/>
          <w:jc w:val="center"/>
        </w:trPr>
        <w:tc>
          <w:tcPr>
            <w:tcW w:w="1179" w:type="dxa"/>
            <w:shd w:val="clear" w:color="auto" w:fill="auto"/>
            <w:noWrap/>
            <w:vAlign w:val="center"/>
          </w:tcPr>
          <w:p w14:paraId="1383E4B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5.3 </w:t>
            </w:r>
          </w:p>
        </w:tc>
        <w:tc>
          <w:tcPr>
            <w:tcW w:w="1098" w:type="dxa"/>
            <w:shd w:val="clear" w:color="auto" w:fill="auto"/>
            <w:noWrap/>
            <w:vAlign w:val="center"/>
          </w:tcPr>
          <w:p w14:paraId="45EB10D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0.9019</w:t>
            </w:r>
          </w:p>
        </w:tc>
        <w:tc>
          <w:tcPr>
            <w:tcW w:w="1253" w:type="dxa"/>
            <w:shd w:val="clear" w:color="auto" w:fill="auto"/>
            <w:noWrap/>
            <w:vAlign w:val="center"/>
          </w:tcPr>
          <w:p w14:paraId="65F1A3F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0.8819</w:t>
            </w:r>
          </w:p>
        </w:tc>
        <w:tc>
          <w:tcPr>
            <w:tcW w:w="1253" w:type="dxa"/>
            <w:shd w:val="clear" w:color="auto" w:fill="auto"/>
            <w:noWrap/>
            <w:vAlign w:val="center"/>
          </w:tcPr>
          <w:p w14:paraId="022C9D8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0.7261</w:t>
            </w:r>
          </w:p>
        </w:tc>
        <w:tc>
          <w:tcPr>
            <w:tcW w:w="1179" w:type="dxa"/>
            <w:shd w:val="clear" w:color="auto" w:fill="auto"/>
            <w:vAlign w:val="center"/>
          </w:tcPr>
          <w:p w14:paraId="04A48A4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9.8 </w:t>
            </w:r>
          </w:p>
        </w:tc>
        <w:tc>
          <w:tcPr>
            <w:tcW w:w="979" w:type="dxa"/>
            <w:shd w:val="clear" w:color="auto" w:fill="auto"/>
            <w:noWrap/>
            <w:vAlign w:val="center"/>
          </w:tcPr>
          <w:p w14:paraId="375A9DA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0.8322</w:t>
            </w:r>
          </w:p>
        </w:tc>
        <w:tc>
          <w:tcPr>
            <w:tcW w:w="1179" w:type="dxa"/>
            <w:shd w:val="clear" w:color="auto" w:fill="auto"/>
            <w:noWrap/>
            <w:vAlign w:val="center"/>
          </w:tcPr>
          <w:p w14:paraId="2A5E7C1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0.795</w:t>
            </w:r>
          </w:p>
        </w:tc>
        <w:tc>
          <w:tcPr>
            <w:tcW w:w="1179" w:type="dxa"/>
            <w:shd w:val="clear" w:color="auto" w:fill="auto"/>
            <w:noWrap/>
            <w:vAlign w:val="center"/>
          </w:tcPr>
          <w:p w14:paraId="05CBD2B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0.6153</w:t>
            </w:r>
          </w:p>
        </w:tc>
      </w:tr>
      <w:tr w:rsidR="0062768B" w14:paraId="3A636276" w14:textId="77777777">
        <w:trPr>
          <w:cantSplit/>
          <w:jc w:val="center"/>
        </w:trPr>
        <w:tc>
          <w:tcPr>
            <w:tcW w:w="1179" w:type="dxa"/>
            <w:shd w:val="clear" w:color="auto" w:fill="auto"/>
            <w:vAlign w:val="center"/>
          </w:tcPr>
          <w:p w14:paraId="159E015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5.4 </w:t>
            </w:r>
          </w:p>
        </w:tc>
        <w:tc>
          <w:tcPr>
            <w:tcW w:w="1098" w:type="dxa"/>
            <w:shd w:val="clear" w:color="auto" w:fill="auto"/>
            <w:noWrap/>
            <w:vAlign w:val="center"/>
          </w:tcPr>
          <w:p w14:paraId="69A7401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w:t>
            </w:r>
          </w:p>
        </w:tc>
        <w:tc>
          <w:tcPr>
            <w:tcW w:w="1253" w:type="dxa"/>
            <w:shd w:val="clear" w:color="auto" w:fill="auto"/>
            <w:noWrap/>
            <w:vAlign w:val="center"/>
          </w:tcPr>
          <w:p w14:paraId="5052EDD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0.8795</w:t>
            </w:r>
          </w:p>
        </w:tc>
        <w:tc>
          <w:tcPr>
            <w:tcW w:w="1253" w:type="dxa"/>
            <w:shd w:val="clear" w:color="auto" w:fill="auto"/>
            <w:noWrap/>
            <w:vAlign w:val="center"/>
          </w:tcPr>
          <w:p w14:paraId="187AA35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0.7231</w:t>
            </w:r>
          </w:p>
        </w:tc>
        <w:tc>
          <w:tcPr>
            <w:tcW w:w="1179" w:type="dxa"/>
            <w:shd w:val="clear" w:color="auto" w:fill="auto"/>
            <w:vAlign w:val="center"/>
          </w:tcPr>
          <w:p w14:paraId="33D881A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9.9</w:t>
            </w:r>
          </w:p>
        </w:tc>
        <w:tc>
          <w:tcPr>
            <w:tcW w:w="979" w:type="dxa"/>
            <w:shd w:val="clear" w:color="auto" w:fill="auto"/>
            <w:noWrap/>
            <w:vAlign w:val="center"/>
          </w:tcPr>
          <w:p w14:paraId="13F340C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0.831</w:t>
            </w:r>
          </w:p>
        </w:tc>
        <w:tc>
          <w:tcPr>
            <w:tcW w:w="1179" w:type="dxa"/>
            <w:shd w:val="clear" w:color="auto" w:fill="auto"/>
            <w:noWrap/>
            <w:vAlign w:val="center"/>
          </w:tcPr>
          <w:p w14:paraId="7609135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0.7935</w:t>
            </w:r>
          </w:p>
        </w:tc>
        <w:tc>
          <w:tcPr>
            <w:tcW w:w="1179" w:type="dxa"/>
            <w:shd w:val="clear" w:color="auto" w:fill="auto"/>
            <w:noWrap/>
            <w:vAlign w:val="center"/>
          </w:tcPr>
          <w:p w14:paraId="5537026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0.6134</w:t>
            </w:r>
          </w:p>
        </w:tc>
      </w:tr>
      <w:tr w:rsidR="0062768B" w14:paraId="52BD2C55" w14:textId="77777777">
        <w:trPr>
          <w:cantSplit/>
          <w:jc w:val="center"/>
        </w:trPr>
        <w:tc>
          <w:tcPr>
            <w:tcW w:w="9299" w:type="dxa"/>
            <w:gridSpan w:val="8"/>
            <w:shd w:val="clear" w:color="auto" w:fill="auto"/>
            <w:vAlign w:val="center"/>
          </w:tcPr>
          <w:p w14:paraId="11C5222F" w14:textId="77777777" w:rsidR="0062768B" w:rsidRDefault="00136729">
            <w:pPr>
              <w:spacing w:line="200" w:lineRule="exact"/>
              <w:rPr>
                <w:rFonts w:ascii="Arial" w:eastAsia="仿宋" w:hAnsi="Arial" w:cs="Arial"/>
                <w:sz w:val="20"/>
              </w:rPr>
            </w:pPr>
            <w:r>
              <w:rPr>
                <w:rFonts w:ascii="Arial" w:eastAsia="仿宋" w:hAnsi="Arial" w:cs="Arial"/>
                <w:sz w:val="20"/>
              </w:rPr>
              <w:t>说明：容积率大于等于</w:t>
            </w:r>
            <w:r>
              <w:rPr>
                <w:rFonts w:ascii="Arial" w:eastAsia="仿宋" w:hAnsi="Arial" w:cs="Arial"/>
                <w:sz w:val="20"/>
              </w:rPr>
              <w:t>10</w:t>
            </w:r>
            <w:r>
              <w:rPr>
                <w:rFonts w:ascii="Arial" w:eastAsia="仿宋" w:hAnsi="Arial" w:cs="Arial"/>
                <w:sz w:val="20"/>
              </w:rPr>
              <w:t>时的容积率修正系数按照以下公式计算：</w:t>
            </w:r>
            <w:r>
              <w:rPr>
                <w:rFonts w:ascii="Arial" w:eastAsia="仿宋" w:hAnsi="Arial" w:cs="Arial"/>
                <w:sz w:val="20"/>
              </w:rPr>
              <w:t>1</w:t>
            </w:r>
            <w:r>
              <w:rPr>
                <w:rFonts w:ascii="Arial" w:eastAsia="仿宋" w:hAnsi="Arial" w:cs="Arial"/>
                <w:sz w:val="20"/>
              </w:rPr>
              <w:t>～</w:t>
            </w:r>
            <w:r>
              <w:rPr>
                <w:rFonts w:ascii="Arial" w:eastAsia="仿宋" w:hAnsi="Arial" w:cs="Arial"/>
                <w:sz w:val="20"/>
              </w:rPr>
              <w:t>2</w:t>
            </w:r>
            <w:r>
              <w:rPr>
                <w:rFonts w:ascii="Arial" w:eastAsia="仿宋" w:hAnsi="Arial" w:cs="Arial"/>
                <w:sz w:val="20"/>
              </w:rPr>
              <w:t>级：</w:t>
            </w:r>
            <w:r>
              <w:rPr>
                <w:rFonts w:ascii="Arial" w:eastAsia="仿宋" w:hAnsi="Arial" w:cs="Arial"/>
                <w:sz w:val="20"/>
              </w:rPr>
              <w:t>X</w:t>
            </w:r>
            <w:r>
              <w:rPr>
                <w:rFonts w:ascii="Arial" w:eastAsia="仿宋" w:hAnsi="Arial" w:cs="Arial"/>
                <w:sz w:val="20"/>
                <w:vertAlign w:val="subscript"/>
              </w:rPr>
              <w:t>R</w:t>
            </w:r>
            <w:r>
              <w:rPr>
                <w:rFonts w:ascii="Arial" w:eastAsia="仿宋" w:hAnsi="Arial" w:cs="Arial"/>
                <w:sz w:val="20"/>
              </w:rPr>
              <w:t>＝</w:t>
            </w:r>
            <w:r>
              <w:rPr>
                <w:rFonts w:ascii="Arial" w:eastAsia="仿宋" w:hAnsi="Arial" w:cs="Arial"/>
                <w:sz w:val="20"/>
              </w:rPr>
              <w:t>0.9448</w:t>
            </w:r>
            <w:r>
              <w:rPr>
                <w:rFonts w:ascii="Arial" w:eastAsia="仿宋" w:hAnsi="Arial" w:cs="Arial"/>
                <w:sz w:val="20"/>
              </w:rPr>
              <w:t>－</w:t>
            </w:r>
            <w:r>
              <w:rPr>
                <w:rFonts w:ascii="Arial" w:eastAsia="仿宋" w:hAnsi="Arial" w:cs="Arial"/>
                <w:sz w:val="20"/>
              </w:rPr>
              <w:t>0.0115R</w:t>
            </w:r>
            <w:r>
              <w:rPr>
                <w:rFonts w:ascii="Arial" w:eastAsia="仿宋" w:hAnsi="Arial" w:cs="Arial"/>
                <w:sz w:val="20"/>
              </w:rPr>
              <w:t>；</w:t>
            </w:r>
            <w:r>
              <w:rPr>
                <w:rFonts w:ascii="Arial" w:eastAsia="仿宋" w:hAnsi="Arial" w:cs="Arial"/>
                <w:sz w:val="20"/>
              </w:rPr>
              <w:t>3</w:t>
            </w:r>
            <w:r>
              <w:rPr>
                <w:rFonts w:ascii="Arial" w:eastAsia="仿宋" w:hAnsi="Arial" w:cs="Arial"/>
                <w:sz w:val="20"/>
              </w:rPr>
              <w:t>～</w:t>
            </w:r>
            <w:r>
              <w:rPr>
                <w:rFonts w:ascii="Arial" w:eastAsia="仿宋" w:hAnsi="Arial" w:cs="Arial"/>
                <w:sz w:val="20"/>
              </w:rPr>
              <w:t>7</w:t>
            </w:r>
            <w:r>
              <w:rPr>
                <w:rFonts w:ascii="Arial" w:eastAsia="仿宋" w:hAnsi="Arial" w:cs="Arial"/>
                <w:sz w:val="20"/>
              </w:rPr>
              <w:t>级：</w:t>
            </w:r>
            <w:r>
              <w:rPr>
                <w:rFonts w:ascii="Arial" w:eastAsia="仿宋" w:hAnsi="Arial" w:cs="Arial"/>
                <w:sz w:val="20"/>
              </w:rPr>
              <w:t>X</w:t>
            </w:r>
            <w:r>
              <w:rPr>
                <w:rFonts w:ascii="Arial" w:eastAsia="仿宋" w:hAnsi="Arial" w:cs="Arial"/>
                <w:sz w:val="20"/>
                <w:vertAlign w:val="subscript"/>
              </w:rPr>
              <w:t>R</w:t>
            </w:r>
            <w:r>
              <w:rPr>
                <w:rFonts w:ascii="Arial" w:eastAsia="仿宋" w:hAnsi="Arial" w:cs="Arial"/>
                <w:sz w:val="20"/>
              </w:rPr>
              <w:t>＝</w:t>
            </w:r>
            <w:r>
              <w:rPr>
                <w:rFonts w:ascii="Arial" w:eastAsia="仿宋" w:hAnsi="Arial" w:cs="Arial"/>
                <w:sz w:val="20"/>
              </w:rPr>
              <w:t>0.937</w:t>
            </w:r>
            <w:r>
              <w:rPr>
                <w:rFonts w:ascii="Arial" w:eastAsia="仿宋" w:hAnsi="Arial" w:cs="Arial"/>
                <w:sz w:val="20"/>
              </w:rPr>
              <w:t>－</w:t>
            </w:r>
            <w:r>
              <w:rPr>
                <w:rFonts w:ascii="Arial" w:eastAsia="仿宋" w:hAnsi="Arial" w:cs="Arial"/>
                <w:sz w:val="20"/>
              </w:rPr>
              <w:t>0.0145R</w:t>
            </w:r>
            <w:r>
              <w:rPr>
                <w:rFonts w:ascii="Arial" w:eastAsia="仿宋" w:hAnsi="Arial" w:cs="Arial"/>
                <w:sz w:val="20"/>
              </w:rPr>
              <w:t>；</w:t>
            </w:r>
            <w:r>
              <w:rPr>
                <w:rFonts w:ascii="Arial" w:eastAsia="仿宋" w:hAnsi="Arial" w:cs="Arial"/>
                <w:sz w:val="20"/>
              </w:rPr>
              <w:t>8</w:t>
            </w:r>
            <w:r>
              <w:rPr>
                <w:rFonts w:ascii="Arial" w:eastAsia="仿宋" w:hAnsi="Arial" w:cs="Arial"/>
                <w:sz w:val="20"/>
              </w:rPr>
              <w:t>～</w:t>
            </w:r>
            <w:r>
              <w:rPr>
                <w:rFonts w:ascii="Arial" w:eastAsia="仿宋" w:hAnsi="Arial" w:cs="Arial"/>
                <w:sz w:val="20"/>
              </w:rPr>
              <w:t>12</w:t>
            </w:r>
            <w:r>
              <w:rPr>
                <w:rFonts w:ascii="Arial" w:eastAsia="仿宋" w:hAnsi="Arial" w:cs="Arial"/>
                <w:sz w:val="20"/>
              </w:rPr>
              <w:t>级：</w:t>
            </w:r>
            <w:r>
              <w:rPr>
                <w:rFonts w:ascii="Arial" w:eastAsia="仿宋" w:hAnsi="Arial" w:cs="Arial"/>
                <w:sz w:val="20"/>
              </w:rPr>
              <w:t>X</w:t>
            </w:r>
            <w:r>
              <w:rPr>
                <w:rFonts w:ascii="Arial" w:eastAsia="仿宋" w:hAnsi="Arial" w:cs="Arial"/>
                <w:sz w:val="20"/>
                <w:vertAlign w:val="subscript"/>
              </w:rPr>
              <w:t>R</w:t>
            </w:r>
            <w:r>
              <w:rPr>
                <w:rFonts w:ascii="Arial" w:eastAsia="仿宋" w:hAnsi="Arial" w:cs="Arial"/>
                <w:sz w:val="20"/>
              </w:rPr>
              <w:t>＝</w:t>
            </w:r>
            <w:r>
              <w:rPr>
                <w:rFonts w:ascii="Arial" w:eastAsia="仿宋" w:hAnsi="Arial" w:cs="Arial"/>
                <w:sz w:val="20"/>
              </w:rPr>
              <w:t>0.7965</w:t>
            </w:r>
            <w:r>
              <w:rPr>
                <w:rFonts w:ascii="Arial" w:eastAsia="仿宋" w:hAnsi="Arial" w:cs="Arial"/>
                <w:sz w:val="20"/>
              </w:rPr>
              <w:t>－</w:t>
            </w:r>
            <w:r>
              <w:rPr>
                <w:rFonts w:ascii="Arial" w:eastAsia="仿宋" w:hAnsi="Arial" w:cs="Arial"/>
                <w:sz w:val="20"/>
              </w:rPr>
              <w:t>0.0185R</w:t>
            </w:r>
            <w:r>
              <w:rPr>
                <w:rFonts w:ascii="Arial" w:eastAsia="仿宋" w:hAnsi="Arial" w:cs="Arial"/>
                <w:sz w:val="20"/>
              </w:rPr>
              <w:t>。</w:t>
            </w:r>
          </w:p>
        </w:tc>
      </w:tr>
    </w:tbl>
    <w:p w14:paraId="3E5A88C1" w14:textId="77777777" w:rsidR="0062768B" w:rsidRDefault="0062768B">
      <w:pPr>
        <w:adjustRightInd/>
        <w:spacing w:line="300" w:lineRule="auto"/>
        <w:ind w:firstLineChars="200" w:firstLine="560"/>
        <w:rPr>
          <w:rFonts w:ascii="Arial" w:eastAsia="仿宋" w:hAnsi="Arial" w:cs="Arial"/>
          <w:sz w:val="28"/>
        </w:rPr>
      </w:pPr>
    </w:p>
    <w:p w14:paraId="323D1FB8"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估价对象容积率</w:t>
      </w:r>
      <w:r>
        <w:rPr>
          <w:rFonts w:ascii="Arial" w:eastAsia="仿宋" w:hAnsi="Arial" w:cs="Arial"/>
          <w:sz w:val="28"/>
          <w:szCs w:val="28"/>
        </w:rPr>
        <w:t>R</w:t>
      </w:r>
      <w:r>
        <w:rPr>
          <w:rFonts w:ascii="Arial" w:eastAsia="仿宋" w:hAnsi="Arial" w:cs="Arial"/>
          <w:sz w:val="28"/>
          <w:szCs w:val="28"/>
        </w:rPr>
        <w:t>为</w:t>
      </w:r>
      <w:r>
        <w:rPr>
          <w:rFonts w:ascii="Arial" w:eastAsia="仿宋" w:hAnsi="Arial" w:cs="Arial"/>
          <w:sz w:val="28"/>
          <w:szCs w:val="28"/>
        </w:rPr>
        <w:t>1.20</w:t>
      </w:r>
      <w:r>
        <w:rPr>
          <w:rFonts w:ascii="Arial" w:eastAsia="仿宋" w:hAnsi="Arial" w:cs="Arial"/>
          <w:sz w:val="28"/>
          <w:szCs w:val="28"/>
        </w:rPr>
        <w:t>，根据上表可知，容积率修正系数为</w:t>
      </w:r>
      <w:r>
        <w:rPr>
          <w:rFonts w:ascii="Arial" w:eastAsia="仿宋" w:hAnsi="Arial" w:cs="Arial"/>
          <w:sz w:val="28"/>
          <w:szCs w:val="28"/>
        </w:rPr>
        <w:t>1.0597</w:t>
      </w:r>
      <w:r>
        <w:rPr>
          <w:rFonts w:ascii="Arial" w:eastAsia="仿宋" w:hAnsi="Arial" w:cs="Arial"/>
          <w:sz w:val="28"/>
          <w:szCs w:val="28"/>
        </w:rPr>
        <w:t>。</w:t>
      </w:r>
    </w:p>
    <w:p w14:paraId="6DF693E2" w14:textId="77777777" w:rsidR="0062768B" w:rsidRDefault="00136729">
      <w:pPr>
        <w:adjustRightInd/>
        <w:spacing w:line="300" w:lineRule="auto"/>
        <w:ind w:firstLineChars="200" w:firstLine="560"/>
        <w:rPr>
          <w:rFonts w:ascii="Arial" w:eastAsia="仿宋" w:hAnsi="Arial" w:cs="Arial"/>
          <w:sz w:val="28"/>
        </w:rPr>
      </w:pPr>
      <w:r>
        <w:rPr>
          <w:rFonts w:ascii="Arial" w:eastAsia="仿宋" w:hAnsi="Arial" w:cs="Arial"/>
          <w:sz w:val="28"/>
        </w:rPr>
        <w:lastRenderedPageBreak/>
        <w:t>（</w:t>
      </w:r>
      <w:r>
        <w:rPr>
          <w:rFonts w:ascii="Arial" w:eastAsia="仿宋" w:hAnsi="Arial" w:cs="Arial"/>
          <w:sz w:val="28"/>
        </w:rPr>
        <w:t>F</w:t>
      </w:r>
      <w:r>
        <w:rPr>
          <w:rFonts w:ascii="Arial" w:eastAsia="仿宋" w:hAnsi="Arial" w:cs="Arial"/>
          <w:sz w:val="28"/>
        </w:rPr>
        <w:t>）因素修正系数的确定</w:t>
      </w:r>
    </w:p>
    <w:p w14:paraId="27942E3A" w14:textId="77777777" w:rsidR="0062768B" w:rsidRDefault="00136729">
      <w:pPr>
        <w:adjustRightInd/>
        <w:spacing w:line="300" w:lineRule="auto"/>
        <w:ind w:firstLineChars="200" w:firstLine="560"/>
        <w:rPr>
          <w:rFonts w:ascii="Arial" w:eastAsia="仿宋" w:hAnsi="Arial" w:cs="Arial"/>
          <w:sz w:val="28"/>
        </w:rPr>
      </w:pPr>
      <w:r>
        <w:rPr>
          <w:rFonts w:ascii="Arial" w:eastAsia="仿宋" w:hAnsi="Arial" w:cs="Arial"/>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7ABE3AE9" w14:textId="77777777" w:rsidR="0062768B" w:rsidRDefault="00136729">
      <w:pPr>
        <w:adjustRightInd/>
        <w:spacing w:line="300" w:lineRule="auto"/>
        <w:ind w:firstLineChars="200" w:firstLine="560"/>
        <w:rPr>
          <w:rFonts w:ascii="Arial" w:eastAsia="仿宋" w:hAnsi="Arial" w:cs="Arial"/>
          <w:sz w:val="28"/>
        </w:rPr>
      </w:pPr>
      <w:r>
        <w:rPr>
          <w:rFonts w:ascii="Arial" w:eastAsia="仿宋" w:hAnsi="Arial" w:cs="Arial"/>
          <w:sz w:val="28"/>
        </w:rPr>
        <w:t>因素修正系数</w:t>
      </w:r>
      <w:r>
        <w:rPr>
          <w:rFonts w:ascii="Arial" w:eastAsia="仿宋" w:hAnsi="Arial" w:cs="Arial"/>
          <w:sz w:val="28"/>
        </w:rPr>
        <w:t>=1</w:t>
      </w:r>
      <w:r>
        <w:rPr>
          <w:rFonts w:ascii="Arial" w:eastAsia="仿宋" w:hAnsi="Arial" w:cs="Arial"/>
          <w:sz w:val="28"/>
        </w:rPr>
        <w:t>＋</w:t>
      </w:r>
      <w:r>
        <w:rPr>
          <w:rFonts w:ascii="Arial" w:eastAsia="仿宋" w:hAnsi="Arial" w:cs="Arial"/>
          <w:sz w:val="28"/>
        </w:rPr>
        <w:fldChar w:fldCharType="begin"/>
      </w:r>
      <w:r>
        <w:rPr>
          <w:rFonts w:ascii="Arial" w:eastAsia="仿宋" w:hAnsi="Arial" w:cs="Arial"/>
          <w:sz w:val="28"/>
        </w:rPr>
        <w:instrText xml:space="preserve"> QUOTE </w:instrText>
      </w:r>
      <w:r w:rsidR="00423A03">
        <w:rPr>
          <w:rFonts w:ascii="Arial" w:eastAsia="仿宋" w:hAnsi="Arial" w:cs="Arial"/>
          <w:sz w:val="28"/>
        </w:rPr>
        <w:pict w14:anchorId="709C8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pt;height:18.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quot;/&gt;&lt;m:ctrlPr&gt;&lt;w:rPr&gt;&lt;w:rFonts w:ascii=&quot;Cambria Math&quot; w:h-ansi=&quot;Cambria Math&quot; w:cs=&quot;仿宋_GB2312&quot;/&gt;&lt;wx:font wx:val=&quot;Cambria Math&quot;/&gt;&lt;w:sz w:val=&quot;21&quot;/&gt;&lt;w:sz-cs w:val=&quot;29&quot;/&gt;&lt;/w:rPr&gt;&lt;/m:ctrlPr&gt;&lt;/m:naryPr&gt;&lt;m:sub&gt;&lt;m:r&gt;&lt;w:rPr&gt;&lt;w:rFonts w:ascii=&quot;Cambria Math&quot; O/wO/:O/hO/-ansi=&quot;Cambria Math&quot; w:cs=&quot;仿宋_GB2312&quot;/&gt;&lt;wx:font wx:val=&quot;Cambria Math&quot;/&gt;&lt;w:i/&gt;&lt;w:sz w:val=&quot;21&quot;/&gt;&lt;w:sz-cs w:val=&quot;29&quot;/&gt;&lt;/w:rPr&gt;&lt;m:t&gt;i=1&lt;/m:t&gt;&lt;/m:r&gt;&lt;/m:sub&gt;&lt;m:sup&gt;&lt;m:r&gt;&lt;w:rPr&gt;&lt;w:rFonts w:ascii=&quot;Cambria Math&quot; w:h-ansi=&quot;Cambria Math&quot; w:cs=&quot;仿宋_GB231&quot; O/2&quot;/ wO/&gt;&lt;ww:O/x:f:hO/ont wx:val=&quot;Cambria Math&quot;/&gt;&lt;w:i/&gt;&lt;w:sz w:val=&quot;21&quot;/&gt;&lt;w:sz-cs w:val=&quot;29&quot;/&gt;&lt;/w:rPr&gt;&lt;m:t&gt;n&lt;/m:t&gt;&lt;/m:r&gt;&lt;/m:sup&gt;&lt;m:e&gt;&lt;m:r&gt;&lt;w:rPr&gt;&lt;w:rFonts w:ascii=&quot;Cambria Math&quot; w:h-ansi=&quot;Cambria Math&quot; w:cs=&quot;仿宋_GB2312&quot;/&gt;&lt;wx:font wx:val=&quot;Cambria Math&quot;/&gt;&lt;wO/:i/&gt;&lt;w:O/sz w:vaO/l=&quot;21&quot;/O/&gt;&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62" o:title="" chromakey="white"/>
          </v:shape>
        </w:pict>
      </w:r>
      <w:r>
        <w:rPr>
          <w:rFonts w:ascii="Arial" w:eastAsia="仿宋" w:hAnsi="Arial" w:cs="Arial"/>
          <w:sz w:val="28"/>
        </w:rPr>
        <w:instrText xml:space="preserve"> </w:instrText>
      </w:r>
      <w:r>
        <w:rPr>
          <w:rFonts w:ascii="Arial" w:eastAsia="仿宋" w:hAnsi="Arial" w:cs="Arial"/>
          <w:sz w:val="28"/>
        </w:rPr>
        <w:fldChar w:fldCharType="separate"/>
      </w:r>
      <w:r w:rsidR="00423A03">
        <w:rPr>
          <w:rFonts w:ascii="Arial" w:eastAsia="仿宋" w:hAnsi="Arial" w:cs="Arial"/>
          <w:sz w:val="28"/>
        </w:rPr>
        <w:pict w14:anchorId="3F45FAE7">
          <v:shape id="_x0000_i1026" type="#_x0000_t75" style="width:31pt;height:18.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quot;/&gt;&lt;m:ctrlPr&gt;&lt;w:rPr&gt;&lt;w:rFonts w:ascii=&quot;Cambria Math&quot; w:h-ansi=&quot;Cambria Math&quot; w:cs=&quot;仿宋_GB2312&quot;/&gt;&lt;wx:font wx:val=&quot;Cambria Math&quot;/&gt;&lt;w:sz w:val=&quot;21&quot;/&gt;&lt;w:sz-cs w:val=&quot;29&quot;/&gt;&lt;/w:rPr&gt;&lt;/m:ctrlPr&gt;&lt;/m:naryPr&gt;&lt;m:sub&gt;&lt;m:r&gt;&lt;w:rPr&gt;&lt;w:rFonts w:ascii=&quot;Cambria Math&quot; O/wO/:O/hO/-ansi=&quot;Cambria Math&quot; w:cs=&quot;仿宋_GB2312&quot;/&gt;&lt;wx:font wx:val=&quot;Cambria Math&quot;/&gt;&lt;w:i/&gt;&lt;w:sz w:val=&quot;21&quot;/&gt;&lt;w:sz-cs w:val=&quot;29&quot;/&gt;&lt;/w:rPr&gt;&lt;m:t&gt;i=1&lt;/m:t&gt;&lt;/m:r&gt;&lt;/m:sub&gt;&lt;m:sup&gt;&lt;m:r&gt;&lt;w:rPr&gt;&lt;w:rFonts w:ascii=&quot;Cambria Math&quot; w:h-ansi=&quot;Cambria Math&quot; w:cs=&quot;仿宋_GB231&quot; O/2&quot;/ wO/&gt;&lt;ww:O/x:f:hO/ont wx:val=&quot;Cambria Math&quot;/&gt;&lt;w:i/&gt;&lt;w:sz w:val=&quot;21&quot;/&gt;&lt;w:sz-cs w:val=&quot;29&quot;/&gt;&lt;/w:rPr&gt;&lt;m:t&gt;n&lt;/m:t&gt;&lt;/m:r&gt;&lt;/m:sup&gt;&lt;m:e&gt;&lt;m:r&gt;&lt;w:rPr&gt;&lt;w:rFonts w:ascii=&quot;Cambria Math&quot; w:h-ansi=&quot;Cambria Math&quot; w:cs=&quot;仿宋_GB2312&quot;/&gt;&lt;wx:font wx:val=&quot;Cambria Math&quot;/&gt;&lt;wO/:i/&gt;&lt;w:O/sz w:vaO/l=&quot;21&quot;/O/&gt;&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62" o:title="" chromakey="white"/>
          </v:shape>
        </w:pict>
      </w:r>
      <w:r>
        <w:rPr>
          <w:rFonts w:ascii="Arial" w:eastAsia="仿宋" w:hAnsi="Arial" w:cs="Arial"/>
          <w:sz w:val="28"/>
        </w:rPr>
        <w:fldChar w:fldCharType="end"/>
      </w:r>
    </w:p>
    <w:p w14:paraId="6EE706A9" w14:textId="77777777" w:rsidR="0062768B" w:rsidRDefault="00136729">
      <w:pPr>
        <w:adjustRightInd/>
        <w:spacing w:line="300" w:lineRule="auto"/>
        <w:ind w:firstLineChars="200" w:firstLine="560"/>
        <w:rPr>
          <w:rFonts w:ascii="Arial" w:eastAsia="仿宋" w:hAnsi="Arial" w:cs="Arial"/>
          <w:sz w:val="28"/>
        </w:rPr>
      </w:pPr>
      <w:r>
        <w:rPr>
          <w:rFonts w:ascii="Arial" w:eastAsia="仿宋" w:hAnsi="Arial" w:cs="Arial"/>
          <w:sz w:val="28"/>
        </w:rPr>
        <w:t>其中</w:t>
      </w:r>
      <w:proofErr w:type="spellStart"/>
      <w:r>
        <w:rPr>
          <w:rFonts w:ascii="Arial" w:eastAsia="仿宋" w:hAnsi="Arial" w:cs="Arial"/>
          <w:sz w:val="28"/>
        </w:rPr>
        <w:t>ki</w:t>
      </w:r>
      <w:proofErr w:type="spellEnd"/>
      <w:r>
        <w:rPr>
          <w:rFonts w:ascii="Arial" w:eastAsia="仿宋" w:hAnsi="Arial" w:cs="Arial"/>
          <w:sz w:val="28"/>
        </w:rPr>
        <w:t>：第</w:t>
      </w:r>
      <w:r>
        <w:rPr>
          <w:rFonts w:ascii="Arial" w:eastAsia="仿宋" w:hAnsi="Arial" w:cs="Arial"/>
          <w:sz w:val="28"/>
        </w:rPr>
        <w:t>i</w:t>
      </w:r>
      <w:r>
        <w:rPr>
          <w:rFonts w:ascii="Arial" w:eastAsia="仿宋" w:hAnsi="Arial" w:cs="Arial"/>
          <w:sz w:val="28"/>
        </w:rPr>
        <w:t>种因素的修正系数</w:t>
      </w:r>
    </w:p>
    <w:p w14:paraId="2FF771B7" w14:textId="77777777" w:rsidR="0062768B" w:rsidRDefault="00136729">
      <w:pPr>
        <w:adjustRightInd/>
        <w:spacing w:line="300" w:lineRule="auto"/>
        <w:ind w:firstLineChars="200" w:firstLine="560"/>
        <w:rPr>
          <w:rFonts w:ascii="Arial" w:eastAsia="仿宋" w:hAnsi="Arial" w:cs="Arial"/>
          <w:sz w:val="28"/>
        </w:rPr>
      </w:pPr>
      <w:r>
        <w:rPr>
          <w:rFonts w:ascii="Arial" w:eastAsia="仿宋" w:hAnsi="Arial" w:cs="Arial"/>
          <w:sz w:val="28"/>
        </w:rPr>
        <w:t>各因素的修正系数根据影响地价的因素权重和因素总修正幅度确定。</w:t>
      </w:r>
    </w:p>
    <w:p w14:paraId="42D237BF" w14:textId="77777777" w:rsidR="0062768B" w:rsidRDefault="00136729">
      <w:pPr>
        <w:spacing w:line="360" w:lineRule="auto"/>
        <w:jc w:val="center"/>
        <w:rPr>
          <w:rFonts w:ascii="Arial" w:eastAsia="仿宋" w:hAnsi="Arial" w:cs="Arial"/>
          <w:sz w:val="28"/>
          <w:szCs w:val="28"/>
        </w:rPr>
      </w:pPr>
      <w:r>
        <w:rPr>
          <w:rFonts w:ascii="Arial" w:eastAsia="仿宋" w:hAnsi="Arial" w:cs="Arial"/>
          <w:bCs/>
          <w:sz w:val="28"/>
          <w:szCs w:val="28"/>
        </w:rPr>
        <w:t>北京市基准地价因素权重表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62768B" w14:paraId="49D5926A" w14:textId="77777777">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14:paraId="15B1720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53714A7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3C43A19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099ABAD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0FFF225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公共服务类</w:t>
            </w:r>
          </w:p>
        </w:tc>
      </w:tr>
      <w:tr w:rsidR="0062768B" w14:paraId="28D780C4"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14:paraId="215EBD6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4A96056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权重</w:t>
            </w:r>
          </w:p>
        </w:tc>
        <w:tc>
          <w:tcPr>
            <w:tcW w:w="1261" w:type="dxa"/>
            <w:tcBorders>
              <w:top w:val="nil"/>
              <w:left w:val="nil"/>
              <w:bottom w:val="single" w:sz="8" w:space="0" w:color="404040"/>
              <w:right w:val="single" w:sz="8" w:space="0" w:color="404040"/>
            </w:tcBorders>
            <w:shd w:val="clear" w:color="auto" w:fill="auto"/>
            <w:noWrap/>
            <w:vAlign w:val="center"/>
          </w:tcPr>
          <w:p w14:paraId="7859C4C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6DE5B3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权重</w:t>
            </w:r>
          </w:p>
        </w:tc>
        <w:tc>
          <w:tcPr>
            <w:tcW w:w="1244" w:type="dxa"/>
            <w:tcBorders>
              <w:top w:val="nil"/>
              <w:left w:val="nil"/>
              <w:bottom w:val="single" w:sz="8" w:space="0" w:color="404040"/>
              <w:right w:val="single" w:sz="8" w:space="0" w:color="404040"/>
            </w:tcBorders>
            <w:shd w:val="clear" w:color="auto" w:fill="auto"/>
            <w:noWrap/>
            <w:vAlign w:val="center"/>
          </w:tcPr>
          <w:p w14:paraId="3B5DEF8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1DBAB76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权重</w:t>
            </w:r>
          </w:p>
        </w:tc>
        <w:tc>
          <w:tcPr>
            <w:tcW w:w="1226" w:type="dxa"/>
            <w:tcBorders>
              <w:top w:val="nil"/>
              <w:left w:val="nil"/>
              <w:bottom w:val="single" w:sz="8" w:space="0" w:color="404040"/>
              <w:right w:val="single" w:sz="8" w:space="0" w:color="404040"/>
            </w:tcBorders>
            <w:shd w:val="clear" w:color="auto" w:fill="auto"/>
            <w:noWrap/>
            <w:vAlign w:val="center"/>
          </w:tcPr>
          <w:p w14:paraId="1F1ACE7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626ED80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权重</w:t>
            </w:r>
          </w:p>
        </w:tc>
        <w:tc>
          <w:tcPr>
            <w:tcW w:w="1209" w:type="dxa"/>
            <w:tcBorders>
              <w:top w:val="nil"/>
              <w:left w:val="nil"/>
              <w:bottom w:val="single" w:sz="8" w:space="0" w:color="404040"/>
              <w:right w:val="single" w:sz="8" w:space="0" w:color="404040"/>
            </w:tcBorders>
            <w:shd w:val="clear" w:color="auto" w:fill="auto"/>
            <w:noWrap/>
            <w:vAlign w:val="center"/>
          </w:tcPr>
          <w:p w14:paraId="51639FD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75F73C7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权重</w:t>
            </w:r>
          </w:p>
        </w:tc>
      </w:tr>
      <w:tr w:rsidR="0062768B" w14:paraId="71D8CF51"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6E73A97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商业繁华程度</w:t>
            </w:r>
          </w:p>
        </w:tc>
        <w:tc>
          <w:tcPr>
            <w:tcW w:w="454" w:type="dxa"/>
            <w:tcBorders>
              <w:top w:val="nil"/>
              <w:left w:val="nil"/>
              <w:bottom w:val="single" w:sz="8" w:space="0" w:color="404040"/>
              <w:right w:val="single" w:sz="8" w:space="0" w:color="404040"/>
            </w:tcBorders>
            <w:shd w:val="clear" w:color="auto" w:fill="auto"/>
            <w:vAlign w:val="center"/>
          </w:tcPr>
          <w:p w14:paraId="6638C79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30%</w:t>
            </w:r>
          </w:p>
        </w:tc>
        <w:tc>
          <w:tcPr>
            <w:tcW w:w="1261" w:type="dxa"/>
            <w:tcBorders>
              <w:top w:val="nil"/>
              <w:left w:val="nil"/>
              <w:bottom w:val="single" w:sz="8" w:space="0" w:color="404040"/>
              <w:right w:val="single" w:sz="8" w:space="0" w:color="404040"/>
            </w:tcBorders>
            <w:shd w:val="clear" w:color="auto" w:fill="auto"/>
            <w:vAlign w:val="center"/>
          </w:tcPr>
          <w:p w14:paraId="2B4CEC6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办公集聚程度</w:t>
            </w:r>
          </w:p>
        </w:tc>
        <w:tc>
          <w:tcPr>
            <w:tcW w:w="454" w:type="dxa"/>
            <w:tcBorders>
              <w:top w:val="nil"/>
              <w:left w:val="nil"/>
              <w:bottom w:val="single" w:sz="8" w:space="0" w:color="404040"/>
              <w:right w:val="single" w:sz="8" w:space="0" w:color="404040"/>
            </w:tcBorders>
            <w:shd w:val="clear" w:color="auto" w:fill="auto"/>
            <w:vAlign w:val="center"/>
          </w:tcPr>
          <w:p w14:paraId="4116066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25%</w:t>
            </w:r>
          </w:p>
        </w:tc>
        <w:tc>
          <w:tcPr>
            <w:tcW w:w="1244" w:type="dxa"/>
            <w:tcBorders>
              <w:top w:val="nil"/>
              <w:left w:val="nil"/>
              <w:bottom w:val="single" w:sz="8" w:space="0" w:color="404040"/>
              <w:right w:val="single" w:sz="8" w:space="0" w:color="404040"/>
            </w:tcBorders>
            <w:shd w:val="clear" w:color="auto" w:fill="auto"/>
            <w:vAlign w:val="center"/>
          </w:tcPr>
          <w:p w14:paraId="04FFA4B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住宅社区成熟度</w:t>
            </w:r>
          </w:p>
        </w:tc>
        <w:tc>
          <w:tcPr>
            <w:tcW w:w="454" w:type="dxa"/>
            <w:tcBorders>
              <w:top w:val="nil"/>
              <w:left w:val="nil"/>
              <w:bottom w:val="single" w:sz="8" w:space="0" w:color="404040"/>
              <w:right w:val="single" w:sz="8" w:space="0" w:color="404040"/>
            </w:tcBorders>
            <w:shd w:val="clear" w:color="auto" w:fill="auto"/>
            <w:vAlign w:val="center"/>
          </w:tcPr>
          <w:p w14:paraId="5E5E9C0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20%</w:t>
            </w:r>
          </w:p>
        </w:tc>
        <w:tc>
          <w:tcPr>
            <w:tcW w:w="1226" w:type="dxa"/>
            <w:tcBorders>
              <w:top w:val="nil"/>
              <w:left w:val="nil"/>
              <w:bottom w:val="single" w:sz="8" w:space="0" w:color="404040"/>
              <w:right w:val="single" w:sz="8" w:space="0" w:color="404040"/>
            </w:tcBorders>
            <w:shd w:val="clear" w:color="auto" w:fill="auto"/>
            <w:vAlign w:val="center"/>
          </w:tcPr>
          <w:p w14:paraId="6E9598E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产业集聚程度</w:t>
            </w:r>
          </w:p>
        </w:tc>
        <w:tc>
          <w:tcPr>
            <w:tcW w:w="454" w:type="dxa"/>
            <w:tcBorders>
              <w:top w:val="nil"/>
              <w:left w:val="nil"/>
              <w:bottom w:val="single" w:sz="8" w:space="0" w:color="404040"/>
              <w:right w:val="single" w:sz="8" w:space="0" w:color="404040"/>
            </w:tcBorders>
            <w:shd w:val="clear" w:color="auto" w:fill="auto"/>
            <w:vAlign w:val="center"/>
          </w:tcPr>
          <w:p w14:paraId="7C18C61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26%</w:t>
            </w:r>
          </w:p>
        </w:tc>
        <w:tc>
          <w:tcPr>
            <w:tcW w:w="1209" w:type="dxa"/>
            <w:tcBorders>
              <w:top w:val="nil"/>
              <w:left w:val="nil"/>
              <w:bottom w:val="single" w:sz="8" w:space="0" w:color="404040"/>
              <w:right w:val="single" w:sz="8" w:space="0" w:color="404040"/>
            </w:tcBorders>
            <w:shd w:val="clear" w:color="auto" w:fill="auto"/>
            <w:vAlign w:val="center"/>
          </w:tcPr>
          <w:p w14:paraId="5D7536D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物业集聚程度</w:t>
            </w:r>
          </w:p>
        </w:tc>
        <w:tc>
          <w:tcPr>
            <w:tcW w:w="454" w:type="dxa"/>
            <w:tcBorders>
              <w:top w:val="nil"/>
              <w:left w:val="nil"/>
              <w:bottom w:val="single" w:sz="8" w:space="0" w:color="404040"/>
              <w:right w:val="single" w:sz="8" w:space="0" w:color="404040"/>
            </w:tcBorders>
            <w:shd w:val="clear" w:color="auto" w:fill="auto"/>
            <w:vAlign w:val="center"/>
          </w:tcPr>
          <w:p w14:paraId="74C62DD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25%</w:t>
            </w:r>
          </w:p>
        </w:tc>
      </w:tr>
      <w:tr w:rsidR="0062768B" w14:paraId="1BACD921"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2596445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交通便捷度</w:t>
            </w:r>
          </w:p>
        </w:tc>
        <w:tc>
          <w:tcPr>
            <w:tcW w:w="454" w:type="dxa"/>
            <w:tcBorders>
              <w:top w:val="nil"/>
              <w:left w:val="nil"/>
              <w:bottom w:val="single" w:sz="8" w:space="0" w:color="404040"/>
              <w:right w:val="single" w:sz="8" w:space="0" w:color="404040"/>
            </w:tcBorders>
            <w:shd w:val="clear" w:color="auto" w:fill="auto"/>
            <w:vAlign w:val="center"/>
          </w:tcPr>
          <w:p w14:paraId="10C8CFC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22%</w:t>
            </w:r>
          </w:p>
        </w:tc>
        <w:tc>
          <w:tcPr>
            <w:tcW w:w="1261" w:type="dxa"/>
            <w:tcBorders>
              <w:top w:val="nil"/>
              <w:left w:val="nil"/>
              <w:bottom w:val="single" w:sz="8" w:space="0" w:color="404040"/>
              <w:right w:val="single" w:sz="8" w:space="0" w:color="404040"/>
            </w:tcBorders>
            <w:shd w:val="clear" w:color="auto" w:fill="auto"/>
            <w:vAlign w:val="center"/>
          </w:tcPr>
          <w:p w14:paraId="02D860D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交通便捷度</w:t>
            </w:r>
          </w:p>
        </w:tc>
        <w:tc>
          <w:tcPr>
            <w:tcW w:w="454" w:type="dxa"/>
            <w:tcBorders>
              <w:top w:val="nil"/>
              <w:left w:val="nil"/>
              <w:bottom w:val="single" w:sz="8" w:space="0" w:color="404040"/>
              <w:right w:val="single" w:sz="8" w:space="0" w:color="404040"/>
            </w:tcBorders>
            <w:shd w:val="clear" w:color="auto" w:fill="auto"/>
            <w:vAlign w:val="center"/>
          </w:tcPr>
          <w:p w14:paraId="4207AD2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26%</w:t>
            </w:r>
          </w:p>
        </w:tc>
        <w:tc>
          <w:tcPr>
            <w:tcW w:w="1244" w:type="dxa"/>
            <w:tcBorders>
              <w:top w:val="nil"/>
              <w:left w:val="nil"/>
              <w:bottom w:val="single" w:sz="8" w:space="0" w:color="404040"/>
              <w:right w:val="single" w:sz="8" w:space="0" w:color="404040"/>
            </w:tcBorders>
            <w:shd w:val="clear" w:color="auto" w:fill="auto"/>
            <w:vAlign w:val="center"/>
          </w:tcPr>
          <w:p w14:paraId="3B8AD94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交通便捷度</w:t>
            </w:r>
          </w:p>
        </w:tc>
        <w:tc>
          <w:tcPr>
            <w:tcW w:w="454" w:type="dxa"/>
            <w:tcBorders>
              <w:top w:val="nil"/>
              <w:left w:val="nil"/>
              <w:bottom w:val="single" w:sz="8" w:space="0" w:color="404040"/>
              <w:right w:val="single" w:sz="8" w:space="0" w:color="404040"/>
            </w:tcBorders>
            <w:shd w:val="clear" w:color="auto" w:fill="auto"/>
            <w:vAlign w:val="center"/>
          </w:tcPr>
          <w:p w14:paraId="58BF8D4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26%</w:t>
            </w:r>
          </w:p>
        </w:tc>
        <w:tc>
          <w:tcPr>
            <w:tcW w:w="1226" w:type="dxa"/>
            <w:tcBorders>
              <w:top w:val="nil"/>
              <w:left w:val="nil"/>
              <w:bottom w:val="single" w:sz="8" w:space="0" w:color="404040"/>
              <w:right w:val="single" w:sz="8" w:space="0" w:color="404040"/>
            </w:tcBorders>
            <w:shd w:val="clear" w:color="auto" w:fill="auto"/>
            <w:vAlign w:val="center"/>
          </w:tcPr>
          <w:p w14:paraId="479AE37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交通便捷度</w:t>
            </w:r>
          </w:p>
        </w:tc>
        <w:tc>
          <w:tcPr>
            <w:tcW w:w="454" w:type="dxa"/>
            <w:tcBorders>
              <w:top w:val="nil"/>
              <w:left w:val="nil"/>
              <w:bottom w:val="single" w:sz="8" w:space="0" w:color="404040"/>
              <w:right w:val="single" w:sz="8" w:space="0" w:color="404040"/>
            </w:tcBorders>
            <w:shd w:val="clear" w:color="auto" w:fill="auto"/>
            <w:vAlign w:val="center"/>
          </w:tcPr>
          <w:p w14:paraId="1C15E2F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30%</w:t>
            </w:r>
          </w:p>
        </w:tc>
        <w:tc>
          <w:tcPr>
            <w:tcW w:w="1209" w:type="dxa"/>
            <w:tcBorders>
              <w:top w:val="nil"/>
              <w:left w:val="nil"/>
              <w:bottom w:val="single" w:sz="8" w:space="0" w:color="404040"/>
              <w:right w:val="single" w:sz="8" w:space="0" w:color="404040"/>
            </w:tcBorders>
            <w:shd w:val="clear" w:color="auto" w:fill="auto"/>
            <w:vAlign w:val="center"/>
          </w:tcPr>
          <w:p w14:paraId="0EB0EC2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交通便捷度</w:t>
            </w:r>
          </w:p>
        </w:tc>
        <w:tc>
          <w:tcPr>
            <w:tcW w:w="454" w:type="dxa"/>
            <w:tcBorders>
              <w:top w:val="nil"/>
              <w:left w:val="nil"/>
              <w:bottom w:val="single" w:sz="8" w:space="0" w:color="404040"/>
              <w:right w:val="single" w:sz="8" w:space="0" w:color="404040"/>
            </w:tcBorders>
            <w:shd w:val="clear" w:color="auto" w:fill="auto"/>
            <w:vAlign w:val="center"/>
          </w:tcPr>
          <w:p w14:paraId="3461815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26%</w:t>
            </w:r>
          </w:p>
        </w:tc>
      </w:tr>
      <w:tr w:rsidR="0062768B" w14:paraId="0E44AA14"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511282A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4E2A4AC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12%</w:t>
            </w:r>
          </w:p>
        </w:tc>
        <w:tc>
          <w:tcPr>
            <w:tcW w:w="1261" w:type="dxa"/>
            <w:tcBorders>
              <w:top w:val="nil"/>
              <w:left w:val="nil"/>
              <w:bottom w:val="single" w:sz="8" w:space="0" w:color="404040"/>
              <w:right w:val="single" w:sz="8" w:space="0" w:color="404040"/>
            </w:tcBorders>
            <w:shd w:val="clear" w:color="auto" w:fill="auto"/>
            <w:vAlign w:val="center"/>
          </w:tcPr>
          <w:p w14:paraId="4784A56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46C9BE0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11%</w:t>
            </w:r>
          </w:p>
        </w:tc>
        <w:tc>
          <w:tcPr>
            <w:tcW w:w="1244" w:type="dxa"/>
            <w:tcBorders>
              <w:top w:val="nil"/>
              <w:left w:val="nil"/>
              <w:bottom w:val="single" w:sz="8" w:space="0" w:color="404040"/>
              <w:right w:val="single" w:sz="8" w:space="0" w:color="404040"/>
            </w:tcBorders>
            <w:shd w:val="clear" w:color="auto" w:fill="auto"/>
            <w:vAlign w:val="center"/>
          </w:tcPr>
          <w:p w14:paraId="448BDE1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44D335F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10%</w:t>
            </w:r>
          </w:p>
        </w:tc>
        <w:tc>
          <w:tcPr>
            <w:tcW w:w="1226" w:type="dxa"/>
            <w:tcBorders>
              <w:top w:val="nil"/>
              <w:left w:val="nil"/>
              <w:bottom w:val="single" w:sz="8" w:space="0" w:color="404040"/>
              <w:right w:val="single" w:sz="8" w:space="0" w:color="404040"/>
            </w:tcBorders>
            <w:shd w:val="clear" w:color="auto" w:fill="auto"/>
            <w:vAlign w:val="center"/>
          </w:tcPr>
          <w:p w14:paraId="75CA7EB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746B92C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10%</w:t>
            </w:r>
          </w:p>
        </w:tc>
        <w:tc>
          <w:tcPr>
            <w:tcW w:w="1209" w:type="dxa"/>
            <w:tcBorders>
              <w:top w:val="nil"/>
              <w:left w:val="nil"/>
              <w:bottom w:val="single" w:sz="8" w:space="0" w:color="404040"/>
              <w:right w:val="single" w:sz="8" w:space="0" w:color="404040"/>
            </w:tcBorders>
            <w:shd w:val="clear" w:color="auto" w:fill="auto"/>
            <w:vAlign w:val="center"/>
          </w:tcPr>
          <w:p w14:paraId="5DEB094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1CD0B88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11%</w:t>
            </w:r>
          </w:p>
        </w:tc>
      </w:tr>
      <w:tr w:rsidR="0062768B" w14:paraId="1844EE6E"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B3D853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022CD23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61" w:type="dxa"/>
            <w:tcBorders>
              <w:top w:val="nil"/>
              <w:left w:val="nil"/>
              <w:bottom w:val="single" w:sz="8" w:space="0" w:color="404040"/>
              <w:right w:val="single" w:sz="8" w:space="0" w:color="404040"/>
            </w:tcBorders>
            <w:shd w:val="clear" w:color="auto" w:fill="auto"/>
            <w:vAlign w:val="center"/>
          </w:tcPr>
          <w:p w14:paraId="0C8A7C2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37C99FA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44" w:type="dxa"/>
            <w:tcBorders>
              <w:top w:val="nil"/>
              <w:left w:val="nil"/>
              <w:bottom w:val="single" w:sz="8" w:space="0" w:color="404040"/>
              <w:right w:val="single" w:sz="8" w:space="0" w:color="404040"/>
            </w:tcBorders>
            <w:shd w:val="clear" w:color="auto" w:fill="auto"/>
            <w:vAlign w:val="center"/>
          </w:tcPr>
          <w:p w14:paraId="4CFF0FC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临路状况</w:t>
            </w:r>
          </w:p>
        </w:tc>
        <w:tc>
          <w:tcPr>
            <w:tcW w:w="454" w:type="dxa"/>
            <w:tcBorders>
              <w:top w:val="nil"/>
              <w:left w:val="nil"/>
              <w:bottom w:val="single" w:sz="8" w:space="0" w:color="404040"/>
              <w:right w:val="single" w:sz="8" w:space="0" w:color="404040"/>
            </w:tcBorders>
            <w:shd w:val="clear" w:color="auto" w:fill="auto"/>
            <w:vAlign w:val="center"/>
          </w:tcPr>
          <w:p w14:paraId="700CCD0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26" w:type="dxa"/>
            <w:tcBorders>
              <w:top w:val="nil"/>
              <w:left w:val="nil"/>
              <w:bottom w:val="single" w:sz="8" w:space="0" w:color="404040"/>
              <w:right w:val="single" w:sz="8" w:space="0" w:color="404040"/>
            </w:tcBorders>
            <w:shd w:val="clear" w:color="auto" w:fill="auto"/>
            <w:vAlign w:val="center"/>
          </w:tcPr>
          <w:p w14:paraId="3621BAC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临路状况</w:t>
            </w:r>
          </w:p>
        </w:tc>
        <w:tc>
          <w:tcPr>
            <w:tcW w:w="454" w:type="dxa"/>
            <w:tcBorders>
              <w:top w:val="nil"/>
              <w:left w:val="nil"/>
              <w:bottom w:val="single" w:sz="8" w:space="0" w:color="404040"/>
              <w:right w:val="single" w:sz="8" w:space="0" w:color="404040"/>
            </w:tcBorders>
            <w:shd w:val="clear" w:color="auto" w:fill="auto"/>
            <w:vAlign w:val="center"/>
          </w:tcPr>
          <w:p w14:paraId="4706C08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09" w:type="dxa"/>
            <w:tcBorders>
              <w:top w:val="nil"/>
              <w:left w:val="nil"/>
              <w:bottom w:val="single" w:sz="8" w:space="0" w:color="404040"/>
              <w:right w:val="single" w:sz="8" w:space="0" w:color="404040"/>
            </w:tcBorders>
            <w:shd w:val="clear" w:color="auto" w:fill="auto"/>
            <w:vAlign w:val="center"/>
          </w:tcPr>
          <w:p w14:paraId="6915C8C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03C42ED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r>
      <w:tr w:rsidR="0062768B" w14:paraId="2A24CD19"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277BB80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504F6B4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8%</w:t>
            </w:r>
          </w:p>
        </w:tc>
        <w:tc>
          <w:tcPr>
            <w:tcW w:w="1261" w:type="dxa"/>
            <w:tcBorders>
              <w:top w:val="nil"/>
              <w:left w:val="nil"/>
              <w:bottom w:val="single" w:sz="8" w:space="0" w:color="404040"/>
              <w:right w:val="single" w:sz="8" w:space="0" w:color="404040"/>
            </w:tcBorders>
            <w:shd w:val="clear" w:color="auto" w:fill="auto"/>
            <w:vAlign w:val="center"/>
          </w:tcPr>
          <w:p w14:paraId="11D3B6B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0214A91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44" w:type="dxa"/>
            <w:tcBorders>
              <w:top w:val="nil"/>
              <w:left w:val="nil"/>
              <w:bottom w:val="single" w:sz="8" w:space="0" w:color="404040"/>
              <w:right w:val="single" w:sz="8" w:space="0" w:color="404040"/>
            </w:tcBorders>
            <w:shd w:val="clear" w:color="auto" w:fill="auto"/>
            <w:vAlign w:val="center"/>
          </w:tcPr>
          <w:p w14:paraId="6DA712A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3D832E7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8%</w:t>
            </w:r>
          </w:p>
        </w:tc>
        <w:tc>
          <w:tcPr>
            <w:tcW w:w="1226" w:type="dxa"/>
            <w:tcBorders>
              <w:top w:val="nil"/>
              <w:left w:val="nil"/>
              <w:bottom w:val="single" w:sz="8" w:space="0" w:color="404040"/>
              <w:right w:val="single" w:sz="8" w:space="0" w:color="404040"/>
            </w:tcBorders>
            <w:shd w:val="clear" w:color="auto" w:fill="auto"/>
            <w:vAlign w:val="center"/>
          </w:tcPr>
          <w:p w14:paraId="6C9B6D9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21C72CB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c>
          <w:tcPr>
            <w:tcW w:w="1209" w:type="dxa"/>
            <w:tcBorders>
              <w:top w:val="nil"/>
              <w:left w:val="nil"/>
              <w:bottom w:val="single" w:sz="8" w:space="0" w:color="404040"/>
              <w:right w:val="single" w:sz="8" w:space="0" w:color="404040"/>
            </w:tcBorders>
            <w:shd w:val="clear" w:color="auto" w:fill="auto"/>
            <w:vAlign w:val="center"/>
          </w:tcPr>
          <w:p w14:paraId="710A540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344730B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r>
      <w:tr w:rsidR="0062768B" w14:paraId="3D0CB3BA"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60DD122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1C0DFC0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61" w:type="dxa"/>
            <w:tcBorders>
              <w:top w:val="nil"/>
              <w:left w:val="nil"/>
              <w:bottom w:val="single" w:sz="8" w:space="0" w:color="404040"/>
              <w:right w:val="single" w:sz="8" w:space="0" w:color="404040"/>
            </w:tcBorders>
            <w:shd w:val="clear" w:color="auto" w:fill="auto"/>
            <w:vAlign w:val="center"/>
          </w:tcPr>
          <w:p w14:paraId="5F8A18D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4FE7E5D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c>
          <w:tcPr>
            <w:tcW w:w="1244" w:type="dxa"/>
            <w:tcBorders>
              <w:top w:val="nil"/>
              <w:left w:val="nil"/>
              <w:bottom w:val="single" w:sz="8" w:space="0" w:color="404040"/>
              <w:right w:val="single" w:sz="8" w:space="0" w:color="404040"/>
            </w:tcBorders>
            <w:shd w:val="clear" w:color="auto" w:fill="auto"/>
            <w:vAlign w:val="center"/>
          </w:tcPr>
          <w:p w14:paraId="0E686A7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56C9A53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26" w:type="dxa"/>
            <w:tcBorders>
              <w:top w:val="nil"/>
              <w:left w:val="nil"/>
              <w:bottom w:val="single" w:sz="8" w:space="0" w:color="404040"/>
              <w:right w:val="single" w:sz="8" w:space="0" w:color="404040"/>
            </w:tcBorders>
            <w:shd w:val="clear" w:color="auto" w:fill="auto"/>
            <w:vAlign w:val="center"/>
          </w:tcPr>
          <w:p w14:paraId="10D3C8C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27C9808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c>
          <w:tcPr>
            <w:tcW w:w="1209" w:type="dxa"/>
            <w:tcBorders>
              <w:top w:val="nil"/>
              <w:left w:val="nil"/>
              <w:bottom w:val="single" w:sz="8" w:space="0" w:color="404040"/>
              <w:right w:val="single" w:sz="8" w:space="0" w:color="404040"/>
            </w:tcBorders>
            <w:shd w:val="clear" w:color="auto" w:fill="auto"/>
            <w:vAlign w:val="center"/>
          </w:tcPr>
          <w:p w14:paraId="7854DB3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6A6B9A5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r>
      <w:tr w:rsidR="0062768B" w14:paraId="17393277"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2B57C24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0C52A9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61" w:type="dxa"/>
            <w:tcBorders>
              <w:top w:val="nil"/>
              <w:left w:val="nil"/>
              <w:bottom w:val="single" w:sz="8" w:space="0" w:color="404040"/>
              <w:right w:val="single" w:sz="8" w:space="0" w:color="404040"/>
            </w:tcBorders>
            <w:shd w:val="clear" w:color="auto" w:fill="auto"/>
            <w:vAlign w:val="center"/>
          </w:tcPr>
          <w:p w14:paraId="06FF7B9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1234DAB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c>
          <w:tcPr>
            <w:tcW w:w="1244" w:type="dxa"/>
            <w:tcBorders>
              <w:top w:val="nil"/>
              <w:left w:val="nil"/>
              <w:bottom w:val="single" w:sz="8" w:space="0" w:color="404040"/>
              <w:right w:val="single" w:sz="8" w:space="0" w:color="404040"/>
            </w:tcBorders>
            <w:shd w:val="clear" w:color="auto" w:fill="auto"/>
            <w:vAlign w:val="center"/>
          </w:tcPr>
          <w:p w14:paraId="10B7ABA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140BAD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9%</w:t>
            </w:r>
          </w:p>
        </w:tc>
        <w:tc>
          <w:tcPr>
            <w:tcW w:w="1226" w:type="dxa"/>
            <w:tcBorders>
              <w:top w:val="nil"/>
              <w:left w:val="nil"/>
              <w:bottom w:val="single" w:sz="8" w:space="0" w:color="404040"/>
              <w:right w:val="single" w:sz="8" w:space="0" w:color="404040"/>
            </w:tcBorders>
            <w:shd w:val="clear" w:color="auto" w:fill="auto"/>
            <w:vAlign w:val="center"/>
          </w:tcPr>
          <w:p w14:paraId="5B4DE65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568B403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12%</w:t>
            </w:r>
          </w:p>
        </w:tc>
        <w:tc>
          <w:tcPr>
            <w:tcW w:w="1209" w:type="dxa"/>
            <w:tcBorders>
              <w:top w:val="nil"/>
              <w:left w:val="nil"/>
              <w:bottom w:val="single" w:sz="8" w:space="0" w:color="404040"/>
              <w:right w:val="single" w:sz="8" w:space="0" w:color="404040"/>
            </w:tcBorders>
            <w:shd w:val="clear" w:color="auto" w:fill="auto"/>
            <w:vAlign w:val="center"/>
          </w:tcPr>
          <w:p w14:paraId="372C8F2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437C6B9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r>
      <w:tr w:rsidR="0062768B" w14:paraId="41541316"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0851BD3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42D4095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8%</w:t>
            </w:r>
          </w:p>
        </w:tc>
        <w:tc>
          <w:tcPr>
            <w:tcW w:w="1261" w:type="dxa"/>
            <w:tcBorders>
              <w:top w:val="nil"/>
              <w:left w:val="nil"/>
              <w:bottom w:val="single" w:sz="8" w:space="0" w:color="404040"/>
              <w:right w:val="single" w:sz="8" w:space="0" w:color="404040"/>
            </w:tcBorders>
            <w:shd w:val="clear" w:color="auto" w:fill="auto"/>
            <w:vAlign w:val="center"/>
          </w:tcPr>
          <w:p w14:paraId="5B7666A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684DFD8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9%</w:t>
            </w:r>
          </w:p>
        </w:tc>
        <w:tc>
          <w:tcPr>
            <w:tcW w:w="1244" w:type="dxa"/>
            <w:tcBorders>
              <w:top w:val="nil"/>
              <w:left w:val="nil"/>
              <w:bottom w:val="single" w:sz="8" w:space="0" w:color="404040"/>
              <w:right w:val="single" w:sz="8" w:space="0" w:color="404040"/>
            </w:tcBorders>
            <w:shd w:val="clear" w:color="auto" w:fill="auto"/>
            <w:vAlign w:val="center"/>
          </w:tcPr>
          <w:p w14:paraId="1303CF2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142DE97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12%</w:t>
            </w:r>
          </w:p>
        </w:tc>
        <w:tc>
          <w:tcPr>
            <w:tcW w:w="1226" w:type="dxa"/>
            <w:tcBorders>
              <w:top w:val="nil"/>
              <w:left w:val="nil"/>
              <w:bottom w:val="single" w:sz="8" w:space="0" w:color="404040"/>
              <w:right w:val="single" w:sz="8" w:space="0" w:color="404040"/>
            </w:tcBorders>
            <w:shd w:val="clear" w:color="auto" w:fill="auto"/>
            <w:vAlign w:val="center"/>
          </w:tcPr>
          <w:p w14:paraId="4062A18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环境状况</w:t>
            </w:r>
          </w:p>
        </w:tc>
        <w:tc>
          <w:tcPr>
            <w:tcW w:w="454" w:type="dxa"/>
            <w:tcBorders>
              <w:top w:val="nil"/>
              <w:left w:val="nil"/>
              <w:bottom w:val="single" w:sz="8" w:space="0" w:color="404040"/>
              <w:right w:val="single" w:sz="8" w:space="0" w:color="404040"/>
            </w:tcBorders>
            <w:shd w:val="clear" w:color="auto" w:fill="auto"/>
            <w:vAlign w:val="center"/>
          </w:tcPr>
          <w:p w14:paraId="22DC427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09" w:type="dxa"/>
            <w:tcBorders>
              <w:top w:val="nil"/>
              <w:left w:val="nil"/>
              <w:bottom w:val="single" w:sz="8" w:space="0" w:color="404040"/>
              <w:right w:val="single" w:sz="8" w:space="0" w:color="404040"/>
            </w:tcBorders>
            <w:shd w:val="clear" w:color="auto" w:fill="auto"/>
            <w:vAlign w:val="center"/>
          </w:tcPr>
          <w:p w14:paraId="76EF8BF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5ED8E19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9%</w:t>
            </w:r>
          </w:p>
        </w:tc>
      </w:tr>
      <w:tr w:rsidR="0062768B" w14:paraId="361B071D"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516CFEA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5D72D17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61" w:type="dxa"/>
            <w:tcBorders>
              <w:top w:val="nil"/>
              <w:left w:val="nil"/>
              <w:bottom w:val="single" w:sz="8" w:space="0" w:color="404040"/>
              <w:right w:val="single" w:sz="8" w:space="0" w:color="404040"/>
            </w:tcBorders>
            <w:shd w:val="clear" w:color="auto" w:fill="auto"/>
            <w:vAlign w:val="center"/>
          </w:tcPr>
          <w:p w14:paraId="18DBB3C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3F8CAD7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7%</w:t>
            </w:r>
          </w:p>
        </w:tc>
        <w:tc>
          <w:tcPr>
            <w:tcW w:w="1244" w:type="dxa"/>
            <w:tcBorders>
              <w:top w:val="nil"/>
              <w:left w:val="nil"/>
              <w:bottom w:val="single" w:sz="8" w:space="0" w:color="404040"/>
              <w:right w:val="single" w:sz="8" w:space="0" w:color="404040"/>
            </w:tcBorders>
            <w:shd w:val="clear" w:color="auto" w:fill="auto"/>
            <w:vAlign w:val="center"/>
          </w:tcPr>
          <w:p w14:paraId="12E67AD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14:paraId="2F03DCE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26" w:type="dxa"/>
            <w:tcBorders>
              <w:top w:val="nil"/>
              <w:left w:val="nil"/>
              <w:bottom w:val="single" w:sz="8" w:space="0" w:color="404040"/>
              <w:right w:val="single" w:sz="8" w:space="0" w:color="404040"/>
            </w:tcBorders>
            <w:shd w:val="clear" w:color="auto" w:fill="auto"/>
            <w:vAlign w:val="center"/>
          </w:tcPr>
          <w:p w14:paraId="423D7BD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　</w:t>
            </w:r>
          </w:p>
        </w:tc>
        <w:tc>
          <w:tcPr>
            <w:tcW w:w="454" w:type="dxa"/>
            <w:tcBorders>
              <w:top w:val="nil"/>
              <w:left w:val="nil"/>
              <w:bottom w:val="single" w:sz="8" w:space="0" w:color="404040"/>
              <w:right w:val="single" w:sz="8" w:space="0" w:color="404040"/>
            </w:tcBorders>
            <w:shd w:val="clear" w:color="auto" w:fill="auto"/>
            <w:vAlign w:val="center"/>
          </w:tcPr>
          <w:p w14:paraId="4BC54B6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　</w:t>
            </w:r>
          </w:p>
        </w:tc>
        <w:tc>
          <w:tcPr>
            <w:tcW w:w="1209" w:type="dxa"/>
            <w:tcBorders>
              <w:top w:val="nil"/>
              <w:left w:val="nil"/>
              <w:bottom w:val="single" w:sz="8" w:space="0" w:color="404040"/>
              <w:right w:val="single" w:sz="8" w:space="0" w:color="404040"/>
            </w:tcBorders>
            <w:shd w:val="clear" w:color="auto" w:fill="auto"/>
            <w:vAlign w:val="center"/>
          </w:tcPr>
          <w:p w14:paraId="6AEAE69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509D1AD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7%</w:t>
            </w:r>
          </w:p>
        </w:tc>
      </w:tr>
    </w:tbl>
    <w:p w14:paraId="45ECC40B" w14:textId="77777777" w:rsidR="0062768B" w:rsidRDefault="0062768B">
      <w:pPr>
        <w:spacing w:line="300" w:lineRule="auto"/>
        <w:ind w:firstLineChars="200" w:firstLine="560"/>
        <w:jc w:val="both"/>
        <w:rPr>
          <w:rFonts w:ascii="Arial" w:eastAsia="仿宋_GB2312" w:hAnsi="Arial" w:cs="Arial"/>
          <w:sz w:val="28"/>
        </w:rPr>
      </w:pPr>
    </w:p>
    <w:p w14:paraId="2729B20A"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估价对象位于住宅类</w:t>
      </w:r>
      <w:r>
        <w:rPr>
          <w:rFonts w:ascii="Arial" w:eastAsia="仿宋" w:hAnsi="Arial" w:cs="Arial" w:hint="eastAsia"/>
          <w:sz w:val="28"/>
          <w:szCs w:val="28"/>
        </w:rPr>
        <w:t>九</w:t>
      </w:r>
      <w:r>
        <w:rPr>
          <w:rFonts w:ascii="Arial" w:eastAsia="仿宋" w:hAnsi="Arial" w:cs="Arial"/>
          <w:sz w:val="28"/>
          <w:szCs w:val="28"/>
        </w:rPr>
        <w:t>级地价区，该级别《区片基准地价因素总修正幅度表》如下：</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1886"/>
        <w:gridCol w:w="1204"/>
        <w:gridCol w:w="1204"/>
        <w:gridCol w:w="1204"/>
        <w:gridCol w:w="1064"/>
        <w:gridCol w:w="1344"/>
      </w:tblGrid>
      <w:tr w:rsidR="0062768B" w14:paraId="65B1E2DC" w14:textId="77777777">
        <w:trPr>
          <w:trHeight w:val="430"/>
          <w:tblHeader/>
          <w:jc w:val="center"/>
        </w:trPr>
        <w:tc>
          <w:tcPr>
            <w:tcW w:w="1022" w:type="dxa"/>
            <w:shd w:val="clear" w:color="auto" w:fill="auto"/>
            <w:vAlign w:val="center"/>
          </w:tcPr>
          <w:p w14:paraId="059FED8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级别</w:t>
            </w:r>
          </w:p>
        </w:tc>
        <w:tc>
          <w:tcPr>
            <w:tcW w:w="1886" w:type="dxa"/>
            <w:shd w:val="clear" w:color="auto" w:fill="auto"/>
            <w:vAlign w:val="center"/>
          </w:tcPr>
          <w:p w14:paraId="6367D08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区片编号</w:t>
            </w:r>
          </w:p>
        </w:tc>
        <w:tc>
          <w:tcPr>
            <w:tcW w:w="1204" w:type="dxa"/>
            <w:shd w:val="clear" w:color="auto" w:fill="auto"/>
            <w:vAlign w:val="center"/>
          </w:tcPr>
          <w:p w14:paraId="20B769E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商业类</w:t>
            </w:r>
          </w:p>
        </w:tc>
        <w:tc>
          <w:tcPr>
            <w:tcW w:w="1204" w:type="dxa"/>
            <w:shd w:val="clear" w:color="auto" w:fill="auto"/>
            <w:vAlign w:val="center"/>
          </w:tcPr>
          <w:p w14:paraId="3767098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办公类</w:t>
            </w:r>
          </w:p>
        </w:tc>
        <w:tc>
          <w:tcPr>
            <w:tcW w:w="1204" w:type="dxa"/>
            <w:shd w:val="clear" w:color="auto" w:fill="auto"/>
            <w:vAlign w:val="center"/>
          </w:tcPr>
          <w:p w14:paraId="06E6545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住宅类</w:t>
            </w:r>
          </w:p>
        </w:tc>
        <w:tc>
          <w:tcPr>
            <w:tcW w:w="1064" w:type="dxa"/>
            <w:shd w:val="clear" w:color="auto" w:fill="auto"/>
            <w:vAlign w:val="center"/>
          </w:tcPr>
          <w:p w14:paraId="4D3F747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工业类</w:t>
            </w:r>
          </w:p>
        </w:tc>
        <w:tc>
          <w:tcPr>
            <w:tcW w:w="1344" w:type="dxa"/>
            <w:shd w:val="clear" w:color="auto" w:fill="auto"/>
            <w:vAlign w:val="center"/>
          </w:tcPr>
          <w:p w14:paraId="1662C1C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公共服务类</w:t>
            </w:r>
          </w:p>
        </w:tc>
      </w:tr>
      <w:tr w:rsidR="0062768B" w14:paraId="339B1D4B" w14:textId="77777777">
        <w:trPr>
          <w:trHeight w:val="265"/>
          <w:jc w:val="center"/>
        </w:trPr>
        <w:tc>
          <w:tcPr>
            <w:tcW w:w="1022" w:type="dxa"/>
            <w:vMerge w:val="restart"/>
            <w:shd w:val="clear" w:color="auto" w:fill="auto"/>
            <w:vAlign w:val="center"/>
          </w:tcPr>
          <w:p w14:paraId="745908C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九级</w:t>
            </w:r>
          </w:p>
        </w:tc>
        <w:tc>
          <w:tcPr>
            <w:tcW w:w="1886" w:type="dxa"/>
            <w:shd w:val="clear" w:color="auto" w:fill="auto"/>
            <w:vAlign w:val="center"/>
          </w:tcPr>
          <w:p w14:paraId="16B1D77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-01</w:t>
            </w:r>
          </w:p>
        </w:tc>
        <w:tc>
          <w:tcPr>
            <w:tcW w:w="1204" w:type="dxa"/>
            <w:shd w:val="clear" w:color="auto" w:fill="auto"/>
            <w:vAlign w:val="center"/>
          </w:tcPr>
          <w:p w14:paraId="3FA3B3B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6334CC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9143B9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183EE18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3F5ED19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1CCFCE21" w14:textId="77777777">
        <w:trPr>
          <w:trHeight w:val="265"/>
          <w:jc w:val="center"/>
        </w:trPr>
        <w:tc>
          <w:tcPr>
            <w:tcW w:w="1022" w:type="dxa"/>
            <w:vMerge/>
            <w:shd w:val="clear" w:color="auto" w:fill="auto"/>
            <w:vAlign w:val="center"/>
          </w:tcPr>
          <w:p w14:paraId="60BF89C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F14A43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-02</w:t>
            </w:r>
          </w:p>
        </w:tc>
        <w:tc>
          <w:tcPr>
            <w:tcW w:w="1204" w:type="dxa"/>
            <w:shd w:val="clear" w:color="auto" w:fill="auto"/>
            <w:vAlign w:val="center"/>
          </w:tcPr>
          <w:p w14:paraId="45EC38B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2492F9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CB426B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463D6F4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3DE1DC5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13485F0" w14:textId="77777777">
        <w:trPr>
          <w:trHeight w:val="265"/>
          <w:jc w:val="center"/>
        </w:trPr>
        <w:tc>
          <w:tcPr>
            <w:tcW w:w="1022" w:type="dxa"/>
            <w:vMerge/>
            <w:shd w:val="clear" w:color="auto" w:fill="auto"/>
            <w:vAlign w:val="center"/>
          </w:tcPr>
          <w:p w14:paraId="6B23828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C5289B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门</w:t>
            </w:r>
            <w:r>
              <w:rPr>
                <w:rFonts w:ascii="Arial" w:eastAsia="仿宋" w:hAnsi="Arial" w:cs="Arial" w:hint="eastAsia"/>
                <w:sz w:val="21"/>
                <w:szCs w:val="21"/>
              </w:rPr>
              <w:t>1</w:t>
            </w:r>
          </w:p>
        </w:tc>
        <w:tc>
          <w:tcPr>
            <w:tcW w:w="1204" w:type="dxa"/>
            <w:shd w:val="clear" w:color="auto" w:fill="auto"/>
            <w:vAlign w:val="center"/>
          </w:tcPr>
          <w:p w14:paraId="157B3A0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36E0FF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068108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534F376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210C556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25C48F2" w14:textId="77777777">
        <w:trPr>
          <w:trHeight w:val="265"/>
          <w:jc w:val="center"/>
        </w:trPr>
        <w:tc>
          <w:tcPr>
            <w:tcW w:w="1022" w:type="dxa"/>
            <w:vMerge/>
            <w:shd w:val="clear" w:color="auto" w:fill="auto"/>
            <w:vAlign w:val="center"/>
          </w:tcPr>
          <w:p w14:paraId="07033344"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0D25A8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门</w:t>
            </w:r>
            <w:r>
              <w:rPr>
                <w:rFonts w:ascii="Arial" w:eastAsia="仿宋" w:hAnsi="Arial" w:cs="Arial" w:hint="eastAsia"/>
                <w:sz w:val="21"/>
                <w:szCs w:val="21"/>
              </w:rPr>
              <w:t>2</w:t>
            </w:r>
          </w:p>
        </w:tc>
        <w:tc>
          <w:tcPr>
            <w:tcW w:w="1204" w:type="dxa"/>
            <w:shd w:val="clear" w:color="auto" w:fill="auto"/>
            <w:vAlign w:val="center"/>
          </w:tcPr>
          <w:p w14:paraId="40E8721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06DD64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0C1B67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22828D5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0574F15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157BC51C" w14:textId="77777777">
        <w:trPr>
          <w:trHeight w:val="265"/>
          <w:jc w:val="center"/>
        </w:trPr>
        <w:tc>
          <w:tcPr>
            <w:tcW w:w="1022" w:type="dxa"/>
            <w:vMerge/>
            <w:shd w:val="clear" w:color="auto" w:fill="auto"/>
            <w:vAlign w:val="center"/>
          </w:tcPr>
          <w:p w14:paraId="59677166"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076337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proofErr w:type="gramStart"/>
            <w:r>
              <w:rPr>
                <w:rFonts w:ascii="Arial" w:eastAsia="仿宋" w:hAnsi="Arial" w:cs="Arial" w:hint="eastAsia"/>
                <w:sz w:val="21"/>
                <w:szCs w:val="21"/>
              </w:rPr>
              <w:t>门潭</w:t>
            </w:r>
            <w:proofErr w:type="gramEnd"/>
          </w:p>
        </w:tc>
        <w:tc>
          <w:tcPr>
            <w:tcW w:w="1204" w:type="dxa"/>
            <w:shd w:val="clear" w:color="auto" w:fill="auto"/>
            <w:vAlign w:val="center"/>
          </w:tcPr>
          <w:p w14:paraId="01A22FA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60B139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1FADC8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7FEBCC9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1415702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6CC86B07" w14:textId="77777777">
        <w:trPr>
          <w:trHeight w:val="265"/>
          <w:jc w:val="center"/>
        </w:trPr>
        <w:tc>
          <w:tcPr>
            <w:tcW w:w="1022" w:type="dxa"/>
            <w:vMerge/>
            <w:shd w:val="clear" w:color="auto" w:fill="auto"/>
            <w:vAlign w:val="center"/>
          </w:tcPr>
          <w:p w14:paraId="48458735"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E60D36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w:t>
            </w:r>
            <w:r>
              <w:rPr>
                <w:rFonts w:ascii="Arial" w:eastAsia="仿宋" w:hAnsi="Arial" w:cs="Arial" w:hint="eastAsia"/>
                <w:sz w:val="21"/>
                <w:szCs w:val="21"/>
              </w:rPr>
              <w:t>1</w:t>
            </w:r>
          </w:p>
        </w:tc>
        <w:tc>
          <w:tcPr>
            <w:tcW w:w="1204" w:type="dxa"/>
            <w:shd w:val="clear" w:color="auto" w:fill="auto"/>
            <w:vAlign w:val="center"/>
          </w:tcPr>
          <w:p w14:paraId="539AAD0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6FED79A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460E2C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13E8770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344" w:type="dxa"/>
            <w:shd w:val="clear" w:color="auto" w:fill="auto"/>
            <w:vAlign w:val="center"/>
          </w:tcPr>
          <w:p w14:paraId="582A609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398FAE4C" w14:textId="77777777">
        <w:trPr>
          <w:trHeight w:val="265"/>
          <w:jc w:val="center"/>
        </w:trPr>
        <w:tc>
          <w:tcPr>
            <w:tcW w:w="1022" w:type="dxa"/>
            <w:vMerge/>
            <w:shd w:val="clear" w:color="auto" w:fill="auto"/>
            <w:vAlign w:val="center"/>
          </w:tcPr>
          <w:p w14:paraId="5FBED424"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6DD58C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w:t>
            </w:r>
            <w:r>
              <w:rPr>
                <w:rFonts w:ascii="Arial" w:eastAsia="仿宋" w:hAnsi="Arial" w:cs="Arial" w:hint="eastAsia"/>
                <w:sz w:val="21"/>
                <w:szCs w:val="21"/>
              </w:rPr>
              <w:t>2</w:t>
            </w:r>
          </w:p>
        </w:tc>
        <w:tc>
          <w:tcPr>
            <w:tcW w:w="1204" w:type="dxa"/>
            <w:shd w:val="clear" w:color="auto" w:fill="auto"/>
            <w:vAlign w:val="center"/>
          </w:tcPr>
          <w:p w14:paraId="64A45D4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09B5E7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3839D6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5B3A254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c>
          <w:tcPr>
            <w:tcW w:w="1344" w:type="dxa"/>
            <w:shd w:val="clear" w:color="auto" w:fill="auto"/>
            <w:vAlign w:val="center"/>
          </w:tcPr>
          <w:p w14:paraId="60B5CD3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487B1239" w14:textId="77777777">
        <w:trPr>
          <w:trHeight w:val="265"/>
          <w:jc w:val="center"/>
        </w:trPr>
        <w:tc>
          <w:tcPr>
            <w:tcW w:w="1022" w:type="dxa"/>
            <w:vMerge/>
            <w:shd w:val="clear" w:color="auto" w:fill="auto"/>
            <w:vAlign w:val="center"/>
          </w:tcPr>
          <w:p w14:paraId="581E6D3A"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2513F2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w:t>
            </w:r>
            <w:r>
              <w:rPr>
                <w:rFonts w:ascii="Arial" w:eastAsia="仿宋" w:hAnsi="Arial" w:cs="Arial" w:hint="eastAsia"/>
                <w:sz w:val="21"/>
                <w:szCs w:val="21"/>
              </w:rPr>
              <w:t>3</w:t>
            </w:r>
          </w:p>
        </w:tc>
        <w:tc>
          <w:tcPr>
            <w:tcW w:w="1204" w:type="dxa"/>
            <w:shd w:val="clear" w:color="auto" w:fill="auto"/>
            <w:vAlign w:val="center"/>
          </w:tcPr>
          <w:p w14:paraId="21F1C43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302540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B5E00F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0057993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3B9E71A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9835D80" w14:textId="77777777">
        <w:trPr>
          <w:trHeight w:val="265"/>
          <w:jc w:val="center"/>
        </w:trPr>
        <w:tc>
          <w:tcPr>
            <w:tcW w:w="1022" w:type="dxa"/>
            <w:vMerge/>
            <w:shd w:val="clear" w:color="auto" w:fill="auto"/>
            <w:vAlign w:val="center"/>
          </w:tcPr>
          <w:p w14:paraId="3476F4EA"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29E978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w:t>
            </w:r>
            <w:r>
              <w:rPr>
                <w:rFonts w:ascii="Arial" w:eastAsia="仿宋" w:hAnsi="Arial" w:cs="Arial" w:hint="eastAsia"/>
                <w:sz w:val="21"/>
                <w:szCs w:val="21"/>
              </w:rPr>
              <w:t>4</w:t>
            </w:r>
          </w:p>
        </w:tc>
        <w:tc>
          <w:tcPr>
            <w:tcW w:w="1204" w:type="dxa"/>
            <w:shd w:val="clear" w:color="auto" w:fill="auto"/>
            <w:vAlign w:val="center"/>
          </w:tcPr>
          <w:p w14:paraId="29285D8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C97E59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A4EE55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7FC1D3A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49E1E10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19AF7753" w14:textId="77777777">
        <w:trPr>
          <w:trHeight w:val="265"/>
          <w:jc w:val="center"/>
        </w:trPr>
        <w:tc>
          <w:tcPr>
            <w:tcW w:w="1022" w:type="dxa"/>
            <w:vMerge/>
            <w:shd w:val="clear" w:color="auto" w:fill="auto"/>
            <w:vAlign w:val="center"/>
          </w:tcPr>
          <w:p w14:paraId="3FA6F707"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35FA76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w:t>
            </w:r>
            <w:r>
              <w:rPr>
                <w:rFonts w:ascii="Arial" w:eastAsia="仿宋" w:hAnsi="Arial" w:cs="Arial" w:hint="eastAsia"/>
                <w:sz w:val="21"/>
                <w:szCs w:val="21"/>
              </w:rPr>
              <w:t>5</w:t>
            </w:r>
          </w:p>
        </w:tc>
        <w:tc>
          <w:tcPr>
            <w:tcW w:w="1204" w:type="dxa"/>
            <w:shd w:val="clear" w:color="auto" w:fill="auto"/>
            <w:vAlign w:val="center"/>
          </w:tcPr>
          <w:p w14:paraId="07A4F3E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204" w:type="dxa"/>
            <w:shd w:val="clear" w:color="auto" w:fill="auto"/>
            <w:vAlign w:val="center"/>
          </w:tcPr>
          <w:p w14:paraId="5E2EB41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204" w:type="dxa"/>
            <w:shd w:val="clear" w:color="auto" w:fill="auto"/>
            <w:vAlign w:val="center"/>
          </w:tcPr>
          <w:p w14:paraId="40BF02B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7AD8CB3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14.10%</w:t>
            </w:r>
          </w:p>
        </w:tc>
        <w:tc>
          <w:tcPr>
            <w:tcW w:w="1344" w:type="dxa"/>
            <w:shd w:val="clear" w:color="auto" w:fill="auto"/>
            <w:vAlign w:val="center"/>
          </w:tcPr>
          <w:p w14:paraId="69F93D3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r>
      <w:tr w:rsidR="0062768B" w14:paraId="3A82D59B" w14:textId="77777777">
        <w:trPr>
          <w:trHeight w:val="265"/>
          <w:jc w:val="center"/>
        </w:trPr>
        <w:tc>
          <w:tcPr>
            <w:tcW w:w="1022" w:type="dxa"/>
            <w:vMerge/>
            <w:shd w:val="clear" w:color="auto" w:fill="auto"/>
            <w:vAlign w:val="center"/>
          </w:tcPr>
          <w:p w14:paraId="7B817208"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00096A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通</w:t>
            </w:r>
            <w:r>
              <w:rPr>
                <w:rFonts w:ascii="Arial" w:eastAsia="仿宋" w:hAnsi="Arial" w:cs="Arial" w:hint="eastAsia"/>
                <w:sz w:val="21"/>
                <w:szCs w:val="21"/>
              </w:rPr>
              <w:t>1</w:t>
            </w:r>
          </w:p>
        </w:tc>
        <w:tc>
          <w:tcPr>
            <w:tcW w:w="1204" w:type="dxa"/>
            <w:shd w:val="clear" w:color="auto" w:fill="auto"/>
            <w:vAlign w:val="center"/>
          </w:tcPr>
          <w:p w14:paraId="21A0D80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11.00%</w:t>
            </w:r>
          </w:p>
        </w:tc>
        <w:tc>
          <w:tcPr>
            <w:tcW w:w="1204" w:type="dxa"/>
            <w:shd w:val="clear" w:color="auto" w:fill="auto"/>
            <w:vAlign w:val="center"/>
          </w:tcPr>
          <w:p w14:paraId="328CE12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11.10%</w:t>
            </w:r>
          </w:p>
        </w:tc>
        <w:tc>
          <w:tcPr>
            <w:tcW w:w="1204" w:type="dxa"/>
            <w:shd w:val="clear" w:color="auto" w:fill="auto"/>
            <w:vAlign w:val="center"/>
          </w:tcPr>
          <w:p w14:paraId="61A5A59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14.10%</w:t>
            </w:r>
          </w:p>
        </w:tc>
        <w:tc>
          <w:tcPr>
            <w:tcW w:w="1064" w:type="dxa"/>
            <w:shd w:val="clear" w:color="auto" w:fill="auto"/>
            <w:vAlign w:val="center"/>
          </w:tcPr>
          <w:p w14:paraId="2ACECD0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11.00%</w:t>
            </w:r>
          </w:p>
        </w:tc>
        <w:tc>
          <w:tcPr>
            <w:tcW w:w="1344" w:type="dxa"/>
            <w:shd w:val="clear" w:color="auto" w:fill="auto"/>
            <w:vAlign w:val="center"/>
          </w:tcPr>
          <w:p w14:paraId="5A9C555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12.00%</w:t>
            </w:r>
          </w:p>
        </w:tc>
      </w:tr>
      <w:tr w:rsidR="0062768B" w14:paraId="74C40FD2" w14:textId="77777777">
        <w:trPr>
          <w:trHeight w:val="265"/>
          <w:jc w:val="center"/>
        </w:trPr>
        <w:tc>
          <w:tcPr>
            <w:tcW w:w="1022" w:type="dxa"/>
            <w:vMerge/>
            <w:shd w:val="clear" w:color="auto" w:fill="auto"/>
            <w:vAlign w:val="center"/>
          </w:tcPr>
          <w:p w14:paraId="48495D78"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193AD5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通</w:t>
            </w:r>
            <w:r>
              <w:rPr>
                <w:rFonts w:ascii="Arial" w:eastAsia="仿宋" w:hAnsi="Arial" w:cs="Arial" w:hint="eastAsia"/>
                <w:sz w:val="21"/>
                <w:szCs w:val="21"/>
              </w:rPr>
              <w:t>2</w:t>
            </w:r>
          </w:p>
        </w:tc>
        <w:tc>
          <w:tcPr>
            <w:tcW w:w="1204" w:type="dxa"/>
            <w:shd w:val="clear" w:color="auto" w:fill="auto"/>
            <w:vAlign w:val="center"/>
          </w:tcPr>
          <w:p w14:paraId="596DE04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c>
          <w:tcPr>
            <w:tcW w:w="1204" w:type="dxa"/>
            <w:shd w:val="clear" w:color="auto" w:fill="auto"/>
            <w:vAlign w:val="center"/>
          </w:tcPr>
          <w:p w14:paraId="6741354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14.30%</w:t>
            </w:r>
          </w:p>
        </w:tc>
        <w:tc>
          <w:tcPr>
            <w:tcW w:w="1204" w:type="dxa"/>
            <w:shd w:val="clear" w:color="auto" w:fill="auto"/>
            <w:vAlign w:val="center"/>
          </w:tcPr>
          <w:p w14:paraId="4BA5641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22FEBAC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c>
          <w:tcPr>
            <w:tcW w:w="1344" w:type="dxa"/>
            <w:shd w:val="clear" w:color="auto" w:fill="auto"/>
            <w:vAlign w:val="center"/>
          </w:tcPr>
          <w:p w14:paraId="214F282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r>
      <w:tr w:rsidR="0062768B" w14:paraId="3DDE4FA9" w14:textId="77777777">
        <w:trPr>
          <w:trHeight w:val="265"/>
          <w:jc w:val="center"/>
        </w:trPr>
        <w:tc>
          <w:tcPr>
            <w:tcW w:w="1022" w:type="dxa"/>
            <w:vMerge/>
            <w:shd w:val="clear" w:color="auto" w:fill="auto"/>
            <w:vAlign w:val="center"/>
          </w:tcPr>
          <w:p w14:paraId="209FD936"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F5CB21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顺</w:t>
            </w:r>
            <w:r>
              <w:rPr>
                <w:rFonts w:ascii="Arial" w:eastAsia="仿宋" w:hAnsi="Arial" w:cs="Arial" w:hint="eastAsia"/>
                <w:sz w:val="21"/>
                <w:szCs w:val="21"/>
              </w:rPr>
              <w:t>1</w:t>
            </w:r>
          </w:p>
        </w:tc>
        <w:tc>
          <w:tcPr>
            <w:tcW w:w="1204" w:type="dxa"/>
            <w:shd w:val="clear" w:color="auto" w:fill="auto"/>
            <w:vAlign w:val="center"/>
          </w:tcPr>
          <w:p w14:paraId="12286B5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14.30%</w:t>
            </w:r>
          </w:p>
        </w:tc>
        <w:tc>
          <w:tcPr>
            <w:tcW w:w="1204" w:type="dxa"/>
            <w:shd w:val="clear" w:color="auto" w:fill="auto"/>
            <w:vAlign w:val="center"/>
          </w:tcPr>
          <w:p w14:paraId="33AB3D7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14.30%</w:t>
            </w:r>
          </w:p>
        </w:tc>
        <w:tc>
          <w:tcPr>
            <w:tcW w:w="1204" w:type="dxa"/>
            <w:shd w:val="clear" w:color="auto" w:fill="auto"/>
            <w:vAlign w:val="center"/>
          </w:tcPr>
          <w:p w14:paraId="4B624CB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14.80%</w:t>
            </w:r>
          </w:p>
        </w:tc>
        <w:tc>
          <w:tcPr>
            <w:tcW w:w="1064" w:type="dxa"/>
            <w:shd w:val="clear" w:color="auto" w:fill="auto"/>
            <w:vAlign w:val="center"/>
          </w:tcPr>
          <w:p w14:paraId="152692D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c>
          <w:tcPr>
            <w:tcW w:w="1344" w:type="dxa"/>
            <w:shd w:val="clear" w:color="auto" w:fill="auto"/>
            <w:vAlign w:val="center"/>
          </w:tcPr>
          <w:p w14:paraId="03DC84C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r>
      <w:tr w:rsidR="0062768B" w14:paraId="424016F0" w14:textId="77777777">
        <w:trPr>
          <w:trHeight w:val="265"/>
          <w:jc w:val="center"/>
        </w:trPr>
        <w:tc>
          <w:tcPr>
            <w:tcW w:w="1022" w:type="dxa"/>
            <w:vMerge/>
            <w:shd w:val="clear" w:color="auto" w:fill="auto"/>
            <w:vAlign w:val="center"/>
          </w:tcPr>
          <w:p w14:paraId="14A2D4EC"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5CF22F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顺</w:t>
            </w:r>
            <w:r>
              <w:rPr>
                <w:rFonts w:ascii="Arial" w:eastAsia="仿宋" w:hAnsi="Arial" w:cs="Arial" w:hint="eastAsia"/>
                <w:sz w:val="21"/>
                <w:szCs w:val="21"/>
              </w:rPr>
              <w:t>2</w:t>
            </w:r>
          </w:p>
        </w:tc>
        <w:tc>
          <w:tcPr>
            <w:tcW w:w="1204" w:type="dxa"/>
            <w:shd w:val="clear" w:color="auto" w:fill="auto"/>
            <w:vAlign w:val="center"/>
          </w:tcPr>
          <w:p w14:paraId="367E727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14.80%</w:t>
            </w:r>
          </w:p>
        </w:tc>
        <w:tc>
          <w:tcPr>
            <w:tcW w:w="1204" w:type="dxa"/>
            <w:shd w:val="clear" w:color="auto" w:fill="auto"/>
            <w:vAlign w:val="center"/>
          </w:tcPr>
          <w:p w14:paraId="2BFB2E2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14.90%</w:t>
            </w:r>
          </w:p>
        </w:tc>
        <w:tc>
          <w:tcPr>
            <w:tcW w:w="1204" w:type="dxa"/>
            <w:shd w:val="clear" w:color="auto" w:fill="auto"/>
            <w:vAlign w:val="center"/>
          </w:tcPr>
          <w:p w14:paraId="5E267AF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054825A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12.70%</w:t>
            </w:r>
          </w:p>
        </w:tc>
        <w:tc>
          <w:tcPr>
            <w:tcW w:w="1344" w:type="dxa"/>
            <w:shd w:val="clear" w:color="auto" w:fill="auto"/>
            <w:vAlign w:val="center"/>
          </w:tcPr>
          <w:p w14:paraId="3BDA56C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5C6B016D" w14:textId="77777777">
        <w:trPr>
          <w:trHeight w:val="265"/>
          <w:jc w:val="center"/>
        </w:trPr>
        <w:tc>
          <w:tcPr>
            <w:tcW w:w="1022" w:type="dxa"/>
            <w:vMerge/>
            <w:shd w:val="clear" w:color="auto" w:fill="auto"/>
            <w:vAlign w:val="center"/>
          </w:tcPr>
          <w:p w14:paraId="2FBCDEB0"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BB7D62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顺</w:t>
            </w:r>
            <w:r>
              <w:rPr>
                <w:rFonts w:ascii="Arial" w:eastAsia="仿宋" w:hAnsi="Arial" w:cs="Arial" w:hint="eastAsia"/>
                <w:sz w:val="21"/>
                <w:szCs w:val="21"/>
              </w:rPr>
              <w:t>3</w:t>
            </w:r>
          </w:p>
        </w:tc>
        <w:tc>
          <w:tcPr>
            <w:tcW w:w="1204" w:type="dxa"/>
            <w:shd w:val="clear" w:color="auto" w:fill="auto"/>
            <w:vAlign w:val="center"/>
          </w:tcPr>
          <w:p w14:paraId="56A0B78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6EAD394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67AB84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2CFC35D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14.90%</w:t>
            </w:r>
          </w:p>
        </w:tc>
        <w:tc>
          <w:tcPr>
            <w:tcW w:w="1344" w:type="dxa"/>
            <w:shd w:val="clear" w:color="auto" w:fill="auto"/>
            <w:vAlign w:val="center"/>
          </w:tcPr>
          <w:p w14:paraId="62AB305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0E8FC5AE" w14:textId="77777777">
        <w:trPr>
          <w:trHeight w:val="265"/>
          <w:jc w:val="center"/>
        </w:trPr>
        <w:tc>
          <w:tcPr>
            <w:tcW w:w="1022" w:type="dxa"/>
            <w:vMerge/>
            <w:shd w:val="clear" w:color="auto" w:fill="auto"/>
            <w:vAlign w:val="center"/>
          </w:tcPr>
          <w:p w14:paraId="1022A1CB"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1BA5B18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顺</w:t>
            </w:r>
            <w:r>
              <w:rPr>
                <w:rFonts w:ascii="Arial" w:eastAsia="仿宋" w:hAnsi="Arial" w:cs="Arial" w:hint="eastAsia"/>
                <w:sz w:val="21"/>
                <w:szCs w:val="21"/>
              </w:rPr>
              <w:t>4</w:t>
            </w:r>
          </w:p>
        </w:tc>
        <w:tc>
          <w:tcPr>
            <w:tcW w:w="1204" w:type="dxa"/>
            <w:shd w:val="clear" w:color="auto" w:fill="auto"/>
            <w:vAlign w:val="center"/>
          </w:tcPr>
          <w:p w14:paraId="3E9763A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0D6C39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A19CA4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2A72B50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c>
          <w:tcPr>
            <w:tcW w:w="1344" w:type="dxa"/>
            <w:shd w:val="clear" w:color="auto" w:fill="auto"/>
            <w:vAlign w:val="center"/>
          </w:tcPr>
          <w:p w14:paraId="0D97AB3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0E0CFBC7" w14:textId="77777777">
        <w:trPr>
          <w:trHeight w:val="265"/>
          <w:jc w:val="center"/>
        </w:trPr>
        <w:tc>
          <w:tcPr>
            <w:tcW w:w="1022" w:type="dxa"/>
            <w:vMerge/>
            <w:shd w:val="clear" w:color="auto" w:fill="auto"/>
            <w:vAlign w:val="center"/>
          </w:tcPr>
          <w:p w14:paraId="3C9F6B3E"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AE20AD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顺</w:t>
            </w:r>
            <w:r>
              <w:rPr>
                <w:rFonts w:ascii="Arial" w:eastAsia="仿宋" w:hAnsi="Arial" w:cs="Arial" w:hint="eastAsia"/>
                <w:sz w:val="21"/>
                <w:szCs w:val="21"/>
              </w:rPr>
              <w:t>5</w:t>
            </w:r>
          </w:p>
        </w:tc>
        <w:tc>
          <w:tcPr>
            <w:tcW w:w="1204" w:type="dxa"/>
            <w:shd w:val="clear" w:color="auto" w:fill="auto"/>
            <w:vAlign w:val="center"/>
          </w:tcPr>
          <w:p w14:paraId="5CC74B8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64A936F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AAE48B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1B27998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344" w:type="dxa"/>
            <w:shd w:val="clear" w:color="auto" w:fill="auto"/>
            <w:vAlign w:val="center"/>
          </w:tcPr>
          <w:p w14:paraId="593980B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1DFCF708" w14:textId="77777777">
        <w:trPr>
          <w:trHeight w:val="265"/>
          <w:jc w:val="center"/>
        </w:trPr>
        <w:tc>
          <w:tcPr>
            <w:tcW w:w="1022" w:type="dxa"/>
            <w:vMerge/>
            <w:shd w:val="clear" w:color="auto" w:fill="auto"/>
            <w:vAlign w:val="center"/>
          </w:tcPr>
          <w:p w14:paraId="2323B359"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BA41DB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昌</w:t>
            </w:r>
            <w:r>
              <w:rPr>
                <w:rFonts w:ascii="Arial" w:eastAsia="仿宋" w:hAnsi="Arial" w:cs="Arial" w:hint="eastAsia"/>
                <w:sz w:val="21"/>
                <w:szCs w:val="21"/>
              </w:rPr>
              <w:t>1</w:t>
            </w:r>
          </w:p>
        </w:tc>
        <w:tc>
          <w:tcPr>
            <w:tcW w:w="1204" w:type="dxa"/>
            <w:shd w:val="clear" w:color="auto" w:fill="auto"/>
            <w:vAlign w:val="center"/>
          </w:tcPr>
          <w:p w14:paraId="521410A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66CEB79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3662A8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217A042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14.90%</w:t>
            </w:r>
          </w:p>
        </w:tc>
        <w:tc>
          <w:tcPr>
            <w:tcW w:w="1344" w:type="dxa"/>
            <w:shd w:val="clear" w:color="auto" w:fill="auto"/>
            <w:vAlign w:val="center"/>
          </w:tcPr>
          <w:p w14:paraId="60FE7C8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4F099CC0" w14:textId="77777777">
        <w:trPr>
          <w:trHeight w:val="265"/>
          <w:jc w:val="center"/>
        </w:trPr>
        <w:tc>
          <w:tcPr>
            <w:tcW w:w="1022" w:type="dxa"/>
            <w:vMerge/>
            <w:shd w:val="clear" w:color="auto" w:fill="auto"/>
            <w:vAlign w:val="center"/>
          </w:tcPr>
          <w:p w14:paraId="0C9D9E2A"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15C963D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昌</w:t>
            </w:r>
            <w:r>
              <w:rPr>
                <w:rFonts w:ascii="Arial" w:eastAsia="仿宋" w:hAnsi="Arial" w:cs="Arial" w:hint="eastAsia"/>
                <w:sz w:val="21"/>
                <w:szCs w:val="21"/>
              </w:rPr>
              <w:t>2</w:t>
            </w:r>
          </w:p>
        </w:tc>
        <w:tc>
          <w:tcPr>
            <w:tcW w:w="1204" w:type="dxa"/>
            <w:shd w:val="clear" w:color="auto" w:fill="auto"/>
            <w:vAlign w:val="center"/>
          </w:tcPr>
          <w:p w14:paraId="6A07D38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94A79C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92F50D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373D17C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14.80%</w:t>
            </w:r>
          </w:p>
        </w:tc>
        <w:tc>
          <w:tcPr>
            <w:tcW w:w="1344" w:type="dxa"/>
            <w:shd w:val="clear" w:color="auto" w:fill="auto"/>
            <w:vAlign w:val="center"/>
          </w:tcPr>
          <w:p w14:paraId="3DC5242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61A3F476" w14:textId="77777777">
        <w:trPr>
          <w:trHeight w:val="265"/>
          <w:jc w:val="center"/>
        </w:trPr>
        <w:tc>
          <w:tcPr>
            <w:tcW w:w="1022" w:type="dxa"/>
            <w:vMerge/>
            <w:shd w:val="clear" w:color="auto" w:fill="auto"/>
            <w:vAlign w:val="center"/>
          </w:tcPr>
          <w:p w14:paraId="3ECF59C0"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3B2F91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昌</w:t>
            </w:r>
            <w:r>
              <w:rPr>
                <w:rFonts w:ascii="Arial" w:eastAsia="仿宋" w:hAnsi="Arial" w:cs="Arial" w:hint="eastAsia"/>
                <w:sz w:val="21"/>
                <w:szCs w:val="21"/>
              </w:rPr>
              <w:t>3</w:t>
            </w:r>
          </w:p>
        </w:tc>
        <w:tc>
          <w:tcPr>
            <w:tcW w:w="1204" w:type="dxa"/>
            <w:shd w:val="clear" w:color="auto" w:fill="auto"/>
            <w:vAlign w:val="center"/>
          </w:tcPr>
          <w:p w14:paraId="740A8EC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413E3D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A19C6C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69EC18F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c>
          <w:tcPr>
            <w:tcW w:w="1344" w:type="dxa"/>
            <w:shd w:val="clear" w:color="auto" w:fill="auto"/>
            <w:vAlign w:val="center"/>
          </w:tcPr>
          <w:p w14:paraId="2187611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0257682F" w14:textId="77777777">
        <w:trPr>
          <w:trHeight w:val="265"/>
          <w:jc w:val="center"/>
        </w:trPr>
        <w:tc>
          <w:tcPr>
            <w:tcW w:w="1022" w:type="dxa"/>
            <w:vMerge/>
            <w:shd w:val="clear" w:color="auto" w:fill="auto"/>
            <w:vAlign w:val="center"/>
          </w:tcPr>
          <w:p w14:paraId="69E6358C"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FA11E2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昌</w:t>
            </w:r>
            <w:r>
              <w:rPr>
                <w:rFonts w:ascii="Arial" w:eastAsia="仿宋" w:hAnsi="Arial" w:cs="Arial" w:hint="eastAsia"/>
                <w:sz w:val="21"/>
                <w:szCs w:val="21"/>
              </w:rPr>
              <w:t>4</w:t>
            </w:r>
          </w:p>
        </w:tc>
        <w:tc>
          <w:tcPr>
            <w:tcW w:w="1204" w:type="dxa"/>
            <w:shd w:val="clear" w:color="auto" w:fill="auto"/>
            <w:vAlign w:val="center"/>
          </w:tcPr>
          <w:p w14:paraId="230F171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4F57B1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87EE70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27711B8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344" w:type="dxa"/>
            <w:shd w:val="clear" w:color="auto" w:fill="auto"/>
            <w:vAlign w:val="center"/>
          </w:tcPr>
          <w:p w14:paraId="393A082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6B7DDF62" w14:textId="77777777">
        <w:trPr>
          <w:trHeight w:val="265"/>
          <w:jc w:val="center"/>
        </w:trPr>
        <w:tc>
          <w:tcPr>
            <w:tcW w:w="1022" w:type="dxa"/>
            <w:vMerge/>
            <w:shd w:val="clear" w:color="auto" w:fill="auto"/>
            <w:vAlign w:val="center"/>
          </w:tcPr>
          <w:p w14:paraId="6E448666"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5E4E12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昌</w:t>
            </w:r>
            <w:r>
              <w:rPr>
                <w:rFonts w:ascii="Arial" w:eastAsia="仿宋" w:hAnsi="Arial" w:cs="Arial" w:hint="eastAsia"/>
                <w:sz w:val="21"/>
                <w:szCs w:val="21"/>
              </w:rPr>
              <w:t>5</w:t>
            </w:r>
          </w:p>
        </w:tc>
        <w:tc>
          <w:tcPr>
            <w:tcW w:w="1204" w:type="dxa"/>
            <w:shd w:val="clear" w:color="auto" w:fill="auto"/>
            <w:vAlign w:val="center"/>
          </w:tcPr>
          <w:p w14:paraId="489E8DE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5B5BC1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7FE9A6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6D760A2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6471595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1BB6E9FE" w14:textId="77777777">
        <w:trPr>
          <w:trHeight w:val="265"/>
          <w:jc w:val="center"/>
        </w:trPr>
        <w:tc>
          <w:tcPr>
            <w:tcW w:w="1022" w:type="dxa"/>
            <w:vMerge/>
            <w:shd w:val="clear" w:color="auto" w:fill="auto"/>
            <w:vAlign w:val="center"/>
          </w:tcPr>
          <w:p w14:paraId="56EF9EF2"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1B19CE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兴</w:t>
            </w:r>
            <w:r>
              <w:rPr>
                <w:rFonts w:ascii="Arial" w:eastAsia="仿宋" w:hAnsi="Arial" w:cs="Arial" w:hint="eastAsia"/>
                <w:sz w:val="21"/>
                <w:szCs w:val="21"/>
              </w:rPr>
              <w:t>1</w:t>
            </w:r>
          </w:p>
        </w:tc>
        <w:tc>
          <w:tcPr>
            <w:tcW w:w="1204" w:type="dxa"/>
            <w:shd w:val="clear" w:color="auto" w:fill="auto"/>
            <w:vAlign w:val="center"/>
          </w:tcPr>
          <w:p w14:paraId="55DE295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6E477A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5CFDA8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51FE323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344" w:type="dxa"/>
            <w:shd w:val="clear" w:color="auto" w:fill="auto"/>
            <w:vAlign w:val="center"/>
          </w:tcPr>
          <w:p w14:paraId="1FDA7B3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1A4B20BB" w14:textId="77777777">
        <w:trPr>
          <w:trHeight w:val="265"/>
          <w:jc w:val="center"/>
        </w:trPr>
        <w:tc>
          <w:tcPr>
            <w:tcW w:w="1022" w:type="dxa"/>
            <w:vMerge/>
            <w:shd w:val="clear" w:color="auto" w:fill="auto"/>
            <w:vAlign w:val="center"/>
          </w:tcPr>
          <w:p w14:paraId="533B8166"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CE014E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兴</w:t>
            </w:r>
            <w:r>
              <w:rPr>
                <w:rFonts w:ascii="Arial" w:eastAsia="仿宋" w:hAnsi="Arial" w:cs="Arial" w:hint="eastAsia"/>
                <w:sz w:val="21"/>
                <w:szCs w:val="21"/>
              </w:rPr>
              <w:t>2</w:t>
            </w:r>
          </w:p>
        </w:tc>
        <w:tc>
          <w:tcPr>
            <w:tcW w:w="1204" w:type="dxa"/>
            <w:shd w:val="clear" w:color="auto" w:fill="auto"/>
            <w:vAlign w:val="center"/>
          </w:tcPr>
          <w:p w14:paraId="2B8DA1A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37F5A0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7AEDBD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0A34EAF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14.60%</w:t>
            </w:r>
          </w:p>
        </w:tc>
        <w:tc>
          <w:tcPr>
            <w:tcW w:w="1344" w:type="dxa"/>
            <w:shd w:val="clear" w:color="auto" w:fill="auto"/>
            <w:vAlign w:val="center"/>
          </w:tcPr>
          <w:p w14:paraId="2B2735E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55241A8" w14:textId="77777777">
        <w:trPr>
          <w:trHeight w:val="265"/>
          <w:jc w:val="center"/>
        </w:trPr>
        <w:tc>
          <w:tcPr>
            <w:tcW w:w="1022" w:type="dxa"/>
            <w:vMerge/>
            <w:shd w:val="clear" w:color="auto" w:fill="auto"/>
            <w:vAlign w:val="center"/>
          </w:tcPr>
          <w:p w14:paraId="4F33628D"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158930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兴</w:t>
            </w:r>
            <w:r>
              <w:rPr>
                <w:rFonts w:ascii="Arial" w:eastAsia="仿宋" w:hAnsi="Arial" w:cs="Arial" w:hint="eastAsia"/>
                <w:sz w:val="21"/>
                <w:szCs w:val="21"/>
              </w:rPr>
              <w:t>3</w:t>
            </w:r>
          </w:p>
        </w:tc>
        <w:tc>
          <w:tcPr>
            <w:tcW w:w="1204" w:type="dxa"/>
            <w:shd w:val="clear" w:color="auto" w:fill="auto"/>
            <w:vAlign w:val="center"/>
          </w:tcPr>
          <w:p w14:paraId="3E0DBBF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12.60%</w:t>
            </w:r>
          </w:p>
        </w:tc>
        <w:tc>
          <w:tcPr>
            <w:tcW w:w="1204" w:type="dxa"/>
            <w:shd w:val="clear" w:color="auto" w:fill="auto"/>
            <w:vAlign w:val="center"/>
          </w:tcPr>
          <w:p w14:paraId="2FF13B6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12.40%</w:t>
            </w:r>
          </w:p>
        </w:tc>
        <w:tc>
          <w:tcPr>
            <w:tcW w:w="1204" w:type="dxa"/>
            <w:shd w:val="clear" w:color="auto" w:fill="auto"/>
            <w:vAlign w:val="center"/>
          </w:tcPr>
          <w:p w14:paraId="54803AE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14.10%</w:t>
            </w:r>
          </w:p>
        </w:tc>
        <w:tc>
          <w:tcPr>
            <w:tcW w:w="1064" w:type="dxa"/>
            <w:shd w:val="clear" w:color="auto" w:fill="auto"/>
            <w:vAlign w:val="center"/>
          </w:tcPr>
          <w:p w14:paraId="5660860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c>
          <w:tcPr>
            <w:tcW w:w="1344" w:type="dxa"/>
            <w:shd w:val="clear" w:color="auto" w:fill="auto"/>
            <w:vAlign w:val="center"/>
          </w:tcPr>
          <w:p w14:paraId="5001EF9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13.00%</w:t>
            </w:r>
          </w:p>
        </w:tc>
      </w:tr>
      <w:tr w:rsidR="0062768B" w14:paraId="06AA39A2" w14:textId="77777777">
        <w:trPr>
          <w:trHeight w:val="265"/>
          <w:jc w:val="center"/>
        </w:trPr>
        <w:tc>
          <w:tcPr>
            <w:tcW w:w="1022" w:type="dxa"/>
            <w:vMerge/>
            <w:shd w:val="clear" w:color="auto" w:fill="auto"/>
            <w:vAlign w:val="center"/>
          </w:tcPr>
          <w:p w14:paraId="6FADD240"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A67C3C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怀</w:t>
            </w:r>
            <w:r>
              <w:rPr>
                <w:rFonts w:ascii="Arial" w:eastAsia="仿宋" w:hAnsi="Arial" w:cs="Arial" w:hint="eastAsia"/>
                <w:sz w:val="21"/>
                <w:szCs w:val="21"/>
              </w:rPr>
              <w:t>1</w:t>
            </w:r>
          </w:p>
        </w:tc>
        <w:tc>
          <w:tcPr>
            <w:tcW w:w="1204" w:type="dxa"/>
            <w:shd w:val="clear" w:color="auto" w:fill="auto"/>
            <w:vAlign w:val="center"/>
          </w:tcPr>
          <w:p w14:paraId="79CEA41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77A483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9307C6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54217E3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14.70%</w:t>
            </w:r>
          </w:p>
        </w:tc>
        <w:tc>
          <w:tcPr>
            <w:tcW w:w="1344" w:type="dxa"/>
            <w:shd w:val="clear" w:color="auto" w:fill="auto"/>
            <w:vAlign w:val="center"/>
          </w:tcPr>
          <w:p w14:paraId="23F4F00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59DBB037" w14:textId="77777777">
        <w:trPr>
          <w:trHeight w:val="265"/>
          <w:jc w:val="center"/>
        </w:trPr>
        <w:tc>
          <w:tcPr>
            <w:tcW w:w="1022" w:type="dxa"/>
            <w:vMerge/>
            <w:shd w:val="clear" w:color="auto" w:fill="auto"/>
            <w:vAlign w:val="center"/>
          </w:tcPr>
          <w:p w14:paraId="4B71A895"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625D46D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怀</w:t>
            </w:r>
            <w:r>
              <w:rPr>
                <w:rFonts w:ascii="Arial" w:eastAsia="仿宋" w:hAnsi="Arial" w:cs="Arial" w:hint="eastAsia"/>
                <w:sz w:val="21"/>
                <w:szCs w:val="21"/>
              </w:rPr>
              <w:t>2</w:t>
            </w:r>
          </w:p>
        </w:tc>
        <w:tc>
          <w:tcPr>
            <w:tcW w:w="1204" w:type="dxa"/>
            <w:shd w:val="clear" w:color="auto" w:fill="auto"/>
            <w:vAlign w:val="center"/>
          </w:tcPr>
          <w:p w14:paraId="2F72FFA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69C715F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5A3871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3D81703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c>
          <w:tcPr>
            <w:tcW w:w="1344" w:type="dxa"/>
            <w:shd w:val="clear" w:color="auto" w:fill="auto"/>
            <w:vAlign w:val="center"/>
          </w:tcPr>
          <w:p w14:paraId="29B9D98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2A73084D" w14:textId="77777777">
        <w:trPr>
          <w:trHeight w:val="265"/>
          <w:jc w:val="center"/>
        </w:trPr>
        <w:tc>
          <w:tcPr>
            <w:tcW w:w="1022" w:type="dxa"/>
            <w:vMerge/>
            <w:shd w:val="clear" w:color="auto" w:fill="auto"/>
            <w:vAlign w:val="center"/>
          </w:tcPr>
          <w:p w14:paraId="5C041E72"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510EDE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怀</w:t>
            </w:r>
            <w:r>
              <w:rPr>
                <w:rFonts w:ascii="Arial" w:eastAsia="仿宋" w:hAnsi="Arial" w:cs="Arial" w:hint="eastAsia"/>
                <w:sz w:val="21"/>
                <w:szCs w:val="21"/>
              </w:rPr>
              <w:t>3</w:t>
            </w:r>
          </w:p>
        </w:tc>
        <w:tc>
          <w:tcPr>
            <w:tcW w:w="1204" w:type="dxa"/>
            <w:shd w:val="clear" w:color="auto" w:fill="auto"/>
            <w:vAlign w:val="center"/>
          </w:tcPr>
          <w:p w14:paraId="1583A5B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67A0FE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3C2409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0E34583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344" w:type="dxa"/>
            <w:shd w:val="clear" w:color="auto" w:fill="auto"/>
            <w:vAlign w:val="center"/>
          </w:tcPr>
          <w:p w14:paraId="0929FA4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C28CD8D" w14:textId="77777777">
        <w:trPr>
          <w:trHeight w:val="265"/>
          <w:jc w:val="center"/>
        </w:trPr>
        <w:tc>
          <w:tcPr>
            <w:tcW w:w="1022" w:type="dxa"/>
            <w:vMerge/>
            <w:shd w:val="clear" w:color="auto" w:fill="auto"/>
            <w:vAlign w:val="center"/>
          </w:tcPr>
          <w:p w14:paraId="1A1246A5"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A2CE52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怀</w:t>
            </w:r>
            <w:r>
              <w:rPr>
                <w:rFonts w:ascii="Arial" w:eastAsia="仿宋" w:hAnsi="Arial" w:cs="Arial" w:hint="eastAsia"/>
                <w:sz w:val="21"/>
                <w:szCs w:val="21"/>
              </w:rPr>
              <w:t>4</w:t>
            </w:r>
          </w:p>
        </w:tc>
        <w:tc>
          <w:tcPr>
            <w:tcW w:w="1204" w:type="dxa"/>
            <w:shd w:val="clear" w:color="auto" w:fill="auto"/>
            <w:vAlign w:val="center"/>
          </w:tcPr>
          <w:p w14:paraId="376018B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CA198A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E6AD70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43C8DC2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11.10%</w:t>
            </w:r>
          </w:p>
        </w:tc>
        <w:tc>
          <w:tcPr>
            <w:tcW w:w="1344" w:type="dxa"/>
            <w:shd w:val="clear" w:color="auto" w:fill="auto"/>
            <w:vAlign w:val="center"/>
          </w:tcPr>
          <w:p w14:paraId="0BB364A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06E6446F" w14:textId="77777777">
        <w:trPr>
          <w:trHeight w:val="265"/>
          <w:jc w:val="center"/>
        </w:trPr>
        <w:tc>
          <w:tcPr>
            <w:tcW w:w="1022" w:type="dxa"/>
            <w:vMerge/>
            <w:shd w:val="clear" w:color="auto" w:fill="auto"/>
            <w:vAlign w:val="center"/>
          </w:tcPr>
          <w:p w14:paraId="4462A298"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17046B2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平</w:t>
            </w:r>
            <w:r>
              <w:rPr>
                <w:rFonts w:ascii="Arial" w:eastAsia="仿宋" w:hAnsi="Arial" w:cs="Arial" w:hint="eastAsia"/>
                <w:sz w:val="21"/>
                <w:szCs w:val="21"/>
              </w:rPr>
              <w:t>1</w:t>
            </w:r>
          </w:p>
        </w:tc>
        <w:tc>
          <w:tcPr>
            <w:tcW w:w="1204" w:type="dxa"/>
            <w:shd w:val="clear" w:color="auto" w:fill="auto"/>
            <w:vAlign w:val="center"/>
          </w:tcPr>
          <w:p w14:paraId="1F905B8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0148DD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F91EFE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0CAD74B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12.60%</w:t>
            </w:r>
          </w:p>
        </w:tc>
        <w:tc>
          <w:tcPr>
            <w:tcW w:w="1344" w:type="dxa"/>
            <w:shd w:val="clear" w:color="auto" w:fill="auto"/>
            <w:vAlign w:val="center"/>
          </w:tcPr>
          <w:p w14:paraId="75638B5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327000F1" w14:textId="77777777">
        <w:trPr>
          <w:trHeight w:val="265"/>
          <w:jc w:val="center"/>
        </w:trPr>
        <w:tc>
          <w:tcPr>
            <w:tcW w:w="1022" w:type="dxa"/>
            <w:vMerge/>
            <w:shd w:val="clear" w:color="auto" w:fill="auto"/>
            <w:vAlign w:val="center"/>
          </w:tcPr>
          <w:p w14:paraId="4ADBFB1D"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43D687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平</w:t>
            </w:r>
            <w:r>
              <w:rPr>
                <w:rFonts w:ascii="Arial" w:eastAsia="仿宋" w:hAnsi="Arial" w:cs="Arial" w:hint="eastAsia"/>
                <w:sz w:val="21"/>
                <w:szCs w:val="21"/>
              </w:rPr>
              <w:t>2</w:t>
            </w:r>
          </w:p>
        </w:tc>
        <w:tc>
          <w:tcPr>
            <w:tcW w:w="1204" w:type="dxa"/>
            <w:shd w:val="clear" w:color="auto" w:fill="auto"/>
            <w:vAlign w:val="center"/>
          </w:tcPr>
          <w:p w14:paraId="72DE854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DAB2CE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AE7C5B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7897A3E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12.00%</w:t>
            </w:r>
          </w:p>
        </w:tc>
        <w:tc>
          <w:tcPr>
            <w:tcW w:w="1344" w:type="dxa"/>
            <w:shd w:val="clear" w:color="auto" w:fill="auto"/>
            <w:vAlign w:val="center"/>
          </w:tcPr>
          <w:p w14:paraId="6C77291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9E13BBB" w14:textId="77777777">
        <w:trPr>
          <w:trHeight w:val="265"/>
          <w:jc w:val="center"/>
        </w:trPr>
        <w:tc>
          <w:tcPr>
            <w:tcW w:w="1022" w:type="dxa"/>
            <w:vMerge/>
            <w:shd w:val="clear" w:color="auto" w:fill="auto"/>
            <w:vAlign w:val="center"/>
          </w:tcPr>
          <w:p w14:paraId="0DE0F033"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96B956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密</w:t>
            </w:r>
            <w:r>
              <w:rPr>
                <w:rFonts w:ascii="Arial" w:eastAsia="仿宋" w:hAnsi="Arial" w:cs="Arial" w:hint="eastAsia"/>
                <w:sz w:val="21"/>
                <w:szCs w:val="21"/>
              </w:rPr>
              <w:t>1</w:t>
            </w:r>
          </w:p>
        </w:tc>
        <w:tc>
          <w:tcPr>
            <w:tcW w:w="1204" w:type="dxa"/>
            <w:shd w:val="clear" w:color="auto" w:fill="auto"/>
            <w:vAlign w:val="center"/>
          </w:tcPr>
          <w:p w14:paraId="7F4FE8E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7A61D1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AB6BFE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4FED559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13.00%</w:t>
            </w:r>
          </w:p>
        </w:tc>
        <w:tc>
          <w:tcPr>
            <w:tcW w:w="1344" w:type="dxa"/>
            <w:shd w:val="clear" w:color="auto" w:fill="auto"/>
            <w:vAlign w:val="center"/>
          </w:tcPr>
          <w:p w14:paraId="5EF8625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462D3C73" w14:textId="77777777">
        <w:trPr>
          <w:trHeight w:val="265"/>
          <w:jc w:val="center"/>
        </w:trPr>
        <w:tc>
          <w:tcPr>
            <w:tcW w:w="1022" w:type="dxa"/>
            <w:vMerge/>
            <w:shd w:val="clear" w:color="auto" w:fill="auto"/>
            <w:vAlign w:val="center"/>
          </w:tcPr>
          <w:p w14:paraId="50BD618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C52735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延</w:t>
            </w:r>
            <w:r>
              <w:rPr>
                <w:rFonts w:ascii="Arial" w:eastAsia="仿宋" w:hAnsi="Arial" w:cs="Arial" w:hint="eastAsia"/>
                <w:sz w:val="21"/>
                <w:szCs w:val="21"/>
              </w:rPr>
              <w:t>1</w:t>
            </w:r>
          </w:p>
        </w:tc>
        <w:tc>
          <w:tcPr>
            <w:tcW w:w="1204" w:type="dxa"/>
            <w:shd w:val="clear" w:color="auto" w:fill="auto"/>
            <w:vAlign w:val="center"/>
          </w:tcPr>
          <w:p w14:paraId="521FDCD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B69320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DB1EAC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2D89784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14.10%</w:t>
            </w:r>
          </w:p>
        </w:tc>
        <w:tc>
          <w:tcPr>
            <w:tcW w:w="1344" w:type="dxa"/>
            <w:shd w:val="clear" w:color="auto" w:fill="auto"/>
            <w:vAlign w:val="center"/>
          </w:tcPr>
          <w:p w14:paraId="0DD8832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4030D3D4" w14:textId="77777777">
        <w:trPr>
          <w:trHeight w:val="265"/>
          <w:jc w:val="center"/>
        </w:trPr>
        <w:tc>
          <w:tcPr>
            <w:tcW w:w="1022" w:type="dxa"/>
            <w:vMerge/>
            <w:shd w:val="clear" w:color="auto" w:fill="auto"/>
            <w:vAlign w:val="center"/>
          </w:tcPr>
          <w:p w14:paraId="5074DF38"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EA4403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延</w:t>
            </w:r>
            <w:r>
              <w:rPr>
                <w:rFonts w:ascii="Arial" w:eastAsia="仿宋" w:hAnsi="Arial" w:cs="Arial" w:hint="eastAsia"/>
                <w:sz w:val="21"/>
                <w:szCs w:val="21"/>
              </w:rPr>
              <w:t>2</w:t>
            </w:r>
          </w:p>
        </w:tc>
        <w:tc>
          <w:tcPr>
            <w:tcW w:w="1204" w:type="dxa"/>
            <w:shd w:val="clear" w:color="auto" w:fill="auto"/>
            <w:vAlign w:val="center"/>
          </w:tcPr>
          <w:p w14:paraId="6E401B6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C690D3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52C26E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19DC7F4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3B0B6BB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F1BC373" w14:textId="77777777">
        <w:trPr>
          <w:trHeight w:val="265"/>
          <w:jc w:val="center"/>
        </w:trPr>
        <w:tc>
          <w:tcPr>
            <w:tcW w:w="1022" w:type="dxa"/>
            <w:vMerge/>
            <w:shd w:val="clear" w:color="auto" w:fill="auto"/>
            <w:vAlign w:val="center"/>
          </w:tcPr>
          <w:p w14:paraId="2C3B3F43"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7F6BF9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亦</w:t>
            </w:r>
            <w:r>
              <w:rPr>
                <w:rFonts w:ascii="Arial" w:eastAsia="仿宋" w:hAnsi="Arial" w:cs="Arial" w:hint="eastAsia"/>
                <w:sz w:val="21"/>
                <w:szCs w:val="21"/>
              </w:rPr>
              <w:t>1</w:t>
            </w:r>
          </w:p>
        </w:tc>
        <w:tc>
          <w:tcPr>
            <w:tcW w:w="1204" w:type="dxa"/>
            <w:shd w:val="clear" w:color="auto" w:fill="auto"/>
            <w:vAlign w:val="center"/>
          </w:tcPr>
          <w:p w14:paraId="5021AE7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13.20%</w:t>
            </w:r>
          </w:p>
        </w:tc>
        <w:tc>
          <w:tcPr>
            <w:tcW w:w="1204" w:type="dxa"/>
            <w:shd w:val="clear" w:color="auto" w:fill="auto"/>
            <w:vAlign w:val="center"/>
          </w:tcPr>
          <w:p w14:paraId="372E1F1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13.30%</w:t>
            </w:r>
          </w:p>
        </w:tc>
        <w:tc>
          <w:tcPr>
            <w:tcW w:w="1204" w:type="dxa"/>
            <w:shd w:val="clear" w:color="auto" w:fill="auto"/>
            <w:vAlign w:val="center"/>
          </w:tcPr>
          <w:p w14:paraId="7F6C4AE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064" w:type="dxa"/>
            <w:shd w:val="clear" w:color="auto" w:fill="auto"/>
            <w:vAlign w:val="center"/>
          </w:tcPr>
          <w:p w14:paraId="7881DED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c>
          <w:tcPr>
            <w:tcW w:w="1344" w:type="dxa"/>
            <w:shd w:val="clear" w:color="auto" w:fill="auto"/>
            <w:vAlign w:val="center"/>
          </w:tcPr>
          <w:p w14:paraId="29500D5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14.00%</w:t>
            </w:r>
          </w:p>
        </w:tc>
      </w:tr>
      <w:tr w:rsidR="0062768B" w14:paraId="0FED41EC" w14:textId="77777777">
        <w:trPr>
          <w:trHeight w:val="265"/>
          <w:jc w:val="center"/>
        </w:trPr>
        <w:tc>
          <w:tcPr>
            <w:tcW w:w="1022" w:type="dxa"/>
            <w:vMerge/>
            <w:shd w:val="clear" w:color="auto" w:fill="auto"/>
            <w:vAlign w:val="center"/>
          </w:tcPr>
          <w:p w14:paraId="6726099D"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94BA92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亦</w:t>
            </w:r>
            <w:r>
              <w:rPr>
                <w:rFonts w:ascii="Arial" w:eastAsia="仿宋" w:hAnsi="Arial" w:cs="Arial" w:hint="eastAsia"/>
                <w:sz w:val="21"/>
                <w:szCs w:val="21"/>
              </w:rPr>
              <w:t>2</w:t>
            </w:r>
          </w:p>
        </w:tc>
        <w:tc>
          <w:tcPr>
            <w:tcW w:w="1204" w:type="dxa"/>
            <w:shd w:val="clear" w:color="auto" w:fill="auto"/>
            <w:vAlign w:val="center"/>
          </w:tcPr>
          <w:p w14:paraId="26A5CE5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13.80%</w:t>
            </w:r>
          </w:p>
        </w:tc>
        <w:tc>
          <w:tcPr>
            <w:tcW w:w="1204" w:type="dxa"/>
            <w:shd w:val="clear" w:color="auto" w:fill="auto"/>
            <w:vAlign w:val="center"/>
          </w:tcPr>
          <w:p w14:paraId="41EA5CF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14.00%</w:t>
            </w:r>
          </w:p>
        </w:tc>
        <w:tc>
          <w:tcPr>
            <w:tcW w:w="1204" w:type="dxa"/>
            <w:shd w:val="clear" w:color="auto" w:fill="auto"/>
            <w:vAlign w:val="center"/>
          </w:tcPr>
          <w:p w14:paraId="56FC41E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14.60%</w:t>
            </w:r>
          </w:p>
        </w:tc>
        <w:tc>
          <w:tcPr>
            <w:tcW w:w="1064" w:type="dxa"/>
            <w:shd w:val="clear" w:color="auto" w:fill="auto"/>
            <w:vAlign w:val="center"/>
          </w:tcPr>
          <w:p w14:paraId="2678DEC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14.90%</w:t>
            </w:r>
          </w:p>
        </w:tc>
        <w:tc>
          <w:tcPr>
            <w:tcW w:w="1344" w:type="dxa"/>
            <w:shd w:val="clear" w:color="auto" w:fill="auto"/>
            <w:vAlign w:val="center"/>
          </w:tcPr>
          <w:p w14:paraId="0608854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r>
      <w:tr w:rsidR="0062768B" w14:paraId="53C6A022" w14:textId="77777777">
        <w:trPr>
          <w:trHeight w:val="265"/>
          <w:jc w:val="center"/>
        </w:trPr>
        <w:tc>
          <w:tcPr>
            <w:tcW w:w="1022" w:type="dxa"/>
            <w:vMerge/>
            <w:shd w:val="clear" w:color="auto" w:fill="auto"/>
            <w:vAlign w:val="center"/>
          </w:tcPr>
          <w:p w14:paraId="1C06A166"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56A956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亦</w:t>
            </w:r>
            <w:r>
              <w:rPr>
                <w:rFonts w:ascii="Arial" w:eastAsia="仿宋" w:hAnsi="Arial" w:cs="Arial" w:hint="eastAsia"/>
                <w:sz w:val="21"/>
                <w:szCs w:val="21"/>
              </w:rPr>
              <w:t>3</w:t>
            </w:r>
          </w:p>
        </w:tc>
        <w:tc>
          <w:tcPr>
            <w:tcW w:w="1204" w:type="dxa"/>
            <w:shd w:val="clear" w:color="auto" w:fill="auto"/>
            <w:vAlign w:val="center"/>
          </w:tcPr>
          <w:p w14:paraId="24F277F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12.50%</w:t>
            </w:r>
          </w:p>
        </w:tc>
        <w:tc>
          <w:tcPr>
            <w:tcW w:w="1204" w:type="dxa"/>
            <w:shd w:val="clear" w:color="auto" w:fill="auto"/>
            <w:vAlign w:val="center"/>
          </w:tcPr>
          <w:p w14:paraId="04F13FF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12.70%</w:t>
            </w:r>
          </w:p>
        </w:tc>
        <w:tc>
          <w:tcPr>
            <w:tcW w:w="1204" w:type="dxa"/>
            <w:shd w:val="clear" w:color="auto" w:fill="auto"/>
            <w:vAlign w:val="center"/>
          </w:tcPr>
          <w:p w14:paraId="363066B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c>
          <w:tcPr>
            <w:tcW w:w="1064" w:type="dxa"/>
            <w:shd w:val="clear" w:color="auto" w:fill="auto"/>
            <w:vAlign w:val="center"/>
          </w:tcPr>
          <w:p w14:paraId="79E033F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11.50%</w:t>
            </w:r>
          </w:p>
        </w:tc>
        <w:tc>
          <w:tcPr>
            <w:tcW w:w="1344" w:type="dxa"/>
            <w:shd w:val="clear" w:color="auto" w:fill="auto"/>
            <w:vAlign w:val="center"/>
          </w:tcPr>
          <w:p w14:paraId="2937911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13.60%</w:t>
            </w:r>
          </w:p>
        </w:tc>
      </w:tr>
      <w:tr w:rsidR="0062768B" w14:paraId="60B3824D" w14:textId="77777777">
        <w:trPr>
          <w:trHeight w:val="265"/>
          <w:jc w:val="center"/>
        </w:trPr>
        <w:tc>
          <w:tcPr>
            <w:tcW w:w="1022" w:type="dxa"/>
            <w:vMerge/>
            <w:shd w:val="clear" w:color="auto" w:fill="auto"/>
            <w:vAlign w:val="center"/>
          </w:tcPr>
          <w:p w14:paraId="05FA24B4"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685EB38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房山工业园西</w:t>
            </w:r>
          </w:p>
        </w:tc>
        <w:tc>
          <w:tcPr>
            <w:tcW w:w="1204" w:type="dxa"/>
            <w:shd w:val="clear" w:color="auto" w:fill="auto"/>
            <w:vAlign w:val="center"/>
          </w:tcPr>
          <w:p w14:paraId="141A2D5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204" w:type="dxa"/>
            <w:shd w:val="clear" w:color="auto" w:fill="auto"/>
            <w:vAlign w:val="center"/>
          </w:tcPr>
          <w:p w14:paraId="4B4A40A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204" w:type="dxa"/>
            <w:shd w:val="clear" w:color="auto" w:fill="auto"/>
            <w:vAlign w:val="center"/>
          </w:tcPr>
          <w:p w14:paraId="7A9EABD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064" w:type="dxa"/>
            <w:shd w:val="clear" w:color="auto" w:fill="auto"/>
            <w:vAlign w:val="center"/>
          </w:tcPr>
          <w:p w14:paraId="3433564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3081054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508705B4" w14:textId="77777777">
        <w:trPr>
          <w:trHeight w:val="265"/>
          <w:jc w:val="center"/>
        </w:trPr>
        <w:tc>
          <w:tcPr>
            <w:tcW w:w="1022" w:type="dxa"/>
            <w:vMerge/>
            <w:shd w:val="clear" w:color="auto" w:fill="auto"/>
            <w:vAlign w:val="center"/>
          </w:tcPr>
          <w:p w14:paraId="619AAF3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63FE83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房山工业园东</w:t>
            </w:r>
          </w:p>
        </w:tc>
        <w:tc>
          <w:tcPr>
            <w:tcW w:w="1204" w:type="dxa"/>
            <w:shd w:val="clear" w:color="auto" w:fill="auto"/>
            <w:vAlign w:val="center"/>
          </w:tcPr>
          <w:p w14:paraId="5CBCFBD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204" w:type="dxa"/>
            <w:shd w:val="clear" w:color="auto" w:fill="auto"/>
            <w:vAlign w:val="center"/>
          </w:tcPr>
          <w:p w14:paraId="59157FB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204" w:type="dxa"/>
            <w:shd w:val="clear" w:color="auto" w:fill="auto"/>
            <w:vAlign w:val="center"/>
          </w:tcPr>
          <w:p w14:paraId="28D1031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064" w:type="dxa"/>
            <w:shd w:val="clear" w:color="auto" w:fill="auto"/>
            <w:vAlign w:val="center"/>
          </w:tcPr>
          <w:p w14:paraId="757170D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1C03956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0CD1A340" w14:textId="77777777">
        <w:trPr>
          <w:trHeight w:val="265"/>
          <w:jc w:val="center"/>
        </w:trPr>
        <w:tc>
          <w:tcPr>
            <w:tcW w:w="1022" w:type="dxa"/>
            <w:vMerge/>
            <w:shd w:val="clear" w:color="auto" w:fill="auto"/>
            <w:vAlign w:val="center"/>
          </w:tcPr>
          <w:p w14:paraId="66F2A534"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5B89B6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永乐开发区</w:t>
            </w:r>
          </w:p>
        </w:tc>
        <w:tc>
          <w:tcPr>
            <w:tcW w:w="1204" w:type="dxa"/>
            <w:shd w:val="clear" w:color="auto" w:fill="auto"/>
            <w:noWrap/>
            <w:vAlign w:val="center"/>
          </w:tcPr>
          <w:p w14:paraId="162F6EC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34B99B6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4F8B0FA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24E4B96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75A9C40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4896766F" w14:textId="77777777">
        <w:trPr>
          <w:trHeight w:val="265"/>
          <w:jc w:val="center"/>
        </w:trPr>
        <w:tc>
          <w:tcPr>
            <w:tcW w:w="1022" w:type="dxa"/>
            <w:vMerge/>
            <w:shd w:val="clear" w:color="auto" w:fill="auto"/>
            <w:vAlign w:val="center"/>
          </w:tcPr>
          <w:p w14:paraId="617080FA"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410CF8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采育开发区</w:t>
            </w:r>
          </w:p>
        </w:tc>
        <w:tc>
          <w:tcPr>
            <w:tcW w:w="1204" w:type="dxa"/>
            <w:shd w:val="clear" w:color="auto" w:fill="auto"/>
            <w:noWrap/>
            <w:vAlign w:val="center"/>
          </w:tcPr>
          <w:p w14:paraId="03F6970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260BF23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3357A3D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4436092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680951D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04879038" w14:textId="77777777">
        <w:trPr>
          <w:trHeight w:val="265"/>
          <w:jc w:val="center"/>
        </w:trPr>
        <w:tc>
          <w:tcPr>
            <w:tcW w:w="1022" w:type="dxa"/>
            <w:vMerge/>
            <w:shd w:val="clear" w:color="auto" w:fill="auto"/>
            <w:vAlign w:val="center"/>
          </w:tcPr>
          <w:p w14:paraId="4F4A506C"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0FC1FB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雁栖开发区</w:t>
            </w:r>
            <w:r>
              <w:rPr>
                <w:rFonts w:ascii="Arial" w:eastAsia="仿宋" w:hAnsi="Arial" w:cs="Arial" w:hint="eastAsia"/>
                <w:sz w:val="21"/>
                <w:szCs w:val="21"/>
              </w:rPr>
              <w:t>A</w:t>
            </w:r>
          </w:p>
        </w:tc>
        <w:tc>
          <w:tcPr>
            <w:tcW w:w="1204" w:type="dxa"/>
            <w:shd w:val="clear" w:color="auto" w:fill="auto"/>
            <w:noWrap/>
            <w:vAlign w:val="center"/>
          </w:tcPr>
          <w:p w14:paraId="135A941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14EF142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32E452E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7C4CB5F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25ECB27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2AA7A3F3" w14:textId="77777777">
        <w:trPr>
          <w:trHeight w:val="265"/>
          <w:jc w:val="center"/>
        </w:trPr>
        <w:tc>
          <w:tcPr>
            <w:tcW w:w="1022" w:type="dxa"/>
            <w:vMerge/>
            <w:shd w:val="clear" w:color="auto" w:fill="auto"/>
            <w:vAlign w:val="center"/>
          </w:tcPr>
          <w:p w14:paraId="5FB47A07"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9BA358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雁栖开发区</w:t>
            </w:r>
            <w:r>
              <w:rPr>
                <w:rFonts w:ascii="Arial" w:eastAsia="仿宋" w:hAnsi="Arial" w:cs="Arial" w:hint="eastAsia"/>
                <w:sz w:val="21"/>
                <w:szCs w:val="21"/>
              </w:rPr>
              <w:t>B</w:t>
            </w:r>
          </w:p>
        </w:tc>
        <w:tc>
          <w:tcPr>
            <w:tcW w:w="1204" w:type="dxa"/>
            <w:shd w:val="clear" w:color="auto" w:fill="auto"/>
            <w:noWrap/>
            <w:vAlign w:val="center"/>
          </w:tcPr>
          <w:p w14:paraId="67A49E3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315573F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364EFDC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0F6BCCB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3598314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1FC6101E" w14:textId="77777777">
        <w:trPr>
          <w:trHeight w:val="265"/>
          <w:jc w:val="center"/>
        </w:trPr>
        <w:tc>
          <w:tcPr>
            <w:tcW w:w="1022" w:type="dxa"/>
            <w:vMerge/>
            <w:shd w:val="clear" w:color="auto" w:fill="auto"/>
            <w:vAlign w:val="center"/>
          </w:tcPr>
          <w:p w14:paraId="7C49605D"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602CDB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雁栖开发区</w:t>
            </w:r>
            <w:r>
              <w:rPr>
                <w:rFonts w:ascii="Arial" w:eastAsia="仿宋" w:hAnsi="Arial" w:cs="Arial" w:hint="eastAsia"/>
                <w:sz w:val="21"/>
                <w:szCs w:val="21"/>
              </w:rPr>
              <w:t>C</w:t>
            </w:r>
          </w:p>
        </w:tc>
        <w:tc>
          <w:tcPr>
            <w:tcW w:w="1204" w:type="dxa"/>
            <w:shd w:val="clear" w:color="auto" w:fill="auto"/>
            <w:noWrap/>
            <w:vAlign w:val="center"/>
          </w:tcPr>
          <w:p w14:paraId="549BB28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741D1AA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1B94F75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3CE1FA7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44522E4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1A928824" w14:textId="77777777">
        <w:trPr>
          <w:trHeight w:val="265"/>
          <w:jc w:val="center"/>
        </w:trPr>
        <w:tc>
          <w:tcPr>
            <w:tcW w:w="1022" w:type="dxa"/>
            <w:vMerge/>
            <w:shd w:val="clear" w:color="auto" w:fill="auto"/>
            <w:vAlign w:val="center"/>
          </w:tcPr>
          <w:p w14:paraId="0C651CD4"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1E0FA0E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proofErr w:type="gramStart"/>
            <w:r>
              <w:rPr>
                <w:rFonts w:ascii="Arial" w:eastAsia="仿宋" w:hAnsi="Arial" w:cs="Arial" w:hint="eastAsia"/>
                <w:sz w:val="21"/>
                <w:szCs w:val="21"/>
              </w:rPr>
              <w:t>兴谷开发区</w:t>
            </w:r>
            <w:proofErr w:type="gramEnd"/>
            <w:r>
              <w:rPr>
                <w:rFonts w:ascii="Arial" w:eastAsia="仿宋" w:hAnsi="Arial" w:cs="Arial" w:hint="eastAsia"/>
                <w:sz w:val="21"/>
                <w:szCs w:val="21"/>
              </w:rPr>
              <w:t>A</w:t>
            </w:r>
          </w:p>
        </w:tc>
        <w:tc>
          <w:tcPr>
            <w:tcW w:w="1204" w:type="dxa"/>
            <w:shd w:val="clear" w:color="auto" w:fill="auto"/>
            <w:noWrap/>
            <w:vAlign w:val="center"/>
          </w:tcPr>
          <w:p w14:paraId="589C4DA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7F5BDF0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0288D85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56DFE9D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671B3A2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455CC780" w14:textId="77777777">
        <w:trPr>
          <w:trHeight w:val="265"/>
          <w:jc w:val="center"/>
        </w:trPr>
        <w:tc>
          <w:tcPr>
            <w:tcW w:w="1022" w:type="dxa"/>
            <w:vMerge/>
            <w:shd w:val="clear" w:color="auto" w:fill="auto"/>
            <w:vAlign w:val="center"/>
          </w:tcPr>
          <w:p w14:paraId="027D99BC"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77F6DC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proofErr w:type="gramStart"/>
            <w:r>
              <w:rPr>
                <w:rFonts w:ascii="Arial" w:eastAsia="仿宋" w:hAnsi="Arial" w:cs="Arial" w:hint="eastAsia"/>
                <w:sz w:val="21"/>
                <w:szCs w:val="21"/>
              </w:rPr>
              <w:t>兴谷开发区</w:t>
            </w:r>
            <w:proofErr w:type="gramEnd"/>
            <w:r>
              <w:rPr>
                <w:rFonts w:ascii="Arial" w:eastAsia="仿宋" w:hAnsi="Arial" w:cs="Arial" w:hint="eastAsia"/>
                <w:sz w:val="21"/>
                <w:szCs w:val="21"/>
              </w:rPr>
              <w:t>B</w:t>
            </w:r>
          </w:p>
        </w:tc>
        <w:tc>
          <w:tcPr>
            <w:tcW w:w="1204" w:type="dxa"/>
            <w:shd w:val="clear" w:color="auto" w:fill="auto"/>
            <w:noWrap/>
            <w:vAlign w:val="center"/>
          </w:tcPr>
          <w:p w14:paraId="5EA44DA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6043098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06D088E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09210D7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540E584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410E4D27" w14:textId="77777777">
        <w:trPr>
          <w:trHeight w:val="265"/>
          <w:jc w:val="center"/>
        </w:trPr>
        <w:tc>
          <w:tcPr>
            <w:tcW w:w="1022" w:type="dxa"/>
            <w:vMerge/>
            <w:shd w:val="clear" w:color="auto" w:fill="auto"/>
            <w:vAlign w:val="center"/>
          </w:tcPr>
          <w:p w14:paraId="135E4614"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2B3392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马</w:t>
            </w:r>
            <w:proofErr w:type="gramStart"/>
            <w:r>
              <w:rPr>
                <w:rFonts w:ascii="Arial" w:eastAsia="仿宋" w:hAnsi="Arial" w:cs="Arial" w:hint="eastAsia"/>
                <w:sz w:val="21"/>
                <w:szCs w:val="21"/>
              </w:rPr>
              <w:t>坊工业</w:t>
            </w:r>
            <w:proofErr w:type="gramEnd"/>
            <w:r>
              <w:rPr>
                <w:rFonts w:ascii="Arial" w:eastAsia="仿宋" w:hAnsi="Arial" w:cs="Arial" w:hint="eastAsia"/>
                <w:sz w:val="21"/>
                <w:szCs w:val="21"/>
              </w:rPr>
              <w:t>园</w:t>
            </w:r>
          </w:p>
        </w:tc>
        <w:tc>
          <w:tcPr>
            <w:tcW w:w="1204" w:type="dxa"/>
            <w:shd w:val="clear" w:color="auto" w:fill="auto"/>
            <w:noWrap/>
            <w:vAlign w:val="center"/>
          </w:tcPr>
          <w:p w14:paraId="50A5008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6512606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0D09716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3E50BE1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3A9A006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4EA7346B" w14:textId="77777777">
        <w:trPr>
          <w:trHeight w:val="265"/>
          <w:jc w:val="center"/>
        </w:trPr>
        <w:tc>
          <w:tcPr>
            <w:tcW w:w="1022" w:type="dxa"/>
            <w:vMerge/>
            <w:shd w:val="clear" w:color="auto" w:fill="auto"/>
            <w:vAlign w:val="center"/>
          </w:tcPr>
          <w:p w14:paraId="5CB2B3EC"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EAD4E0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密云开发区</w:t>
            </w:r>
          </w:p>
        </w:tc>
        <w:tc>
          <w:tcPr>
            <w:tcW w:w="1204" w:type="dxa"/>
            <w:shd w:val="clear" w:color="auto" w:fill="auto"/>
            <w:noWrap/>
            <w:vAlign w:val="center"/>
          </w:tcPr>
          <w:p w14:paraId="6996846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4E636AC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5703D63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493ED7B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0AE6ADD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046F4E06" w14:textId="77777777">
        <w:trPr>
          <w:trHeight w:val="265"/>
          <w:jc w:val="center"/>
        </w:trPr>
        <w:tc>
          <w:tcPr>
            <w:tcW w:w="1022" w:type="dxa"/>
            <w:vMerge/>
            <w:shd w:val="clear" w:color="auto" w:fill="auto"/>
            <w:vAlign w:val="center"/>
          </w:tcPr>
          <w:p w14:paraId="7F92D29F"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EA7113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延庆开发区</w:t>
            </w:r>
          </w:p>
        </w:tc>
        <w:tc>
          <w:tcPr>
            <w:tcW w:w="1204" w:type="dxa"/>
            <w:shd w:val="clear" w:color="auto" w:fill="auto"/>
            <w:noWrap/>
            <w:vAlign w:val="center"/>
          </w:tcPr>
          <w:p w14:paraId="2A4CB47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5BB3FD4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2307F0D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02AF71D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1FAE7FF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54C59769" w14:textId="77777777">
        <w:trPr>
          <w:trHeight w:val="279"/>
          <w:jc w:val="center"/>
        </w:trPr>
        <w:tc>
          <w:tcPr>
            <w:tcW w:w="1022" w:type="dxa"/>
            <w:vMerge/>
            <w:shd w:val="clear" w:color="auto" w:fill="auto"/>
            <w:vAlign w:val="center"/>
          </w:tcPr>
          <w:p w14:paraId="3D10DDE6"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B1D905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八达岭开发区</w:t>
            </w:r>
          </w:p>
        </w:tc>
        <w:tc>
          <w:tcPr>
            <w:tcW w:w="1204" w:type="dxa"/>
            <w:shd w:val="clear" w:color="auto" w:fill="auto"/>
            <w:noWrap/>
            <w:vAlign w:val="center"/>
          </w:tcPr>
          <w:p w14:paraId="4837B7B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1C8EE9D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31AD2C6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5B8D42B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55450B0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bl>
    <w:p w14:paraId="09EE7DCF" w14:textId="77777777" w:rsidR="0062768B" w:rsidRDefault="00136729">
      <w:pPr>
        <w:spacing w:line="360" w:lineRule="auto"/>
        <w:jc w:val="center"/>
        <w:rPr>
          <w:rFonts w:ascii="仿宋" w:eastAsia="仿宋" w:hAnsi="仿宋" w:cs="宋体"/>
          <w:bCs/>
          <w:sz w:val="28"/>
          <w:szCs w:val="28"/>
        </w:rPr>
      </w:pPr>
      <w:r>
        <w:rPr>
          <w:rFonts w:ascii="仿宋" w:eastAsia="仿宋" w:hAnsi="仿宋" w:cs="宋体" w:hint="eastAsia"/>
          <w:bCs/>
          <w:sz w:val="28"/>
          <w:szCs w:val="28"/>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09"/>
        <w:gridCol w:w="1418"/>
        <w:gridCol w:w="1418"/>
        <w:gridCol w:w="1418"/>
        <w:gridCol w:w="1418"/>
        <w:gridCol w:w="1418"/>
      </w:tblGrid>
      <w:tr w:rsidR="0062768B" w14:paraId="5F8C9DEF" w14:textId="77777777">
        <w:trPr>
          <w:cantSplit/>
          <w:jc w:val="center"/>
        </w:trPr>
        <w:tc>
          <w:tcPr>
            <w:tcW w:w="2209" w:type="dxa"/>
            <w:tcBorders>
              <w:tl2br w:val="single" w:sz="4" w:space="0" w:color="auto"/>
            </w:tcBorders>
            <w:shd w:val="clear" w:color="auto" w:fill="auto"/>
            <w:vAlign w:val="center"/>
          </w:tcPr>
          <w:p w14:paraId="1D5D2DBE" w14:textId="77777777" w:rsidR="0062768B" w:rsidRDefault="00136729">
            <w:pPr>
              <w:widowControl/>
              <w:adjustRightInd/>
              <w:spacing w:line="240" w:lineRule="exact"/>
              <w:ind w:firstLineChars="650" w:firstLine="1365"/>
              <w:jc w:val="right"/>
              <w:textAlignment w:val="auto"/>
              <w:rPr>
                <w:rFonts w:ascii="Arial" w:eastAsia="仿宋" w:hAnsi="Arial" w:cs="Arial"/>
                <w:sz w:val="21"/>
                <w:szCs w:val="21"/>
              </w:rPr>
            </w:pPr>
            <w:r>
              <w:rPr>
                <w:rFonts w:ascii="Arial" w:eastAsia="仿宋" w:hAnsi="Arial" w:cs="Arial"/>
                <w:sz w:val="21"/>
                <w:szCs w:val="21"/>
              </w:rPr>
              <w:t>等级</w:t>
            </w:r>
          </w:p>
          <w:p w14:paraId="1AB086B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1418" w:type="dxa"/>
            <w:shd w:val="clear" w:color="auto" w:fill="auto"/>
            <w:vAlign w:val="center"/>
          </w:tcPr>
          <w:p w14:paraId="012C4F1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好</w:t>
            </w:r>
          </w:p>
        </w:tc>
        <w:tc>
          <w:tcPr>
            <w:tcW w:w="1418" w:type="dxa"/>
            <w:shd w:val="clear" w:color="auto" w:fill="auto"/>
            <w:vAlign w:val="center"/>
          </w:tcPr>
          <w:p w14:paraId="1BE37CA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较好</w:t>
            </w:r>
          </w:p>
        </w:tc>
        <w:tc>
          <w:tcPr>
            <w:tcW w:w="1418" w:type="dxa"/>
            <w:shd w:val="clear" w:color="auto" w:fill="auto"/>
            <w:vAlign w:val="center"/>
          </w:tcPr>
          <w:p w14:paraId="0130DA5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一般</w:t>
            </w:r>
          </w:p>
        </w:tc>
        <w:tc>
          <w:tcPr>
            <w:tcW w:w="1418" w:type="dxa"/>
            <w:shd w:val="clear" w:color="auto" w:fill="auto"/>
            <w:vAlign w:val="center"/>
          </w:tcPr>
          <w:p w14:paraId="4A354D9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较差</w:t>
            </w:r>
          </w:p>
        </w:tc>
        <w:tc>
          <w:tcPr>
            <w:tcW w:w="1418" w:type="dxa"/>
            <w:shd w:val="clear" w:color="auto" w:fill="auto"/>
            <w:vAlign w:val="center"/>
          </w:tcPr>
          <w:p w14:paraId="79EEF72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差</w:t>
            </w:r>
          </w:p>
        </w:tc>
      </w:tr>
      <w:tr w:rsidR="0062768B" w14:paraId="5014D35B" w14:textId="77777777">
        <w:trPr>
          <w:cantSplit/>
          <w:trHeight w:val="629"/>
          <w:jc w:val="center"/>
        </w:trPr>
        <w:tc>
          <w:tcPr>
            <w:tcW w:w="2209" w:type="dxa"/>
            <w:shd w:val="clear" w:color="auto" w:fill="auto"/>
            <w:vAlign w:val="center"/>
          </w:tcPr>
          <w:p w14:paraId="3093C2F3"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居住社区成熟度</w:t>
            </w:r>
          </w:p>
        </w:tc>
        <w:tc>
          <w:tcPr>
            <w:tcW w:w="1418" w:type="dxa"/>
            <w:shd w:val="clear" w:color="auto" w:fill="auto"/>
            <w:vAlign w:val="center"/>
          </w:tcPr>
          <w:p w14:paraId="2FAAB80C"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周围住宅项目密集</w:t>
            </w:r>
          </w:p>
        </w:tc>
        <w:tc>
          <w:tcPr>
            <w:tcW w:w="1418" w:type="dxa"/>
            <w:shd w:val="clear" w:color="auto" w:fill="auto"/>
            <w:vAlign w:val="center"/>
          </w:tcPr>
          <w:p w14:paraId="4363810C"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周围住宅项目比较密集</w:t>
            </w:r>
          </w:p>
        </w:tc>
        <w:tc>
          <w:tcPr>
            <w:tcW w:w="1418" w:type="dxa"/>
            <w:shd w:val="clear" w:color="auto" w:fill="auto"/>
            <w:vAlign w:val="center"/>
          </w:tcPr>
          <w:p w14:paraId="5B5A7749"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周围有一定数目的住宅项目</w:t>
            </w:r>
          </w:p>
        </w:tc>
        <w:tc>
          <w:tcPr>
            <w:tcW w:w="1418" w:type="dxa"/>
            <w:shd w:val="clear" w:color="auto" w:fill="auto"/>
            <w:vAlign w:val="center"/>
          </w:tcPr>
          <w:p w14:paraId="389F01C3"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周围住宅项目少</w:t>
            </w:r>
          </w:p>
        </w:tc>
        <w:tc>
          <w:tcPr>
            <w:tcW w:w="1418" w:type="dxa"/>
            <w:shd w:val="clear" w:color="auto" w:fill="auto"/>
            <w:vAlign w:val="center"/>
          </w:tcPr>
          <w:p w14:paraId="4713724D"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周围住宅项目基本无</w:t>
            </w:r>
          </w:p>
        </w:tc>
      </w:tr>
      <w:tr w:rsidR="0062768B" w14:paraId="2FF9858A" w14:textId="77777777">
        <w:trPr>
          <w:cantSplit/>
          <w:jc w:val="center"/>
        </w:trPr>
        <w:tc>
          <w:tcPr>
            <w:tcW w:w="2209" w:type="dxa"/>
            <w:shd w:val="clear" w:color="auto" w:fill="auto"/>
            <w:vAlign w:val="center"/>
          </w:tcPr>
          <w:p w14:paraId="49FD2CAA"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交通便捷度</w:t>
            </w:r>
          </w:p>
        </w:tc>
        <w:tc>
          <w:tcPr>
            <w:tcW w:w="1418" w:type="dxa"/>
            <w:shd w:val="clear" w:color="auto" w:fill="auto"/>
            <w:vAlign w:val="center"/>
          </w:tcPr>
          <w:p w14:paraId="10A75119"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周边有</w:t>
            </w:r>
            <w:r>
              <w:rPr>
                <w:rFonts w:ascii="Arial" w:eastAsia="仿宋" w:hAnsi="Arial" w:cs="Arial"/>
                <w:sz w:val="21"/>
                <w:szCs w:val="21"/>
              </w:rPr>
              <w:t>2</w:t>
            </w:r>
            <w:r>
              <w:rPr>
                <w:rFonts w:ascii="Arial" w:eastAsia="仿宋" w:hAnsi="Arial" w:cs="Arial"/>
                <w:sz w:val="21"/>
                <w:szCs w:val="21"/>
              </w:rPr>
              <w:t>条以上地铁（或临近火车或</w:t>
            </w:r>
            <w:r>
              <w:rPr>
                <w:rFonts w:ascii="Arial" w:eastAsia="仿宋" w:hAnsi="Arial" w:cs="Arial"/>
                <w:sz w:val="21"/>
                <w:szCs w:val="21"/>
              </w:rPr>
              <w:t>2</w:t>
            </w:r>
            <w:r>
              <w:rPr>
                <w:rFonts w:ascii="Arial" w:eastAsia="仿宋" w:hAnsi="Arial" w:cs="Arial"/>
                <w:sz w:val="21"/>
                <w:szCs w:val="21"/>
              </w:rPr>
              <w:t>条以上高速公路）线路，</w:t>
            </w:r>
            <w:r>
              <w:rPr>
                <w:rFonts w:ascii="Arial" w:eastAsia="仿宋" w:hAnsi="Arial" w:cs="Arial"/>
                <w:sz w:val="21"/>
                <w:szCs w:val="21"/>
              </w:rPr>
              <w:t>20</w:t>
            </w:r>
            <w:r>
              <w:rPr>
                <w:rFonts w:ascii="Arial" w:eastAsia="仿宋" w:hAnsi="Arial" w:cs="Arial"/>
                <w:sz w:val="21"/>
                <w:szCs w:val="21"/>
              </w:rPr>
              <w:t>条以上公交线路</w:t>
            </w:r>
          </w:p>
        </w:tc>
        <w:tc>
          <w:tcPr>
            <w:tcW w:w="1418" w:type="dxa"/>
            <w:shd w:val="clear" w:color="auto" w:fill="auto"/>
            <w:vAlign w:val="center"/>
          </w:tcPr>
          <w:p w14:paraId="7DDEEFAA"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周边有</w:t>
            </w:r>
            <w:r>
              <w:rPr>
                <w:rFonts w:ascii="Arial" w:eastAsia="仿宋" w:hAnsi="Arial" w:cs="Arial"/>
                <w:sz w:val="21"/>
                <w:szCs w:val="21"/>
              </w:rPr>
              <w:t>1</w:t>
            </w:r>
            <w:r>
              <w:rPr>
                <w:rFonts w:ascii="Arial" w:eastAsia="仿宋" w:hAnsi="Arial" w:cs="Arial"/>
                <w:sz w:val="21"/>
                <w:szCs w:val="21"/>
              </w:rPr>
              <w:t>条地铁（或临近火车或</w:t>
            </w:r>
            <w:r>
              <w:rPr>
                <w:rFonts w:ascii="Arial" w:eastAsia="仿宋" w:hAnsi="Arial" w:cs="Arial"/>
                <w:sz w:val="21"/>
                <w:szCs w:val="21"/>
              </w:rPr>
              <w:t>2</w:t>
            </w:r>
            <w:r>
              <w:rPr>
                <w:rFonts w:ascii="Arial" w:eastAsia="仿宋" w:hAnsi="Arial" w:cs="Arial"/>
                <w:sz w:val="21"/>
                <w:szCs w:val="21"/>
              </w:rPr>
              <w:t>条以上高速公路）线路，</w:t>
            </w:r>
            <w:r>
              <w:rPr>
                <w:rFonts w:ascii="Arial" w:eastAsia="仿宋" w:hAnsi="Arial" w:cs="Arial"/>
                <w:sz w:val="21"/>
                <w:szCs w:val="21"/>
              </w:rPr>
              <w:t>10</w:t>
            </w:r>
            <w:r>
              <w:rPr>
                <w:rFonts w:ascii="Arial" w:eastAsia="仿宋" w:hAnsi="Arial" w:cs="Arial"/>
                <w:sz w:val="21"/>
                <w:szCs w:val="21"/>
              </w:rPr>
              <w:t>条以上公交线路</w:t>
            </w:r>
          </w:p>
        </w:tc>
        <w:tc>
          <w:tcPr>
            <w:tcW w:w="1418" w:type="dxa"/>
            <w:shd w:val="clear" w:color="auto" w:fill="auto"/>
            <w:vAlign w:val="center"/>
          </w:tcPr>
          <w:p w14:paraId="6C9D46D0"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周边有无地铁（或临近火车或</w:t>
            </w:r>
            <w:r>
              <w:rPr>
                <w:rFonts w:ascii="Arial" w:eastAsia="仿宋" w:hAnsi="Arial" w:cs="Arial"/>
                <w:sz w:val="21"/>
                <w:szCs w:val="21"/>
              </w:rPr>
              <w:t>2</w:t>
            </w:r>
            <w:r>
              <w:rPr>
                <w:rFonts w:ascii="Arial" w:eastAsia="仿宋" w:hAnsi="Arial" w:cs="Arial"/>
                <w:sz w:val="21"/>
                <w:szCs w:val="21"/>
              </w:rPr>
              <w:t>条以上高速公路）线路，</w:t>
            </w:r>
            <w:r>
              <w:rPr>
                <w:rFonts w:ascii="Arial" w:eastAsia="仿宋" w:hAnsi="Arial" w:cs="Arial"/>
                <w:sz w:val="21"/>
                <w:szCs w:val="21"/>
              </w:rPr>
              <w:t>10</w:t>
            </w:r>
            <w:r>
              <w:rPr>
                <w:rFonts w:ascii="Arial" w:eastAsia="仿宋" w:hAnsi="Arial" w:cs="Arial"/>
                <w:sz w:val="21"/>
                <w:szCs w:val="21"/>
              </w:rPr>
              <w:t>条以上公交线路</w:t>
            </w:r>
          </w:p>
        </w:tc>
        <w:tc>
          <w:tcPr>
            <w:tcW w:w="1418" w:type="dxa"/>
            <w:shd w:val="clear" w:color="auto" w:fill="auto"/>
            <w:vAlign w:val="center"/>
          </w:tcPr>
          <w:p w14:paraId="68B295B7"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周边无地铁（或临近火车或</w:t>
            </w:r>
            <w:r>
              <w:rPr>
                <w:rFonts w:ascii="Arial" w:eastAsia="仿宋" w:hAnsi="Arial" w:cs="Arial"/>
                <w:sz w:val="21"/>
                <w:szCs w:val="21"/>
              </w:rPr>
              <w:t>2</w:t>
            </w:r>
            <w:r>
              <w:rPr>
                <w:rFonts w:ascii="Arial" w:eastAsia="仿宋" w:hAnsi="Arial" w:cs="Arial"/>
                <w:sz w:val="21"/>
                <w:szCs w:val="21"/>
              </w:rPr>
              <w:t>条以上高速公路）线路，</w:t>
            </w:r>
            <w:r>
              <w:rPr>
                <w:rFonts w:ascii="Arial" w:eastAsia="仿宋" w:hAnsi="Arial" w:cs="Arial"/>
                <w:sz w:val="21"/>
                <w:szCs w:val="21"/>
              </w:rPr>
              <w:t>5-10</w:t>
            </w:r>
            <w:r>
              <w:rPr>
                <w:rFonts w:ascii="Arial" w:eastAsia="仿宋" w:hAnsi="Arial" w:cs="Arial"/>
                <w:sz w:val="21"/>
                <w:szCs w:val="21"/>
              </w:rPr>
              <w:t>公交线路</w:t>
            </w:r>
          </w:p>
        </w:tc>
        <w:tc>
          <w:tcPr>
            <w:tcW w:w="1418" w:type="dxa"/>
            <w:shd w:val="clear" w:color="auto" w:fill="auto"/>
            <w:vAlign w:val="center"/>
          </w:tcPr>
          <w:p w14:paraId="26268CEF"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周边无地铁（或临近火车或</w:t>
            </w:r>
            <w:r>
              <w:rPr>
                <w:rFonts w:ascii="Arial" w:eastAsia="仿宋" w:hAnsi="Arial" w:cs="Arial"/>
                <w:sz w:val="21"/>
                <w:szCs w:val="21"/>
              </w:rPr>
              <w:t>2</w:t>
            </w:r>
            <w:r>
              <w:rPr>
                <w:rFonts w:ascii="Arial" w:eastAsia="仿宋" w:hAnsi="Arial" w:cs="Arial"/>
                <w:sz w:val="21"/>
                <w:szCs w:val="21"/>
              </w:rPr>
              <w:t>条以上高速公路）线路，</w:t>
            </w:r>
            <w:r>
              <w:rPr>
                <w:rFonts w:ascii="Arial" w:eastAsia="仿宋" w:hAnsi="Arial" w:cs="Arial"/>
                <w:sz w:val="21"/>
                <w:szCs w:val="21"/>
              </w:rPr>
              <w:t>5</w:t>
            </w:r>
            <w:r>
              <w:rPr>
                <w:rFonts w:ascii="Arial" w:eastAsia="仿宋" w:hAnsi="Arial" w:cs="Arial"/>
                <w:sz w:val="21"/>
                <w:szCs w:val="21"/>
              </w:rPr>
              <w:t>条以下公交线路</w:t>
            </w:r>
          </w:p>
        </w:tc>
      </w:tr>
      <w:tr w:rsidR="0062768B" w14:paraId="730B8DA7" w14:textId="77777777">
        <w:trPr>
          <w:cantSplit/>
          <w:jc w:val="center"/>
        </w:trPr>
        <w:tc>
          <w:tcPr>
            <w:tcW w:w="2209" w:type="dxa"/>
            <w:shd w:val="clear" w:color="auto" w:fill="auto"/>
            <w:vAlign w:val="center"/>
          </w:tcPr>
          <w:p w14:paraId="1284DB5F"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城市规划及区域土地利用方向</w:t>
            </w:r>
          </w:p>
        </w:tc>
        <w:tc>
          <w:tcPr>
            <w:tcW w:w="1418" w:type="dxa"/>
            <w:shd w:val="clear" w:color="auto" w:fill="auto"/>
            <w:vAlign w:val="center"/>
          </w:tcPr>
          <w:p w14:paraId="0DE095FE"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周边土地利用方向一致</w:t>
            </w:r>
          </w:p>
        </w:tc>
        <w:tc>
          <w:tcPr>
            <w:tcW w:w="1418" w:type="dxa"/>
            <w:shd w:val="clear" w:color="auto" w:fill="auto"/>
            <w:vAlign w:val="center"/>
          </w:tcPr>
          <w:p w14:paraId="7BE6F9E0"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有部分有其他用地，基本不影响本宗地</w:t>
            </w:r>
          </w:p>
        </w:tc>
        <w:tc>
          <w:tcPr>
            <w:tcW w:w="1418" w:type="dxa"/>
            <w:shd w:val="clear" w:color="auto" w:fill="auto"/>
            <w:vAlign w:val="center"/>
          </w:tcPr>
          <w:p w14:paraId="670D06F3"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有部分有其他用地，对本宗地略有影响</w:t>
            </w:r>
          </w:p>
        </w:tc>
        <w:tc>
          <w:tcPr>
            <w:tcW w:w="1418" w:type="dxa"/>
            <w:shd w:val="clear" w:color="auto" w:fill="auto"/>
            <w:vAlign w:val="center"/>
          </w:tcPr>
          <w:p w14:paraId="79D08CCA"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其他用地较多，对本宗地影响较大</w:t>
            </w:r>
          </w:p>
        </w:tc>
        <w:tc>
          <w:tcPr>
            <w:tcW w:w="1418" w:type="dxa"/>
            <w:shd w:val="clear" w:color="auto" w:fill="auto"/>
            <w:vAlign w:val="center"/>
          </w:tcPr>
          <w:p w14:paraId="50B60C88"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全部为其他用地，对本宗地有大的影响</w:t>
            </w:r>
          </w:p>
        </w:tc>
      </w:tr>
      <w:tr w:rsidR="0062768B" w14:paraId="1D06163C" w14:textId="77777777">
        <w:trPr>
          <w:cantSplit/>
          <w:jc w:val="center"/>
        </w:trPr>
        <w:tc>
          <w:tcPr>
            <w:tcW w:w="2209" w:type="dxa"/>
            <w:shd w:val="clear" w:color="auto" w:fill="auto"/>
            <w:vAlign w:val="center"/>
          </w:tcPr>
          <w:p w14:paraId="1D462E1D"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临路状况</w:t>
            </w:r>
          </w:p>
        </w:tc>
        <w:tc>
          <w:tcPr>
            <w:tcW w:w="1418" w:type="dxa"/>
            <w:shd w:val="clear" w:color="auto" w:fill="auto"/>
            <w:vAlign w:val="center"/>
          </w:tcPr>
          <w:p w14:paraId="2863DE7C" w14:textId="77777777" w:rsidR="0062768B" w:rsidRDefault="00136729">
            <w:pPr>
              <w:adjustRightInd/>
              <w:spacing w:line="240" w:lineRule="exact"/>
              <w:textAlignment w:val="auto"/>
              <w:rPr>
                <w:rFonts w:ascii="Arial" w:eastAsia="仿宋" w:hAnsi="Arial" w:cs="Arial"/>
                <w:sz w:val="21"/>
                <w:szCs w:val="21"/>
              </w:rPr>
            </w:pPr>
            <w:proofErr w:type="gramStart"/>
            <w:r>
              <w:rPr>
                <w:rFonts w:ascii="Arial" w:eastAsia="仿宋" w:hAnsi="Arial" w:cs="Arial"/>
                <w:sz w:val="21"/>
                <w:szCs w:val="21"/>
              </w:rPr>
              <w:t>临城市</w:t>
            </w:r>
            <w:proofErr w:type="gramEnd"/>
            <w:r>
              <w:rPr>
                <w:rFonts w:ascii="Arial" w:eastAsia="仿宋" w:hAnsi="Arial" w:cs="Arial"/>
                <w:sz w:val="21"/>
                <w:szCs w:val="21"/>
              </w:rPr>
              <w:t>快速路或高速公路</w:t>
            </w:r>
          </w:p>
        </w:tc>
        <w:tc>
          <w:tcPr>
            <w:tcW w:w="1418" w:type="dxa"/>
            <w:shd w:val="clear" w:color="auto" w:fill="auto"/>
            <w:vAlign w:val="center"/>
          </w:tcPr>
          <w:p w14:paraId="1A5B0D9F" w14:textId="77777777" w:rsidR="0062768B" w:rsidRDefault="00136729">
            <w:pPr>
              <w:adjustRightInd/>
              <w:spacing w:line="240" w:lineRule="exact"/>
              <w:textAlignment w:val="auto"/>
              <w:rPr>
                <w:rFonts w:ascii="Arial" w:eastAsia="仿宋" w:hAnsi="Arial" w:cs="Arial"/>
                <w:sz w:val="21"/>
                <w:szCs w:val="21"/>
              </w:rPr>
            </w:pPr>
            <w:proofErr w:type="gramStart"/>
            <w:r>
              <w:rPr>
                <w:rFonts w:ascii="Arial" w:eastAsia="仿宋" w:hAnsi="Arial" w:cs="Arial"/>
                <w:sz w:val="21"/>
                <w:szCs w:val="21"/>
              </w:rPr>
              <w:t>临城市</w:t>
            </w:r>
            <w:proofErr w:type="gramEnd"/>
            <w:r>
              <w:rPr>
                <w:rFonts w:ascii="Arial" w:eastAsia="仿宋" w:hAnsi="Arial" w:cs="Arial"/>
                <w:sz w:val="21"/>
                <w:szCs w:val="21"/>
              </w:rPr>
              <w:t>主干道</w:t>
            </w:r>
          </w:p>
        </w:tc>
        <w:tc>
          <w:tcPr>
            <w:tcW w:w="1418" w:type="dxa"/>
            <w:shd w:val="clear" w:color="auto" w:fill="auto"/>
            <w:vAlign w:val="center"/>
          </w:tcPr>
          <w:p w14:paraId="322646AF" w14:textId="77777777" w:rsidR="0062768B" w:rsidRDefault="00136729">
            <w:pPr>
              <w:adjustRightInd/>
              <w:spacing w:line="240" w:lineRule="exact"/>
              <w:textAlignment w:val="auto"/>
              <w:rPr>
                <w:rFonts w:ascii="Arial" w:eastAsia="仿宋" w:hAnsi="Arial" w:cs="Arial"/>
                <w:sz w:val="21"/>
                <w:szCs w:val="21"/>
              </w:rPr>
            </w:pPr>
            <w:proofErr w:type="gramStart"/>
            <w:r>
              <w:rPr>
                <w:rFonts w:ascii="Arial" w:eastAsia="仿宋" w:hAnsi="Arial" w:cs="Arial"/>
                <w:sz w:val="21"/>
                <w:szCs w:val="21"/>
              </w:rPr>
              <w:t>临城市</w:t>
            </w:r>
            <w:proofErr w:type="gramEnd"/>
            <w:r>
              <w:rPr>
                <w:rFonts w:ascii="Arial" w:eastAsia="仿宋" w:hAnsi="Arial" w:cs="Arial"/>
                <w:sz w:val="21"/>
                <w:szCs w:val="21"/>
              </w:rPr>
              <w:t>次干道</w:t>
            </w:r>
          </w:p>
        </w:tc>
        <w:tc>
          <w:tcPr>
            <w:tcW w:w="1418" w:type="dxa"/>
            <w:shd w:val="clear" w:color="auto" w:fill="auto"/>
            <w:vAlign w:val="center"/>
          </w:tcPr>
          <w:p w14:paraId="01726AB7" w14:textId="77777777" w:rsidR="0062768B" w:rsidRDefault="00136729">
            <w:pPr>
              <w:adjustRightInd/>
              <w:spacing w:line="240" w:lineRule="exact"/>
              <w:textAlignment w:val="auto"/>
              <w:rPr>
                <w:rFonts w:ascii="Arial" w:eastAsia="仿宋" w:hAnsi="Arial" w:cs="Arial"/>
                <w:sz w:val="21"/>
                <w:szCs w:val="21"/>
              </w:rPr>
            </w:pPr>
            <w:proofErr w:type="gramStart"/>
            <w:r>
              <w:rPr>
                <w:rFonts w:ascii="Arial" w:eastAsia="仿宋" w:hAnsi="Arial" w:cs="Arial"/>
                <w:sz w:val="21"/>
                <w:szCs w:val="21"/>
              </w:rPr>
              <w:t>临城市</w:t>
            </w:r>
            <w:proofErr w:type="gramEnd"/>
            <w:r>
              <w:rPr>
                <w:rFonts w:ascii="Arial" w:eastAsia="仿宋" w:hAnsi="Arial" w:cs="Arial"/>
                <w:sz w:val="21"/>
                <w:szCs w:val="21"/>
              </w:rPr>
              <w:t>支路</w:t>
            </w:r>
          </w:p>
        </w:tc>
        <w:tc>
          <w:tcPr>
            <w:tcW w:w="1418" w:type="dxa"/>
            <w:shd w:val="clear" w:color="auto" w:fill="auto"/>
            <w:vAlign w:val="center"/>
          </w:tcPr>
          <w:p w14:paraId="1D74985E"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临街坊路</w:t>
            </w:r>
          </w:p>
        </w:tc>
      </w:tr>
      <w:tr w:rsidR="0062768B" w14:paraId="365CD132" w14:textId="77777777">
        <w:trPr>
          <w:cantSplit/>
          <w:jc w:val="center"/>
        </w:trPr>
        <w:tc>
          <w:tcPr>
            <w:tcW w:w="2209" w:type="dxa"/>
            <w:shd w:val="clear" w:color="auto" w:fill="auto"/>
            <w:vAlign w:val="center"/>
          </w:tcPr>
          <w:p w14:paraId="0D8FB0BD"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公共服务设施状况</w:t>
            </w:r>
          </w:p>
        </w:tc>
        <w:tc>
          <w:tcPr>
            <w:tcW w:w="1418" w:type="dxa"/>
            <w:shd w:val="clear" w:color="auto" w:fill="auto"/>
            <w:vAlign w:val="center"/>
          </w:tcPr>
          <w:p w14:paraId="5C7BEF94"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公共服务设施配套完善</w:t>
            </w:r>
          </w:p>
        </w:tc>
        <w:tc>
          <w:tcPr>
            <w:tcW w:w="1418" w:type="dxa"/>
            <w:shd w:val="clear" w:color="auto" w:fill="auto"/>
            <w:vAlign w:val="center"/>
          </w:tcPr>
          <w:p w14:paraId="19A2E9B5"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公共服务设施配套较完善</w:t>
            </w:r>
          </w:p>
        </w:tc>
        <w:tc>
          <w:tcPr>
            <w:tcW w:w="1418" w:type="dxa"/>
            <w:shd w:val="clear" w:color="auto" w:fill="auto"/>
            <w:vAlign w:val="center"/>
          </w:tcPr>
          <w:p w14:paraId="19EC73F6"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有一定数量的公共服务设施配套</w:t>
            </w:r>
          </w:p>
        </w:tc>
        <w:tc>
          <w:tcPr>
            <w:tcW w:w="1418" w:type="dxa"/>
            <w:shd w:val="clear" w:color="auto" w:fill="auto"/>
            <w:vAlign w:val="center"/>
          </w:tcPr>
          <w:p w14:paraId="1F29687B"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公共服务设施配套较不齐全</w:t>
            </w:r>
          </w:p>
        </w:tc>
        <w:tc>
          <w:tcPr>
            <w:tcW w:w="1418" w:type="dxa"/>
            <w:shd w:val="clear" w:color="auto" w:fill="auto"/>
            <w:vAlign w:val="center"/>
          </w:tcPr>
          <w:p w14:paraId="1299EE6F"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公共服务设施配套不完善</w:t>
            </w:r>
          </w:p>
        </w:tc>
      </w:tr>
      <w:tr w:rsidR="0062768B" w14:paraId="4A59CAAF" w14:textId="77777777">
        <w:trPr>
          <w:cantSplit/>
          <w:trHeight w:val="90"/>
          <w:jc w:val="center"/>
        </w:trPr>
        <w:tc>
          <w:tcPr>
            <w:tcW w:w="2209" w:type="dxa"/>
            <w:shd w:val="clear" w:color="auto" w:fill="auto"/>
            <w:vAlign w:val="center"/>
          </w:tcPr>
          <w:p w14:paraId="21D23FD6"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基础设施完备状况</w:t>
            </w:r>
          </w:p>
        </w:tc>
        <w:tc>
          <w:tcPr>
            <w:tcW w:w="1418" w:type="dxa"/>
            <w:shd w:val="clear" w:color="auto" w:fill="auto"/>
            <w:vAlign w:val="center"/>
          </w:tcPr>
          <w:p w14:paraId="19E7B1F6"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估价对象所在区域基础设施水平达到</w:t>
            </w:r>
            <w:r>
              <w:rPr>
                <w:rFonts w:ascii="Arial" w:eastAsia="仿宋" w:hAnsi="Arial" w:cs="Arial"/>
                <w:sz w:val="21"/>
                <w:szCs w:val="21"/>
              </w:rPr>
              <w:t>“</w:t>
            </w:r>
            <w:r>
              <w:rPr>
                <w:rFonts w:ascii="Arial" w:eastAsia="仿宋" w:hAnsi="Arial" w:cs="Arial"/>
                <w:sz w:val="21"/>
                <w:szCs w:val="21"/>
              </w:rPr>
              <w:t>七通</w:t>
            </w:r>
            <w:r>
              <w:rPr>
                <w:rFonts w:ascii="Arial" w:eastAsia="仿宋" w:hAnsi="Arial" w:cs="Arial"/>
                <w:sz w:val="21"/>
                <w:szCs w:val="21"/>
              </w:rPr>
              <w:t>”</w:t>
            </w:r>
          </w:p>
        </w:tc>
        <w:tc>
          <w:tcPr>
            <w:tcW w:w="1418" w:type="dxa"/>
            <w:shd w:val="clear" w:color="auto" w:fill="auto"/>
            <w:vAlign w:val="center"/>
          </w:tcPr>
          <w:p w14:paraId="68A2ED33"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估价对象所在区域基础设施水平达到</w:t>
            </w:r>
            <w:r>
              <w:rPr>
                <w:rFonts w:ascii="Arial" w:eastAsia="仿宋" w:hAnsi="Arial" w:cs="Arial"/>
                <w:sz w:val="21"/>
                <w:szCs w:val="21"/>
              </w:rPr>
              <w:t>“</w:t>
            </w:r>
            <w:r>
              <w:rPr>
                <w:rFonts w:ascii="Arial" w:eastAsia="仿宋" w:hAnsi="Arial" w:cs="Arial"/>
                <w:sz w:val="21"/>
                <w:szCs w:val="21"/>
              </w:rPr>
              <w:t>六通</w:t>
            </w:r>
            <w:r>
              <w:rPr>
                <w:rFonts w:ascii="Arial" w:eastAsia="仿宋" w:hAnsi="Arial" w:cs="Arial"/>
                <w:sz w:val="21"/>
                <w:szCs w:val="21"/>
              </w:rPr>
              <w:t>”</w:t>
            </w:r>
          </w:p>
        </w:tc>
        <w:tc>
          <w:tcPr>
            <w:tcW w:w="1418" w:type="dxa"/>
            <w:shd w:val="clear" w:color="auto" w:fill="auto"/>
            <w:vAlign w:val="center"/>
          </w:tcPr>
          <w:p w14:paraId="4D72BEA1"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估价对象所在区域基础设施水平达到</w:t>
            </w:r>
            <w:r>
              <w:rPr>
                <w:rFonts w:ascii="Arial" w:eastAsia="仿宋" w:hAnsi="Arial" w:cs="Arial"/>
                <w:sz w:val="21"/>
                <w:szCs w:val="21"/>
              </w:rPr>
              <w:t>“</w:t>
            </w:r>
            <w:r>
              <w:rPr>
                <w:rFonts w:ascii="Arial" w:eastAsia="仿宋" w:hAnsi="Arial" w:cs="Arial"/>
                <w:sz w:val="21"/>
                <w:szCs w:val="21"/>
              </w:rPr>
              <w:t>五通</w:t>
            </w:r>
            <w:r>
              <w:rPr>
                <w:rFonts w:ascii="Arial" w:eastAsia="仿宋" w:hAnsi="Arial" w:cs="Arial"/>
                <w:sz w:val="21"/>
                <w:szCs w:val="21"/>
              </w:rPr>
              <w:t>”</w:t>
            </w:r>
          </w:p>
        </w:tc>
        <w:tc>
          <w:tcPr>
            <w:tcW w:w="1418" w:type="dxa"/>
            <w:shd w:val="clear" w:color="auto" w:fill="auto"/>
            <w:vAlign w:val="center"/>
          </w:tcPr>
          <w:p w14:paraId="4607FF0E"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估价对象所在区域基础设施水平达到</w:t>
            </w:r>
            <w:r>
              <w:rPr>
                <w:rFonts w:ascii="Arial" w:eastAsia="仿宋" w:hAnsi="Arial" w:cs="Arial"/>
                <w:sz w:val="21"/>
                <w:szCs w:val="21"/>
              </w:rPr>
              <w:t>“</w:t>
            </w:r>
            <w:r>
              <w:rPr>
                <w:rFonts w:ascii="Arial" w:eastAsia="仿宋" w:hAnsi="Arial" w:cs="Arial"/>
                <w:sz w:val="21"/>
                <w:szCs w:val="21"/>
              </w:rPr>
              <w:t>四通</w:t>
            </w:r>
            <w:r>
              <w:rPr>
                <w:rFonts w:ascii="Arial" w:eastAsia="仿宋" w:hAnsi="Arial" w:cs="Arial"/>
                <w:sz w:val="21"/>
                <w:szCs w:val="21"/>
              </w:rPr>
              <w:t>”</w:t>
            </w:r>
          </w:p>
        </w:tc>
        <w:tc>
          <w:tcPr>
            <w:tcW w:w="1418" w:type="dxa"/>
            <w:shd w:val="clear" w:color="auto" w:fill="auto"/>
            <w:vAlign w:val="center"/>
          </w:tcPr>
          <w:p w14:paraId="3BD08A63"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估价对象所在区域基础设施水平达到</w:t>
            </w:r>
            <w:r>
              <w:rPr>
                <w:rFonts w:ascii="Arial" w:eastAsia="仿宋" w:hAnsi="Arial" w:cs="Arial"/>
                <w:sz w:val="21"/>
                <w:szCs w:val="21"/>
              </w:rPr>
              <w:t>“</w:t>
            </w:r>
            <w:r>
              <w:rPr>
                <w:rFonts w:ascii="Arial" w:eastAsia="仿宋" w:hAnsi="Arial" w:cs="Arial"/>
                <w:sz w:val="21"/>
                <w:szCs w:val="21"/>
              </w:rPr>
              <w:t>三通</w:t>
            </w:r>
            <w:r>
              <w:rPr>
                <w:rFonts w:ascii="Arial" w:eastAsia="仿宋" w:hAnsi="Arial" w:cs="Arial"/>
                <w:sz w:val="21"/>
                <w:szCs w:val="21"/>
              </w:rPr>
              <w:t>”</w:t>
            </w:r>
          </w:p>
        </w:tc>
      </w:tr>
      <w:tr w:rsidR="0062768B" w14:paraId="42805838" w14:textId="77777777">
        <w:trPr>
          <w:cantSplit/>
          <w:jc w:val="center"/>
        </w:trPr>
        <w:tc>
          <w:tcPr>
            <w:tcW w:w="2209" w:type="dxa"/>
            <w:shd w:val="clear" w:color="auto" w:fill="auto"/>
            <w:vAlign w:val="center"/>
          </w:tcPr>
          <w:p w14:paraId="71C189CB"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宗地形状及可利用程度</w:t>
            </w:r>
          </w:p>
        </w:tc>
        <w:tc>
          <w:tcPr>
            <w:tcW w:w="1418" w:type="dxa"/>
            <w:shd w:val="clear" w:color="auto" w:fill="auto"/>
            <w:vAlign w:val="center"/>
          </w:tcPr>
          <w:p w14:paraId="28D01201"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宗地形状较规则，对宗地利用无影响</w:t>
            </w:r>
          </w:p>
        </w:tc>
        <w:tc>
          <w:tcPr>
            <w:tcW w:w="1418" w:type="dxa"/>
            <w:shd w:val="clear" w:color="auto" w:fill="auto"/>
            <w:vAlign w:val="center"/>
          </w:tcPr>
          <w:p w14:paraId="514F8183"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宗地形状较规则，但对宗地利用基本无影响</w:t>
            </w:r>
          </w:p>
        </w:tc>
        <w:tc>
          <w:tcPr>
            <w:tcW w:w="1418" w:type="dxa"/>
            <w:shd w:val="clear" w:color="auto" w:fill="auto"/>
            <w:vAlign w:val="center"/>
          </w:tcPr>
          <w:p w14:paraId="72284D90"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宗地形状不规则，但对宗地利用影响较小</w:t>
            </w:r>
          </w:p>
        </w:tc>
        <w:tc>
          <w:tcPr>
            <w:tcW w:w="1418" w:type="dxa"/>
            <w:shd w:val="clear" w:color="auto" w:fill="auto"/>
            <w:vAlign w:val="center"/>
          </w:tcPr>
          <w:p w14:paraId="0F347863"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宗地形状不规则，对宗地利用有影响</w:t>
            </w:r>
          </w:p>
        </w:tc>
        <w:tc>
          <w:tcPr>
            <w:tcW w:w="1418" w:type="dxa"/>
            <w:shd w:val="clear" w:color="auto" w:fill="auto"/>
            <w:vAlign w:val="center"/>
          </w:tcPr>
          <w:p w14:paraId="6AFB372B"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宗地形状极其不规则，对宗地利用影响很大</w:t>
            </w:r>
          </w:p>
        </w:tc>
      </w:tr>
      <w:tr w:rsidR="0062768B" w14:paraId="0629EE2A" w14:textId="77777777">
        <w:trPr>
          <w:cantSplit/>
          <w:jc w:val="center"/>
        </w:trPr>
        <w:tc>
          <w:tcPr>
            <w:tcW w:w="2209" w:type="dxa"/>
            <w:shd w:val="clear" w:color="auto" w:fill="auto"/>
            <w:vAlign w:val="center"/>
          </w:tcPr>
          <w:p w14:paraId="50C52FE3"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自然和人文环境状况</w:t>
            </w:r>
          </w:p>
        </w:tc>
        <w:tc>
          <w:tcPr>
            <w:tcW w:w="1418" w:type="dxa"/>
            <w:shd w:val="clear" w:color="auto" w:fill="auto"/>
            <w:vAlign w:val="center"/>
          </w:tcPr>
          <w:p w14:paraId="37CB059C"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周边</w:t>
            </w:r>
            <w:r>
              <w:rPr>
                <w:rFonts w:ascii="Arial" w:eastAsia="仿宋" w:hAnsi="Arial" w:cs="Arial"/>
                <w:sz w:val="21"/>
                <w:szCs w:val="21"/>
              </w:rPr>
              <w:t>1000</w:t>
            </w:r>
            <w:r>
              <w:rPr>
                <w:rFonts w:ascii="Arial" w:eastAsia="仿宋" w:hAnsi="Arial" w:cs="Arial"/>
                <w:sz w:val="21"/>
                <w:szCs w:val="21"/>
              </w:rPr>
              <w:t>米内有自然及人文景观</w:t>
            </w:r>
          </w:p>
        </w:tc>
        <w:tc>
          <w:tcPr>
            <w:tcW w:w="1418" w:type="dxa"/>
            <w:shd w:val="clear" w:color="auto" w:fill="auto"/>
            <w:vAlign w:val="center"/>
          </w:tcPr>
          <w:p w14:paraId="02A30BF7"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周边</w:t>
            </w:r>
            <w:r>
              <w:rPr>
                <w:rFonts w:ascii="Arial" w:eastAsia="仿宋" w:hAnsi="Arial" w:cs="Arial"/>
                <w:sz w:val="21"/>
                <w:szCs w:val="21"/>
              </w:rPr>
              <w:t>3000</w:t>
            </w:r>
            <w:r>
              <w:rPr>
                <w:rFonts w:ascii="Arial" w:eastAsia="仿宋" w:hAnsi="Arial" w:cs="Arial"/>
                <w:sz w:val="21"/>
                <w:szCs w:val="21"/>
              </w:rPr>
              <w:t>米内有自然或人文景观</w:t>
            </w:r>
          </w:p>
        </w:tc>
        <w:tc>
          <w:tcPr>
            <w:tcW w:w="1418" w:type="dxa"/>
            <w:shd w:val="clear" w:color="auto" w:fill="auto"/>
            <w:vAlign w:val="center"/>
          </w:tcPr>
          <w:p w14:paraId="440EB17C"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周边</w:t>
            </w:r>
            <w:r>
              <w:rPr>
                <w:rFonts w:ascii="Arial" w:eastAsia="仿宋" w:hAnsi="Arial" w:cs="Arial"/>
                <w:sz w:val="21"/>
                <w:szCs w:val="21"/>
              </w:rPr>
              <w:t>5000</w:t>
            </w:r>
            <w:r>
              <w:rPr>
                <w:rFonts w:ascii="Arial" w:eastAsia="仿宋" w:hAnsi="Arial" w:cs="Arial"/>
                <w:sz w:val="21"/>
                <w:szCs w:val="21"/>
              </w:rPr>
              <w:t>米内</w:t>
            </w:r>
            <w:proofErr w:type="gramStart"/>
            <w:r>
              <w:rPr>
                <w:rFonts w:ascii="Arial" w:eastAsia="仿宋" w:hAnsi="Arial" w:cs="Arial"/>
                <w:sz w:val="21"/>
                <w:szCs w:val="21"/>
              </w:rPr>
              <w:t>无自然</w:t>
            </w:r>
            <w:proofErr w:type="gramEnd"/>
            <w:r>
              <w:rPr>
                <w:rFonts w:ascii="Arial" w:eastAsia="仿宋" w:hAnsi="Arial" w:cs="Arial"/>
                <w:sz w:val="21"/>
                <w:szCs w:val="21"/>
              </w:rPr>
              <w:t>及人文景观且环境状况一般</w:t>
            </w:r>
          </w:p>
        </w:tc>
        <w:tc>
          <w:tcPr>
            <w:tcW w:w="1418" w:type="dxa"/>
            <w:shd w:val="clear" w:color="auto" w:fill="auto"/>
            <w:vAlign w:val="center"/>
          </w:tcPr>
          <w:p w14:paraId="02BBC914"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周边</w:t>
            </w:r>
            <w:r>
              <w:rPr>
                <w:rFonts w:ascii="Arial" w:eastAsia="仿宋" w:hAnsi="Arial" w:cs="Arial"/>
                <w:sz w:val="21"/>
                <w:szCs w:val="21"/>
              </w:rPr>
              <w:t>5000</w:t>
            </w:r>
            <w:r>
              <w:rPr>
                <w:rFonts w:ascii="Arial" w:eastAsia="仿宋" w:hAnsi="Arial" w:cs="Arial"/>
                <w:sz w:val="21"/>
                <w:szCs w:val="21"/>
              </w:rPr>
              <w:t>米内</w:t>
            </w:r>
            <w:proofErr w:type="gramStart"/>
            <w:r>
              <w:rPr>
                <w:rFonts w:ascii="Arial" w:eastAsia="仿宋" w:hAnsi="Arial" w:cs="Arial"/>
                <w:sz w:val="21"/>
                <w:szCs w:val="21"/>
              </w:rPr>
              <w:t>无自然</w:t>
            </w:r>
            <w:proofErr w:type="gramEnd"/>
            <w:r>
              <w:rPr>
                <w:rFonts w:ascii="Arial" w:eastAsia="仿宋" w:hAnsi="Arial" w:cs="Arial"/>
                <w:sz w:val="21"/>
                <w:szCs w:val="21"/>
              </w:rPr>
              <w:t>及人文景观且环境状况较差</w:t>
            </w:r>
          </w:p>
        </w:tc>
        <w:tc>
          <w:tcPr>
            <w:tcW w:w="1418" w:type="dxa"/>
            <w:shd w:val="clear" w:color="auto" w:fill="auto"/>
            <w:vAlign w:val="center"/>
          </w:tcPr>
          <w:p w14:paraId="791DC560"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周边</w:t>
            </w:r>
            <w:r>
              <w:rPr>
                <w:rFonts w:ascii="Arial" w:eastAsia="仿宋" w:hAnsi="Arial" w:cs="Arial"/>
                <w:sz w:val="21"/>
                <w:szCs w:val="21"/>
              </w:rPr>
              <w:t>5000</w:t>
            </w:r>
            <w:r>
              <w:rPr>
                <w:rFonts w:ascii="Arial" w:eastAsia="仿宋" w:hAnsi="Arial" w:cs="Arial"/>
                <w:sz w:val="21"/>
                <w:szCs w:val="21"/>
              </w:rPr>
              <w:t>米内</w:t>
            </w:r>
            <w:proofErr w:type="gramStart"/>
            <w:r>
              <w:rPr>
                <w:rFonts w:ascii="Arial" w:eastAsia="仿宋" w:hAnsi="Arial" w:cs="Arial"/>
                <w:sz w:val="21"/>
                <w:szCs w:val="21"/>
              </w:rPr>
              <w:t>无自然</w:t>
            </w:r>
            <w:proofErr w:type="gramEnd"/>
            <w:r>
              <w:rPr>
                <w:rFonts w:ascii="Arial" w:eastAsia="仿宋" w:hAnsi="Arial" w:cs="Arial"/>
                <w:sz w:val="21"/>
                <w:szCs w:val="21"/>
              </w:rPr>
              <w:t>及人文景观且临近污染源</w:t>
            </w:r>
          </w:p>
        </w:tc>
      </w:tr>
      <w:tr w:rsidR="0062768B" w14:paraId="78FC1903" w14:textId="77777777">
        <w:trPr>
          <w:cantSplit/>
          <w:jc w:val="center"/>
        </w:trPr>
        <w:tc>
          <w:tcPr>
            <w:tcW w:w="2209" w:type="dxa"/>
            <w:shd w:val="clear" w:color="auto" w:fill="auto"/>
            <w:vAlign w:val="center"/>
          </w:tcPr>
          <w:p w14:paraId="11A2763C"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与中心的接近程度</w:t>
            </w:r>
          </w:p>
        </w:tc>
        <w:tc>
          <w:tcPr>
            <w:tcW w:w="1418" w:type="dxa"/>
            <w:shd w:val="clear" w:color="auto" w:fill="auto"/>
            <w:vAlign w:val="center"/>
          </w:tcPr>
          <w:p w14:paraId="209E9F62" w14:textId="77777777" w:rsidR="0062768B" w:rsidRDefault="00136729">
            <w:pPr>
              <w:adjustRightInd/>
              <w:spacing w:line="240" w:lineRule="exact"/>
              <w:textAlignment w:val="auto"/>
              <w:rPr>
                <w:rFonts w:ascii="Arial" w:eastAsia="仿宋" w:hAnsi="Arial" w:cs="Arial"/>
                <w:sz w:val="21"/>
                <w:szCs w:val="21"/>
              </w:rPr>
            </w:pPr>
            <w:proofErr w:type="gramStart"/>
            <w:r>
              <w:rPr>
                <w:rFonts w:ascii="Arial" w:eastAsia="仿宋" w:hAnsi="Arial" w:cs="Arial"/>
                <w:sz w:val="21"/>
                <w:szCs w:val="21"/>
              </w:rPr>
              <w:t>距</w:t>
            </w:r>
            <w:r>
              <w:rPr>
                <w:rFonts w:ascii="Arial" w:eastAsia="仿宋" w:hAnsi="Arial" w:cs="Arial"/>
                <w:sz w:val="21"/>
                <w:szCs w:val="21"/>
                <w:lang w:bidi="ar"/>
              </w:rPr>
              <w:t>区域</w:t>
            </w:r>
            <w:proofErr w:type="gramEnd"/>
            <w:r>
              <w:rPr>
                <w:rFonts w:ascii="Arial" w:eastAsia="仿宋" w:hAnsi="Arial" w:cs="Arial"/>
                <w:sz w:val="21"/>
                <w:szCs w:val="21"/>
              </w:rPr>
              <w:t>中心</w:t>
            </w:r>
            <w:r>
              <w:rPr>
                <w:rFonts w:ascii="Arial" w:eastAsia="仿宋" w:hAnsi="Arial" w:cs="Arial"/>
                <w:sz w:val="21"/>
                <w:szCs w:val="21"/>
              </w:rPr>
              <w:t>500</w:t>
            </w:r>
            <w:r>
              <w:rPr>
                <w:rFonts w:ascii="Arial" w:eastAsia="仿宋" w:hAnsi="Arial" w:cs="Arial"/>
                <w:sz w:val="21"/>
                <w:szCs w:val="21"/>
              </w:rPr>
              <w:t>米内，邻近程度好</w:t>
            </w:r>
          </w:p>
        </w:tc>
        <w:tc>
          <w:tcPr>
            <w:tcW w:w="1418" w:type="dxa"/>
            <w:shd w:val="clear" w:color="auto" w:fill="auto"/>
            <w:vAlign w:val="center"/>
          </w:tcPr>
          <w:p w14:paraId="0055464D" w14:textId="77777777" w:rsidR="0062768B" w:rsidRDefault="00136729">
            <w:pPr>
              <w:adjustRightInd/>
              <w:spacing w:line="240" w:lineRule="exact"/>
              <w:textAlignment w:val="auto"/>
              <w:rPr>
                <w:rFonts w:ascii="Arial" w:eastAsia="仿宋" w:hAnsi="Arial" w:cs="Arial"/>
                <w:sz w:val="21"/>
                <w:szCs w:val="21"/>
              </w:rPr>
            </w:pPr>
            <w:proofErr w:type="gramStart"/>
            <w:r>
              <w:rPr>
                <w:rFonts w:ascii="Arial" w:eastAsia="仿宋" w:hAnsi="Arial" w:cs="Arial"/>
                <w:sz w:val="21"/>
                <w:szCs w:val="21"/>
              </w:rPr>
              <w:t>距</w:t>
            </w:r>
            <w:r>
              <w:rPr>
                <w:rFonts w:ascii="Arial" w:eastAsia="仿宋" w:hAnsi="Arial" w:cs="Arial"/>
                <w:sz w:val="21"/>
                <w:szCs w:val="21"/>
                <w:lang w:bidi="ar"/>
              </w:rPr>
              <w:t>区域</w:t>
            </w:r>
            <w:proofErr w:type="gramEnd"/>
            <w:r>
              <w:rPr>
                <w:rFonts w:ascii="Arial" w:eastAsia="仿宋" w:hAnsi="Arial" w:cs="Arial"/>
                <w:sz w:val="21"/>
                <w:szCs w:val="21"/>
              </w:rPr>
              <w:t>中心约</w:t>
            </w:r>
            <w:r>
              <w:rPr>
                <w:rFonts w:ascii="Arial" w:eastAsia="仿宋" w:hAnsi="Arial" w:cs="Arial"/>
                <w:sz w:val="21"/>
                <w:szCs w:val="21"/>
              </w:rPr>
              <w:t>1000</w:t>
            </w:r>
            <w:r>
              <w:rPr>
                <w:rFonts w:ascii="Arial" w:eastAsia="仿宋" w:hAnsi="Arial" w:cs="Arial"/>
                <w:sz w:val="21"/>
                <w:szCs w:val="21"/>
              </w:rPr>
              <w:t>米，邻近程度较好</w:t>
            </w:r>
          </w:p>
        </w:tc>
        <w:tc>
          <w:tcPr>
            <w:tcW w:w="1418" w:type="dxa"/>
            <w:shd w:val="clear" w:color="auto" w:fill="auto"/>
            <w:vAlign w:val="center"/>
          </w:tcPr>
          <w:p w14:paraId="6276A753" w14:textId="77777777" w:rsidR="0062768B" w:rsidRDefault="00136729">
            <w:pPr>
              <w:adjustRightInd/>
              <w:spacing w:line="240" w:lineRule="exact"/>
              <w:textAlignment w:val="auto"/>
              <w:rPr>
                <w:rFonts w:ascii="Arial" w:eastAsia="仿宋" w:hAnsi="Arial" w:cs="Arial"/>
                <w:sz w:val="21"/>
                <w:szCs w:val="21"/>
              </w:rPr>
            </w:pPr>
            <w:proofErr w:type="gramStart"/>
            <w:r>
              <w:rPr>
                <w:rFonts w:ascii="Arial" w:eastAsia="仿宋" w:hAnsi="Arial" w:cs="Arial"/>
                <w:sz w:val="21"/>
                <w:szCs w:val="21"/>
              </w:rPr>
              <w:t>距</w:t>
            </w:r>
            <w:r>
              <w:rPr>
                <w:rFonts w:ascii="Arial" w:eastAsia="仿宋" w:hAnsi="Arial" w:cs="Arial"/>
                <w:sz w:val="21"/>
                <w:szCs w:val="21"/>
                <w:lang w:bidi="ar"/>
              </w:rPr>
              <w:t>区域</w:t>
            </w:r>
            <w:proofErr w:type="gramEnd"/>
            <w:r>
              <w:rPr>
                <w:rFonts w:ascii="Arial" w:eastAsia="仿宋" w:hAnsi="Arial" w:cs="Arial"/>
                <w:sz w:val="21"/>
                <w:szCs w:val="21"/>
              </w:rPr>
              <w:t>中心约</w:t>
            </w:r>
            <w:r>
              <w:rPr>
                <w:rFonts w:ascii="Arial" w:eastAsia="仿宋" w:hAnsi="Arial" w:cs="Arial"/>
                <w:sz w:val="21"/>
                <w:szCs w:val="21"/>
              </w:rPr>
              <w:t>1000-1500</w:t>
            </w:r>
            <w:r>
              <w:rPr>
                <w:rFonts w:ascii="Arial" w:eastAsia="仿宋" w:hAnsi="Arial" w:cs="Arial"/>
                <w:sz w:val="21"/>
                <w:szCs w:val="21"/>
              </w:rPr>
              <w:t>米，邻近程度一般</w:t>
            </w:r>
          </w:p>
        </w:tc>
        <w:tc>
          <w:tcPr>
            <w:tcW w:w="1418" w:type="dxa"/>
            <w:shd w:val="clear" w:color="auto" w:fill="auto"/>
            <w:vAlign w:val="center"/>
          </w:tcPr>
          <w:p w14:paraId="7CFE138F" w14:textId="77777777" w:rsidR="0062768B" w:rsidRDefault="00136729">
            <w:pPr>
              <w:adjustRightInd/>
              <w:spacing w:line="240" w:lineRule="exact"/>
              <w:textAlignment w:val="auto"/>
              <w:rPr>
                <w:rFonts w:ascii="Arial" w:eastAsia="仿宋" w:hAnsi="Arial" w:cs="Arial"/>
                <w:sz w:val="21"/>
                <w:szCs w:val="21"/>
              </w:rPr>
            </w:pPr>
            <w:proofErr w:type="gramStart"/>
            <w:r>
              <w:rPr>
                <w:rFonts w:ascii="Arial" w:eastAsia="仿宋" w:hAnsi="Arial" w:cs="Arial"/>
                <w:sz w:val="21"/>
                <w:szCs w:val="21"/>
              </w:rPr>
              <w:t>距</w:t>
            </w:r>
            <w:r>
              <w:rPr>
                <w:rFonts w:ascii="Arial" w:eastAsia="仿宋" w:hAnsi="Arial" w:cs="Arial"/>
                <w:sz w:val="21"/>
                <w:szCs w:val="21"/>
                <w:lang w:bidi="ar"/>
              </w:rPr>
              <w:t>区域</w:t>
            </w:r>
            <w:proofErr w:type="gramEnd"/>
            <w:r>
              <w:rPr>
                <w:rFonts w:ascii="Arial" w:eastAsia="仿宋" w:hAnsi="Arial" w:cs="Arial"/>
                <w:sz w:val="21"/>
                <w:szCs w:val="21"/>
              </w:rPr>
              <w:t>中心约</w:t>
            </w:r>
            <w:r>
              <w:rPr>
                <w:rFonts w:ascii="Arial" w:eastAsia="仿宋" w:hAnsi="Arial" w:cs="Arial"/>
                <w:sz w:val="21"/>
                <w:szCs w:val="21"/>
              </w:rPr>
              <w:t>1500-2000</w:t>
            </w:r>
            <w:r>
              <w:rPr>
                <w:rFonts w:ascii="Arial" w:eastAsia="仿宋" w:hAnsi="Arial" w:cs="Arial"/>
                <w:sz w:val="21"/>
                <w:szCs w:val="21"/>
              </w:rPr>
              <w:t>米，邻近程度较差</w:t>
            </w:r>
          </w:p>
        </w:tc>
        <w:tc>
          <w:tcPr>
            <w:tcW w:w="1418" w:type="dxa"/>
            <w:shd w:val="clear" w:color="auto" w:fill="auto"/>
            <w:vAlign w:val="center"/>
          </w:tcPr>
          <w:p w14:paraId="3A415F91" w14:textId="77777777" w:rsidR="0062768B" w:rsidRDefault="00136729">
            <w:pPr>
              <w:adjustRightInd/>
              <w:spacing w:line="240" w:lineRule="exact"/>
              <w:textAlignment w:val="auto"/>
              <w:rPr>
                <w:rFonts w:ascii="Arial" w:eastAsia="仿宋" w:hAnsi="Arial" w:cs="Arial"/>
                <w:sz w:val="21"/>
                <w:szCs w:val="21"/>
              </w:rPr>
            </w:pPr>
            <w:proofErr w:type="gramStart"/>
            <w:r>
              <w:rPr>
                <w:rFonts w:ascii="Arial" w:eastAsia="仿宋" w:hAnsi="Arial" w:cs="Arial"/>
                <w:sz w:val="21"/>
                <w:szCs w:val="21"/>
              </w:rPr>
              <w:t>距</w:t>
            </w:r>
            <w:r>
              <w:rPr>
                <w:rFonts w:ascii="Arial" w:eastAsia="仿宋" w:hAnsi="Arial" w:cs="Arial"/>
                <w:sz w:val="21"/>
                <w:szCs w:val="21"/>
                <w:lang w:bidi="ar"/>
              </w:rPr>
              <w:t>区域</w:t>
            </w:r>
            <w:proofErr w:type="gramEnd"/>
            <w:r>
              <w:rPr>
                <w:rFonts w:ascii="Arial" w:eastAsia="仿宋" w:hAnsi="Arial" w:cs="Arial"/>
                <w:sz w:val="21"/>
                <w:szCs w:val="21"/>
              </w:rPr>
              <w:t>中心</w:t>
            </w:r>
            <w:r>
              <w:rPr>
                <w:rFonts w:ascii="Arial" w:eastAsia="仿宋" w:hAnsi="Arial" w:cs="Arial"/>
                <w:sz w:val="21"/>
                <w:szCs w:val="21"/>
              </w:rPr>
              <w:t>2000</w:t>
            </w:r>
            <w:r>
              <w:rPr>
                <w:rFonts w:ascii="Arial" w:eastAsia="仿宋" w:hAnsi="Arial" w:cs="Arial"/>
                <w:sz w:val="21"/>
                <w:szCs w:val="21"/>
              </w:rPr>
              <w:t>米以上，邻近程度差</w:t>
            </w:r>
          </w:p>
        </w:tc>
      </w:tr>
    </w:tbl>
    <w:p w14:paraId="7A587209" w14:textId="77777777" w:rsidR="0062768B" w:rsidRDefault="0062768B">
      <w:pPr>
        <w:autoSpaceDE w:val="0"/>
        <w:autoSpaceDN w:val="0"/>
        <w:spacing w:line="240" w:lineRule="exact"/>
        <w:rPr>
          <w:rFonts w:ascii="Arial" w:eastAsia="华文细黑" w:hAnsi="Arial" w:cs="宋体"/>
          <w:sz w:val="18"/>
          <w:szCs w:val="24"/>
        </w:rPr>
      </w:pPr>
    </w:p>
    <w:p w14:paraId="2E1BBD7B" w14:textId="77777777" w:rsidR="0062768B" w:rsidRDefault="00136729">
      <w:pPr>
        <w:adjustRightInd/>
        <w:snapToGrid w:val="0"/>
        <w:spacing w:line="300" w:lineRule="auto"/>
        <w:ind w:firstLineChars="200" w:firstLine="560"/>
        <w:rPr>
          <w:rFonts w:ascii="Arial" w:eastAsia="仿宋" w:hAnsi="Arial" w:cs="Arial"/>
          <w:sz w:val="28"/>
        </w:rPr>
      </w:pPr>
      <w:r>
        <w:rPr>
          <w:rFonts w:ascii="Arial" w:eastAsia="仿宋" w:hAnsi="Arial" w:cs="Arial"/>
          <w:sz w:val="28"/>
        </w:rPr>
        <w:t>估价对象地处住宅类</w:t>
      </w:r>
      <w:r>
        <w:rPr>
          <w:rFonts w:ascii="Arial" w:eastAsia="仿宋_GB2312" w:hAnsi="Arial" w:cs="Arial" w:hint="eastAsia"/>
          <w:sz w:val="28"/>
        </w:rPr>
        <w:t>九级</w:t>
      </w:r>
      <w:r>
        <w:rPr>
          <w:rFonts w:ascii="Arial" w:eastAsia="仿宋_GB2312" w:hAnsi="Arial" w:cs="Arial"/>
          <w:sz w:val="28"/>
        </w:rPr>
        <w:t>IX-</w:t>
      </w:r>
      <w:r>
        <w:rPr>
          <w:rFonts w:ascii="Arial" w:eastAsia="仿宋_GB2312" w:hAnsi="Arial" w:cs="Arial" w:hint="eastAsia"/>
          <w:sz w:val="28"/>
        </w:rPr>
        <w:t>顺</w:t>
      </w:r>
      <w:r>
        <w:rPr>
          <w:rFonts w:ascii="Arial" w:eastAsia="仿宋_GB2312" w:hAnsi="Arial" w:cs="Arial" w:hint="eastAsia"/>
          <w:sz w:val="28"/>
        </w:rPr>
        <w:t>5</w:t>
      </w:r>
      <w:r>
        <w:rPr>
          <w:rFonts w:ascii="Arial" w:eastAsia="仿宋" w:hAnsi="Arial" w:cs="Arial"/>
          <w:sz w:val="28"/>
        </w:rPr>
        <w:t>区片，依据前述《区片基准地价因素总修正幅度表》、《北京市基准地价因素权重表》及《因素等级说明表》，整理出《等级系数表》如下：</w:t>
      </w:r>
    </w:p>
    <w:p w14:paraId="7940D50C" w14:textId="77777777" w:rsidR="0062768B" w:rsidRDefault="0062768B">
      <w:pPr>
        <w:adjustRightInd/>
        <w:snapToGrid w:val="0"/>
        <w:spacing w:line="300" w:lineRule="auto"/>
        <w:ind w:firstLineChars="200" w:firstLine="560"/>
        <w:rPr>
          <w:rFonts w:ascii="Arial" w:eastAsia="仿宋" w:hAnsi="Arial" w:cs="Arial"/>
          <w:sz w:val="28"/>
        </w:rPr>
      </w:pPr>
    </w:p>
    <w:p w14:paraId="473A247F" w14:textId="77777777" w:rsidR="0062768B" w:rsidRDefault="0062768B">
      <w:pPr>
        <w:adjustRightInd/>
        <w:snapToGrid w:val="0"/>
        <w:spacing w:line="300" w:lineRule="auto"/>
        <w:ind w:firstLineChars="200" w:firstLine="560"/>
        <w:rPr>
          <w:rFonts w:ascii="Arial" w:eastAsia="仿宋" w:hAnsi="Arial" w:cs="Arial"/>
          <w:sz w:val="28"/>
        </w:rPr>
      </w:pPr>
    </w:p>
    <w:p w14:paraId="1C96EEC9" w14:textId="77777777" w:rsidR="0062768B" w:rsidRDefault="0062768B">
      <w:pPr>
        <w:adjustRightInd/>
        <w:snapToGrid w:val="0"/>
        <w:spacing w:line="300" w:lineRule="auto"/>
        <w:ind w:firstLineChars="200" w:firstLine="560"/>
        <w:rPr>
          <w:rFonts w:ascii="Arial" w:eastAsia="仿宋" w:hAnsi="Arial" w:cs="Arial"/>
          <w:sz w:val="28"/>
        </w:rPr>
      </w:pPr>
    </w:p>
    <w:p w14:paraId="0DBB4605" w14:textId="77777777" w:rsidR="0062768B" w:rsidRDefault="00136729">
      <w:pPr>
        <w:spacing w:line="240" w:lineRule="auto"/>
        <w:jc w:val="center"/>
        <w:rPr>
          <w:rFonts w:ascii="仿宋" w:eastAsia="仿宋" w:hAnsi="仿宋"/>
          <w:sz w:val="28"/>
          <w:szCs w:val="28"/>
        </w:rPr>
      </w:pPr>
      <w:r>
        <w:rPr>
          <w:rFonts w:ascii="仿宋" w:eastAsia="仿宋" w:hAnsi="仿宋" w:hint="eastAsia"/>
          <w:sz w:val="28"/>
          <w:szCs w:val="28"/>
        </w:rPr>
        <w:lastRenderedPageBreak/>
        <w:t>等级系数表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265"/>
        <w:gridCol w:w="1406"/>
        <w:gridCol w:w="1407"/>
        <w:gridCol w:w="1407"/>
        <w:gridCol w:w="1407"/>
        <w:gridCol w:w="1407"/>
      </w:tblGrid>
      <w:tr w:rsidR="0062768B" w14:paraId="36F18FC5" w14:textId="77777777" w:rsidTr="004532BF">
        <w:trPr>
          <w:cantSplit/>
          <w:jc w:val="center"/>
        </w:trPr>
        <w:tc>
          <w:tcPr>
            <w:tcW w:w="2265" w:type="dxa"/>
            <w:tcBorders>
              <w:tl2br w:val="single" w:sz="4" w:space="0" w:color="auto"/>
            </w:tcBorders>
            <w:shd w:val="clear" w:color="auto" w:fill="auto"/>
            <w:vAlign w:val="center"/>
          </w:tcPr>
          <w:p w14:paraId="6479F260" w14:textId="77777777" w:rsidR="0062768B" w:rsidRDefault="00136729" w:rsidP="004532BF">
            <w:pPr>
              <w:widowControl/>
              <w:adjustRightInd/>
              <w:spacing w:line="240" w:lineRule="atLeast"/>
              <w:ind w:firstLineChars="700" w:firstLine="1470"/>
              <w:textAlignment w:val="auto"/>
              <w:rPr>
                <w:rFonts w:ascii="Arial" w:eastAsia="仿宋" w:hAnsi="Arial" w:cs="Arial"/>
                <w:sz w:val="21"/>
                <w:szCs w:val="21"/>
              </w:rPr>
            </w:pPr>
            <w:r>
              <w:rPr>
                <w:rFonts w:ascii="Arial" w:eastAsia="仿宋" w:hAnsi="Arial" w:cs="Arial"/>
                <w:sz w:val="21"/>
                <w:szCs w:val="21"/>
              </w:rPr>
              <w:t>等级</w:t>
            </w:r>
          </w:p>
          <w:p w14:paraId="35542E6F" w14:textId="77777777" w:rsidR="0062768B" w:rsidRDefault="00136729" w:rsidP="004532BF">
            <w:pPr>
              <w:widowControl/>
              <w:adjustRightInd/>
              <w:spacing w:line="240" w:lineRule="atLeast"/>
              <w:textAlignment w:val="auto"/>
              <w:rPr>
                <w:rFonts w:ascii="Arial" w:eastAsia="仿宋" w:hAnsi="Arial" w:cs="Arial"/>
                <w:sz w:val="21"/>
                <w:szCs w:val="21"/>
              </w:rPr>
            </w:pPr>
            <w:r>
              <w:rPr>
                <w:rFonts w:ascii="Arial" w:eastAsia="仿宋" w:hAnsi="Arial" w:cs="Arial"/>
                <w:sz w:val="21"/>
                <w:szCs w:val="21"/>
              </w:rPr>
              <w:t>影响因素</w:t>
            </w:r>
          </w:p>
        </w:tc>
        <w:tc>
          <w:tcPr>
            <w:tcW w:w="1406" w:type="dxa"/>
            <w:shd w:val="clear" w:color="auto" w:fill="auto"/>
            <w:vAlign w:val="center"/>
          </w:tcPr>
          <w:p w14:paraId="79861ED4" w14:textId="77777777" w:rsidR="0062768B" w:rsidRDefault="00136729" w:rsidP="004532BF">
            <w:pPr>
              <w:widowControl/>
              <w:adjustRightInd/>
              <w:spacing w:line="240" w:lineRule="atLeast"/>
              <w:textAlignment w:val="auto"/>
              <w:rPr>
                <w:rFonts w:ascii="Arial" w:eastAsia="仿宋" w:hAnsi="Arial" w:cs="Arial"/>
                <w:sz w:val="21"/>
                <w:szCs w:val="21"/>
              </w:rPr>
            </w:pPr>
            <w:r>
              <w:rPr>
                <w:rFonts w:ascii="Arial" w:eastAsia="仿宋" w:hAnsi="Arial" w:cs="Arial"/>
                <w:sz w:val="21"/>
                <w:szCs w:val="21"/>
              </w:rPr>
              <w:t>好</w:t>
            </w:r>
          </w:p>
        </w:tc>
        <w:tc>
          <w:tcPr>
            <w:tcW w:w="1407" w:type="dxa"/>
            <w:shd w:val="clear" w:color="auto" w:fill="auto"/>
            <w:vAlign w:val="center"/>
          </w:tcPr>
          <w:p w14:paraId="2959A84C" w14:textId="77777777" w:rsidR="0062768B" w:rsidRDefault="00136729" w:rsidP="004532BF">
            <w:pPr>
              <w:widowControl/>
              <w:adjustRightInd/>
              <w:spacing w:line="240" w:lineRule="atLeast"/>
              <w:textAlignment w:val="auto"/>
              <w:rPr>
                <w:rFonts w:ascii="Arial" w:eastAsia="仿宋" w:hAnsi="Arial" w:cs="Arial"/>
                <w:sz w:val="21"/>
                <w:szCs w:val="21"/>
              </w:rPr>
            </w:pPr>
            <w:r>
              <w:rPr>
                <w:rFonts w:ascii="Arial" w:eastAsia="仿宋" w:hAnsi="Arial" w:cs="Arial"/>
                <w:sz w:val="21"/>
                <w:szCs w:val="21"/>
              </w:rPr>
              <w:t>较好</w:t>
            </w:r>
          </w:p>
        </w:tc>
        <w:tc>
          <w:tcPr>
            <w:tcW w:w="1407" w:type="dxa"/>
            <w:shd w:val="clear" w:color="auto" w:fill="auto"/>
            <w:vAlign w:val="center"/>
          </w:tcPr>
          <w:p w14:paraId="6F9A3A0F" w14:textId="77777777" w:rsidR="0062768B" w:rsidRDefault="00136729" w:rsidP="004532BF">
            <w:pPr>
              <w:widowControl/>
              <w:adjustRightInd/>
              <w:spacing w:line="240" w:lineRule="atLeast"/>
              <w:textAlignment w:val="auto"/>
              <w:rPr>
                <w:rFonts w:ascii="Arial" w:eastAsia="仿宋" w:hAnsi="Arial" w:cs="Arial"/>
                <w:sz w:val="21"/>
                <w:szCs w:val="21"/>
              </w:rPr>
            </w:pPr>
            <w:r>
              <w:rPr>
                <w:rFonts w:ascii="Arial" w:eastAsia="仿宋" w:hAnsi="Arial" w:cs="Arial"/>
                <w:sz w:val="21"/>
                <w:szCs w:val="21"/>
              </w:rPr>
              <w:t>一般</w:t>
            </w:r>
          </w:p>
        </w:tc>
        <w:tc>
          <w:tcPr>
            <w:tcW w:w="1407" w:type="dxa"/>
            <w:shd w:val="clear" w:color="auto" w:fill="auto"/>
            <w:vAlign w:val="center"/>
          </w:tcPr>
          <w:p w14:paraId="0AB2321C" w14:textId="77777777" w:rsidR="0062768B" w:rsidRDefault="00136729" w:rsidP="004532BF">
            <w:pPr>
              <w:widowControl/>
              <w:adjustRightInd/>
              <w:spacing w:line="240" w:lineRule="atLeast"/>
              <w:textAlignment w:val="auto"/>
              <w:rPr>
                <w:rFonts w:ascii="Arial" w:eastAsia="仿宋" w:hAnsi="Arial" w:cs="Arial"/>
                <w:sz w:val="21"/>
                <w:szCs w:val="21"/>
              </w:rPr>
            </w:pPr>
            <w:r>
              <w:rPr>
                <w:rFonts w:ascii="Arial" w:eastAsia="仿宋" w:hAnsi="Arial" w:cs="Arial"/>
                <w:sz w:val="21"/>
                <w:szCs w:val="21"/>
              </w:rPr>
              <w:t>较差</w:t>
            </w:r>
          </w:p>
        </w:tc>
        <w:tc>
          <w:tcPr>
            <w:tcW w:w="1407" w:type="dxa"/>
            <w:shd w:val="clear" w:color="auto" w:fill="auto"/>
            <w:vAlign w:val="center"/>
          </w:tcPr>
          <w:p w14:paraId="71391BEF" w14:textId="77777777" w:rsidR="0062768B" w:rsidRDefault="00136729" w:rsidP="004532BF">
            <w:pPr>
              <w:widowControl/>
              <w:adjustRightInd/>
              <w:spacing w:line="240" w:lineRule="atLeast"/>
              <w:textAlignment w:val="auto"/>
              <w:rPr>
                <w:rFonts w:ascii="Arial" w:eastAsia="仿宋" w:hAnsi="Arial" w:cs="Arial"/>
                <w:sz w:val="21"/>
                <w:szCs w:val="21"/>
              </w:rPr>
            </w:pPr>
            <w:r>
              <w:rPr>
                <w:rFonts w:ascii="Arial" w:eastAsia="仿宋" w:hAnsi="Arial" w:cs="Arial"/>
                <w:sz w:val="21"/>
                <w:szCs w:val="21"/>
              </w:rPr>
              <w:t>差</w:t>
            </w:r>
          </w:p>
        </w:tc>
      </w:tr>
      <w:tr w:rsidR="0062768B" w14:paraId="6358CBCE" w14:textId="77777777" w:rsidTr="004532BF">
        <w:trPr>
          <w:cantSplit/>
          <w:jc w:val="center"/>
        </w:trPr>
        <w:tc>
          <w:tcPr>
            <w:tcW w:w="2265" w:type="dxa"/>
            <w:shd w:val="clear" w:color="auto" w:fill="auto"/>
            <w:vAlign w:val="center"/>
          </w:tcPr>
          <w:p w14:paraId="6C253A6D" w14:textId="77777777" w:rsidR="0062768B" w:rsidRDefault="00136729" w:rsidP="004532BF">
            <w:pPr>
              <w:widowControl/>
              <w:adjustRightInd/>
              <w:spacing w:line="240" w:lineRule="atLeast"/>
              <w:textAlignment w:val="center"/>
              <w:rPr>
                <w:rFonts w:ascii="Arial" w:eastAsia="仿宋" w:hAnsi="Arial" w:cs="Arial"/>
                <w:sz w:val="21"/>
                <w:szCs w:val="21"/>
              </w:rPr>
            </w:pPr>
            <w:r>
              <w:rPr>
                <w:rFonts w:ascii="Arial" w:eastAsia="仿宋" w:hAnsi="Arial" w:cs="Arial"/>
                <w:sz w:val="21"/>
                <w:szCs w:val="21"/>
                <w:lang w:bidi="ar"/>
              </w:rPr>
              <w:t>居住社区成熟度</w:t>
            </w:r>
          </w:p>
        </w:tc>
        <w:tc>
          <w:tcPr>
            <w:tcW w:w="1406" w:type="dxa"/>
            <w:shd w:val="clear" w:color="auto" w:fill="auto"/>
            <w:vAlign w:val="center"/>
          </w:tcPr>
          <w:p w14:paraId="6B3F5AD6" w14:textId="77777777" w:rsidR="0062768B" w:rsidRDefault="00136729" w:rsidP="004532BF">
            <w:pPr>
              <w:widowControl/>
              <w:adjustRightInd/>
              <w:spacing w:line="240" w:lineRule="atLeast"/>
              <w:textAlignment w:val="auto"/>
              <w:rPr>
                <w:rFonts w:ascii="Arial" w:hAnsi="Arial" w:cs="Arial"/>
                <w:sz w:val="22"/>
                <w:szCs w:val="22"/>
              </w:rPr>
            </w:pPr>
            <w:r>
              <w:rPr>
                <w:rFonts w:ascii="Arial" w:hAnsi="Arial" w:cs="Arial"/>
                <w:sz w:val="22"/>
                <w:szCs w:val="22"/>
              </w:rPr>
              <w:t>3.00</w:t>
            </w:r>
          </w:p>
        </w:tc>
        <w:tc>
          <w:tcPr>
            <w:tcW w:w="1407" w:type="dxa"/>
            <w:shd w:val="clear" w:color="auto" w:fill="auto"/>
            <w:vAlign w:val="center"/>
          </w:tcPr>
          <w:p w14:paraId="788CABAA" w14:textId="77777777" w:rsidR="0062768B" w:rsidRDefault="00136729" w:rsidP="004532BF">
            <w:pPr>
              <w:spacing w:line="240" w:lineRule="atLeast"/>
              <w:rPr>
                <w:rFonts w:ascii="Arial" w:hAnsi="Arial" w:cs="Arial"/>
                <w:sz w:val="22"/>
                <w:szCs w:val="22"/>
              </w:rPr>
            </w:pPr>
            <w:r>
              <w:rPr>
                <w:rFonts w:ascii="Arial" w:hAnsi="Arial" w:cs="Arial"/>
                <w:sz w:val="22"/>
                <w:szCs w:val="22"/>
              </w:rPr>
              <w:t>1.50</w:t>
            </w:r>
          </w:p>
        </w:tc>
        <w:tc>
          <w:tcPr>
            <w:tcW w:w="1407" w:type="dxa"/>
            <w:shd w:val="clear" w:color="auto" w:fill="auto"/>
            <w:vAlign w:val="center"/>
          </w:tcPr>
          <w:p w14:paraId="47A29690"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407" w:type="dxa"/>
            <w:shd w:val="clear" w:color="auto" w:fill="auto"/>
            <w:vAlign w:val="center"/>
          </w:tcPr>
          <w:p w14:paraId="4376EB41" w14:textId="77777777" w:rsidR="0062768B" w:rsidRDefault="00136729" w:rsidP="004532BF">
            <w:pPr>
              <w:spacing w:line="240" w:lineRule="atLeast"/>
              <w:rPr>
                <w:rFonts w:ascii="Arial" w:hAnsi="Arial" w:cs="Arial"/>
                <w:sz w:val="22"/>
                <w:szCs w:val="22"/>
              </w:rPr>
            </w:pPr>
            <w:r>
              <w:rPr>
                <w:rFonts w:ascii="Arial" w:hAnsi="Arial" w:cs="Arial"/>
                <w:sz w:val="22"/>
                <w:szCs w:val="22"/>
              </w:rPr>
              <w:t>-1.50</w:t>
            </w:r>
          </w:p>
        </w:tc>
        <w:tc>
          <w:tcPr>
            <w:tcW w:w="1407" w:type="dxa"/>
            <w:shd w:val="clear" w:color="auto" w:fill="auto"/>
            <w:vAlign w:val="center"/>
          </w:tcPr>
          <w:p w14:paraId="442BE764" w14:textId="77777777" w:rsidR="0062768B" w:rsidRDefault="00136729" w:rsidP="004532BF">
            <w:pPr>
              <w:spacing w:line="240" w:lineRule="atLeast"/>
              <w:rPr>
                <w:rFonts w:ascii="Arial" w:hAnsi="Arial" w:cs="Arial"/>
                <w:sz w:val="22"/>
                <w:szCs w:val="22"/>
              </w:rPr>
            </w:pPr>
            <w:r>
              <w:rPr>
                <w:rFonts w:ascii="Arial" w:hAnsi="Arial" w:cs="Arial"/>
                <w:sz w:val="22"/>
                <w:szCs w:val="22"/>
              </w:rPr>
              <w:t>-3.00</w:t>
            </w:r>
          </w:p>
        </w:tc>
      </w:tr>
      <w:tr w:rsidR="0062768B" w14:paraId="059ED66C" w14:textId="77777777" w:rsidTr="004532BF">
        <w:trPr>
          <w:cantSplit/>
          <w:jc w:val="center"/>
        </w:trPr>
        <w:tc>
          <w:tcPr>
            <w:tcW w:w="2265" w:type="dxa"/>
            <w:shd w:val="clear" w:color="auto" w:fill="auto"/>
            <w:vAlign w:val="center"/>
          </w:tcPr>
          <w:p w14:paraId="608F8DED" w14:textId="77777777" w:rsidR="0062768B" w:rsidRDefault="00136729" w:rsidP="004532BF">
            <w:pPr>
              <w:widowControl/>
              <w:adjustRightInd/>
              <w:spacing w:line="240" w:lineRule="atLeast"/>
              <w:textAlignment w:val="center"/>
              <w:rPr>
                <w:rFonts w:ascii="Arial" w:eastAsia="仿宋" w:hAnsi="Arial" w:cs="Arial"/>
                <w:sz w:val="21"/>
                <w:szCs w:val="21"/>
              </w:rPr>
            </w:pPr>
            <w:r>
              <w:rPr>
                <w:rFonts w:ascii="Arial" w:eastAsia="仿宋" w:hAnsi="Arial" w:cs="Arial"/>
                <w:sz w:val="21"/>
                <w:szCs w:val="21"/>
                <w:lang w:bidi="ar"/>
              </w:rPr>
              <w:t>交通便捷度</w:t>
            </w:r>
          </w:p>
        </w:tc>
        <w:tc>
          <w:tcPr>
            <w:tcW w:w="1406" w:type="dxa"/>
            <w:shd w:val="clear" w:color="auto" w:fill="auto"/>
            <w:vAlign w:val="center"/>
          </w:tcPr>
          <w:p w14:paraId="7E44B31B" w14:textId="77777777" w:rsidR="0062768B" w:rsidRDefault="00136729" w:rsidP="004532BF">
            <w:pPr>
              <w:spacing w:line="240" w:lineRule="atLeast"/>
              <w:rPr>
                <w:rFonts w:ascii="Arial" w:hAnsi="Arial" w:cs="Arial"/>
                <w:sz w:val="22"/>
                <w:szCs w:val="22"/>
              </w:rPr>
            </w:pPr>
            <w:r>
              <w:rPr>
                <w:rFonts w:ascii="Arial" w:hAnsi="Arial" w:cs="Arial"/>
                <w:sz w:val="22"/>
                <w:szCs w:val="22"/>
              </w:rPr>
              <w:t>3.90</w:t>
            </w:r>
          </w:p>
        </w:tc>
        <w:tc>
          <w:tcPr>
            <w:tcW w:w="1407" w:type="dxa"/>
            <w:shd w:val="clear" w:color="auto" w:fill="auto"/>
            <w:vAlign w:val="center"/>
          </w:tcPr>
          <w:p w14:paraId="2C98163C" w14:textId="77777777" w:rsidR="0062768B" w:rsidRDefault="00136729" w:rsidP="004532BF">
            <w:pPr>
              <w:spacing w:line="240" w:lineRule="atLeast"/>
              <w:rPr>
                <w:rFonts w:ascii="Arial" w:hAnsi="Arial" w:cs="Arial"/>
                <w:sz w:val="22"/>
                <w:szCs w:val="22"/>
              </w:rPr>
            </w:pPr>
            <w:r>
              <w:rPr>
                <w:rFonts w:ascii="Arial" w:hAnsi="Arial" w:cs="Arial"/>
                <w:sz w:val="22"/>
                <w:szCs w:val="22"/>
              </w:rPr>
              <w:t>1.95</w:t>
            </w:r>
          </w:p>
        </w:tc>
        <w:tc>
          <w:tcPr>
            <w:tcW w:w="1407" w:type="dxa"/>
            <w:shd w:val="clear" w:color="auto" w:fill="auto"/>
            <w:vAlign w:val="center"/>
          </w:tcPr>
          <w:p w14:paraId="6199C659"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407" w:type="dxa"/>
            <w:shd w:val="clear" w:color="auto" w:fill="auto"/>
            <w:vAlign w:val="center"/>
          </w:tcPr>
          <w:p w14:paraId="635B3A44" w14:textId="77777777" w:rsidR="0062768B" w:rsidRDefault="00136729" w:rsidP="004532BF">
            <w:pPr>
              <w:spacing w:line="240" w:lineRule="atLeast"/>
              <w:rPr>
                <w:rFonts w:ascii="Arial" w:hAnsi="Arial" w:cs="Arial"/>
                <w:sz w:val="22"/>
                <w:szCs w:val="22"/>
              </w:rPr>
            </w:pPr>
            <w:r>
              <w:rPr>
                <w:rFonts w:ascii="Arial" w:hAnsi="Arial" w:cs="Arial"/>
                <w:sz w:val="22"/>
                <w:szCs w:val="22"/>
              </w:rPr>
              <w:t>-1.95</w:t>
            </w:r>
          </w:p>
        </w:tc>
        <w:tc>
          <w:tcPr>
            <w:tcW w:w="1407" w:type="dxa"/>
            <w:shd w:val="clear" w:color="auto" w:fill="auto"/>
            <w:vAlign w:val="center"/>
          </w:tcPr>
          <w:p w14:paraId="3DD73F29" w14:textId="77777777" w:rsidR="0062768B" w:rsidRDefault="00136729" w:rsidP="004532BF">
            <w:pPr>
              <w:spacing w:line="240" w:lineRule="atLeast"/>
              <w:rPr>
                <w:rFonts w:ascii="Arial" w:hAnsi="Arial" w:cs="Arial"/>
                <w:sz w:val="22"/>
                <w:szCs w:val="22"/>
              </w:rPr>
            </w:pPr>
            <w:r>
              <w:rPr>
                <w:rFonts w:ascii="Arial" w:hAnsi="Arial" w:cs="Arial"/>
                <w:sz w:val="22"/>
                <w:szCs w:val="22"/>
              </w:rPr>
              <w:t>-3.90</w:t>
            </w:r>
          </w:p>
        </w:tc>
      </w:tr>
      <w:tr w:rsidR="0062768B" w14:paraId="0B659650" w14:textId="77777777" w:rsidTr="004532BF">
        <w:trPr>
          <w:cantSplit/>
          <w:jc w:val="center"/>
        </w:trPr>
        <w:tc>
          <w:tcPr>
            <w:tcW w:w="2265" w:type="dxa"/>
            <w:shd w:val="clear" w:color="auto" w:fill="auto"/>
            <w:vAlign w:val="center"/>
          </w:tcPr>
          <w:p w14:paraId="3994AE7F" w14:textId="77777777" w:rsidR="0062768B" w:rsidRDefault="00136729" w:rsidP="004532BF">
            <w:pPr>
              <w:widowControl/>
              <w:adjustRightInd/>
              <w:spacing w:line="240" w:lineRule="atLeast"/>
              <w:textAlignment w:val="center"/>
              <w:rPr>
                <w:rFonts w:ascii="Arial" w:eastAsia="仿宋" w:hAnsi="Arial" w:cs="Arial"/>
                <w:sz w:val="21"/>
                <w:szCs w:val="21"/>
              </w:rPr>
            </w:pPr>
            <w:r>
              <w:rPr>
                <w:rFonts w:ascii="Arial" w:eastAsia="仿宋" w:hAnsi="Arial" w:cs="Arial"/>
                <w:sz w:val="21"/>
                <w:szCs w:val="21"/>
                <w:lang w:bidi="ar"/>
              </w:rPr>
              <w:t>城市规划及区域土地利用方向</w:t>
            </w:r>
          </w:p>
        </w:tc>
        <w:tc>
          <w:tcPr>
            <w:tcW w:w="1406" w:type="dxa"/>
            <w:shd w:val="clear" w:color="auto" w:fill="auto"/>
            <w:vAlign w:val="center"/>
          </w:tcPr>
          <w:p w14:paraId="17F71FFF" w14:textId="77777777" w:rsidR="0062768B" w:rsidRDefault="00136729" w:rsidP="004532BF">
            <w:pPr>
              <w:spacing w:line="240" w:lineRule="atLeast"/>
              <w:rPr>
                <w:rFonts w:ascii="Arial" w:hAnsi="Arial" w:cs="Arial"/>
                <w:sz w:val="22"/>
                <w:szCs w:val="22"/>
              </w:rPr>
            </w:pPr>
            <w:r>
              <w:rPr>
                <w:rFonts w:ascii="Arial" w:hAnsi="Arial" w:cs="Arial"/>
                <w:sz w:val="22"/>
                <w:szCs w:val="22"/>
              </w:rPr>
              <w:t>1.50</w:t>
            </w:r>
          </w:p>
        </w:tc>
        <w:tc>
          <w:tcPr>
            <w:tcW w:w="1407" w:type="dxa"/>
            <w:shd w:val="clear" w:color="auto" w:fill="auto"/>
            <w:vAlign w:val="center"/>
          </w:tcPr>
          <w:p w14:paraId="7E9335A7" w14:textId="77777777" w:rsidR="0062768B" w:rsidRDefault="00136729" w:rsidP="004532BF">
            <w:pPr>
              <w:spacing w:line="240" w:lineRule="atLeast"/>
              <w:rPr>
                <w:rFonts w:ascii="Arial" w:hAnsi="Arial" w:cs="Arial"/>
                <w:sz w:val="22"/>
                <w:szCs w:val="22"/>
              </w:rPr>
            </w:pPr>
            <w:r>
              <w:rPr>
                <w:rFonts w:ascii="Arial" w:hAnsi="Arial" w:cs="Arial"/>
                <w:sz w:val="22"/>
                <w:szCs w:val="22"/>
              </w:rPr>
              <w:t>0.75</w:t>
            </w:r>
          </w:p>
        </w:tc>
        <w:tc>
          <w:tcPr>
            <w:tcW w:w="1407" w:type="dxa"/>
            <w:shd w:val="clear" w:color="auto" w:fill="auto"/>
            <w:vAlign w:val="center"/>
          </w:tcPr>
          <w:p w14:paraId="707E3476"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407" w:type="dxa"/>
            <w:shd w:val="clear" w:color="auto" w:fill="auto"/>
            <w:vAlign w:val="center"/>
          </w:tcPr>
          <w:p w14:paraId="34AF892E" w14:textId="77777777" w:rsidR="0062768B" w:rsidRDefault="00136729" w:rsidP="004532BF">
            <w:pPr>
              <w:spacing w:line="240" w:lineRule="atLeast"/>
              <w:rPr>
                <w:rFonts w:ascii="Arial" w:hAnsi="Arial" w:cs="Arial"/>
                <w:sz w:val="22"/>
                <w:szCs w:val="22"/>
              </w:rPr>
            </w:pPr>
            <w:r>
              <w:rPr>
                <w:rFonts w:ascii="Arial" w:hAnsi="Arial" w:cs="Arial"/>
                <w:sz w:val="22"/>
                <w:szCs w:val="22"/>
              </w:rPr>
              <w:t>-0.75</w:t>
            </w:r>
          </w:p>
        </w:tc>
        <w:tc>
          <w:tcPr>
            <w:tcW w:w="1407" w:type="dxa"/>
            <w:shd w:val="clear" w:color="auto" w:fill="auto"/>
            <w:vAlign w:val="center"/>
          </w:tcPr>
          <w:p w14:paraId="4D2E7C5B" w14:textId="77777777" w:rsidR="0062768B" w:rsidRDefault="00136729" w:rsidP="004532BF">
            <w:pPr>
              <w:spacing w:line="240" w:lineRule="atLeast"/>
              <w:rPr>
                <w:rFonts w:ascii="Arial" w:hAnsi="Arial" w:cs="Arial"/>
                <w:sz w:val="22"/>
                <w:szCs w:val="22"/>
              </w:rPr>
            </w:pPr>
            <w:r>
              <w:rPr>
                <w:rFonts w:ascii="Arial" w:hAnsi="Arial" w:cs="Arial"/>
                <w:sz w:val="22"/>
                <w:szCs w:val="22"/>
              </w:rPr>
              <w:t>-1.50</w:t>
            </w:r>
          </w:p>
        </w:tc>
      </w:tr>
      <w:tr w:rsidR="0062768B" w14:paraId="66C59BB6" w14:textId="77777777" w:rsidTr="004532BF">
        <w:trPr>
          <w:cantSplit/>
          <w:jc w:val="center"/>
        </w:trPr>
        <w:tc>
          <w:tcPr>
            <w:tcW w:w="2265" w:type="dxa"/>
            <w:shd w:val="clear" w:color="auto" w:fill="auto"/>
            <w:vAlign w:val="center"/>
          </w:tcPr>
          <w:p w14:paraId="53443A14" w14:textId="77777777" w:rsidR="0062768B" w:rsidRDefault="00136729" w:rsidP="004532BF">
            <w:pPr>
              <w:widowControl/>
              <w:adjustRightInd/>
              <w:spacing w:line="240" w:lineRule="atLeast"/>
              <w:textAlignment w:val="center"/>
              <w:rPr>
                <w:rFonts w:ascii="Arial" w:eastAsia="仿宋" w:hAnsi="Arial" w:cs="Arial"/>
                <w:sz w:val="21"/>
                <w:szCs w:val="21"/>
              </w:rPr>
            </w:pPr>
            <w:r>
              <w:rPr>
                <w:rFonts w:ascii="Arial" w:eastAsia="仿宋" w:hAnsi="Arial" w:cs="Arial"/>
                <w:sz w:val="21"/>
                <w:szCs w:val="21"/>
                <w:lang w:bidi="ar"/>
              </w:rPr>
              <w:t>临路状况</w:t>
            </w:r>
          </w:p>
        </w:tc>
        <w:tc>
          <w:tcPr>
            <w:tcW w:w="1406" w:type="dxa"/>
            <w:shd w:val="clear" w:color="auto" w:fill="auto"/>
            <w:vAlign w:val="center"/>
          </w:tcPr>
          <w:p w14:paraId="7B74E1E3"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c>
          <w:tcPr>
            <w:tcW w:w="1407" w:type="dxa"/>
            <w:shd w:val="clear" w:color="auto" w:fill="auto"/>
            <w:vAlign w:val="center"/>
          </w:tcPr>
          <w:p w14:paraId="4E0AAC63"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07" w:type="dxa"/>
            <w:shd w:val="clear" w:color="auto" w:fill="auto"/>
            <w:vAlign w:val="center"/>
          </w:tcPr>
          <w:p w14:paraId="0A84339A"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407" w:type="dxa"/>
            <w:shd w:val="clear" w:color="auto" w:fill="auto"/>
            <w:vAlign w:val="center"/>
          </w:tcPr>
          <w:p w14:paraId="0CBC4210"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07" w:type="dxa"/>
            <w:shd w:val="clear" w:color="auto" w:fill="auto"/>
            <w:vAlign w:val="center"/>
          </w:tcPr>
          <w:p w14:paraId="2D3F0C3F"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r>
      <w:tr w:rsidR="0062768B" w14:paraId="5551C12E" w14:textId="77777777" w:rsidTr="004532BF">
        <w:trPr>
          <w:cantSplit/>
          <w:jc w:val="center"/>
        </w:trPr>
        <w:tc>
          <w:tcPr>
            <w:tcW w:w="2265" w:type="dxa"/>
            <w:shd w:val="clear" w:color="auto" w:fill="auto"/>
            <w:vAlign w:val="center"/>
          </w:tcPr>
          <w:p w14:paraId="45F37241" w14:textId="77777777" w:rsidR="0062768B" w:rsidRDefault="00136729" w:rsidP="004532BF">
            <w:pPr>
              <w:widowControl/>
              <w:adjustRightInd/>
              <w:spacing w:line="240" w:lineRule="atLeast"/>
              <w:textAlignment w:val="center"/>
              <w:rPr>
                <w:rFonts w:ascii="Arial" w:eastAsia="仿宋" w:hAnsi="Arial" w:cs="Arial"/>
                <w:sz w:val="21"/>
                <w:szCs w:val="21"/>
              </w:rPr>
            </w:pPr>
            <w:r>
              <w:rPr>
                <w:rFonts w:ascii="Arial" w:eastAsia="仿宋" w:hAnsi="Arial" w:cs="Arial"/>
                <w:sz w:val="21"/>
                <w:szCs w:val="21"/>
                <w:lang w:bidi="ar"/>
              </w:rPr>
              <w:t>公共服务设施状况</w:t>
            </w:r>
          </w:p>
        </w:tc>
        <w:tc>
          <w:tcPr>
            <w:tcW w:w="1406" w:type="dxa"/>
            <w:shd w:val="clear" w:color="auto" w:fill="auto"/>
            <w:vAlign w:val="center"/>
          </w:tcPr>
          <w:p w14:paraId="2772F8FD" w14:textId="77777777" w:rsidR="0062768B" w:rsidRDefault="00136729" w:rsidP="004532BF">
            <w:pPr>
              <w:spacing w:line="240" w:lineRule="atLeast"/>
              <w:rPr>
                <w:rFonts w:ascii="Arial" w:hAnsi="Arial" w:cs="Arial"/>
                <w:sz w:val="22"/>
                <w:szCs w:val="22"/>
              </w:rPr>
            </w:pPr>
            <w:r>
              <w:rPr>
                <w:rFonts w:ascii="Arial" w:hAnsi="Arial" w:cs="Arial"/>
                <w:sz w:val="22"/>
                <w:szCs w:val="22"/>
              </w:rPr>
              <w:t>1.20</w:t>
            </w:r>
          </w:p>
        </w:tc>
        <w:tc>
          <w:tcPr>
            <w:tcW w:w="1407" w:type="dxa"/>
            <w:shd w:val="clear" w:color="auto" w:fill="auto"/>
            <w:vAlign w:val="center"/>
          </w:tcPr>
          <w:p w14:paraId="00C6BF6E" w14:textId="77777777" w:rsidR="0062768B" w:rsidRDefault="00136729" w:rsidP="004532BF">
            <w:pPr>
              <w:spacing w:line="240" w:lineRule="atLeast"/>
              <w:rPr>
                <w:rFonts w:ascii="Arial" w:hAnsi="Arial" w:cs="Arial"/>
                <w:sz w:val="22"/>
                <w:szCs w:val="22"/>
              </w:rPr>
            </w:pPr>
            <w:r>
              <w:rPr>
                <w:rFonts w:ascii="Arial" w:hAnsi="Arial" w:cs="Arial"/>
                <w:sz w:val="22"/>
                <w:szCs w:val="22"/>
              </w:rPr>
              <w:t>0.60</w:t>
            </w:r>
          </w:p>
        </w:tc>
        <w:tc>
          <w:tcPr>
            <w:tcW w:w="1407" w:type="dxa"/>
            <w:shd w:val="clear" w:color="auto" w:fill="auto"/>
            <w:vAlign w:val="center"/>
          </w:tcPr>
          <w:p w14:paraId="63AA974E"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407" w:type="dxa"/>
            <w:shd w:val="clear" w:color="auto" w:fill="auto"/>
            <w:vAlign w:val="center"/>
          </w:tcPr>
          <w:p w14:paraId="227B7BF5" w14:textId="77777777" w:rsidR="0062768B" w:rsidRDefault="00136729" w:rsidP="004532BF">
            <w:pPr>
              <w:spacing w:line="240" w:lineRule="atLeast"/>
              <w:rPr>
                <w:rFonts w:ascii="Arial" w:hAnsi="Arial" w:cs="Arial"/>
                <w:sz w:val="22"/>
                <w:szCs w:val="22"/>
              </w:rPr>
            </w:pPr>
            <w:r>
              <w:rPr>
                <w:rFonts w:ascii="Arial" w:hAnsi="Arial" w:cs="Arial"/>
                <w:sz w:val="22"/>
                <w:szCs w:val="22"/>
              </w:rPr>
              <w:t>-0.60</w:t>
            </w:r>
          </w:p>
        </w:tc>
        <w:tc>
          <w:tcPr>
            <w:tcW w:w="1407" w:type="dxa"/>
            <w:shd w:val="clear" w:color="auto" w:fill="auto"/>
            <w:vAlign w:val="center"/>
          </w:tcPr>
          <w:p w14:paraId="764F252A" w14:textId="77777777" w:rsidR="0062768B" w:rsidRDefault="00136729" w:rsidP="004532BF">
            <w:pPr>
              <w:spacing w:line="240" w:lineRule="atLeast"/>
              <w:rPr>
                <w:rFonts w:ascii="Arial" w:hAnsi="Arial" w:cs="Arial"/>
                <w:sz w:val="22"/>
                <w:szCs w:val="22"/>
              </w:rPr>
            </w:pPr>
            <w:r>
              <w:rPr>
                <w:rFonts w:ascii="Arial" w:hAnsi="Arial" w:cs="Arial"/>
                <w:sz w:val="22"/>
                <w:szCs w:val="22"/>
              </w:rPr>
              <w:t>-1.20</w:t>
            </w:r>
          </w:p>
        </w:tc>
      </w:tr>
      <w:tr w:rsidR="0062768B" w14:paraId="22D21B8D" w14:textId="77777777" w:rsidTr="004532BF">
        <w:trPr>
          <w:cantSplit/>
          <w:jc w:val="center"/>
        </w:trPr>
        <w:tc>
          <w:tcPr>
            <w:tcW w:w="2265" w:type="dxa"/>
            <w:shd w:val="clear" w:color="auto" w:fill="auto"/>
            <w:vAlign w:val="center"/>
          </w:tcPr>
          <w:p w14:paraId="3C6CE48B" w14:textId="77777777" w:rsidR="0062768B" w:rsidRDefault="00136729" w:rsidP="004532BF">
            <w:pPr>
              <w:widowControl/>
              <w:adjustRightInd/>
              <w:spacing w:line="240" w:lineRule="atLeast"/>
              <w:textAlignment w:val="center"/>
              <w:rPr>
                <w:rFonts w:ascii="Arial" w:eastAsia="仿宋" w:hAnsi="Arial" w:cs="Arial"/>
                <w:sz w:val="21"/>
                <w:szCs w:val="21"/>
              </w:rPr>
            </w:pPr>
            <w:r>
              <w:rPr>
                <w:rFonts w:ascii="Arial" w:eastAsia="仿宋" w:hAnsi="Arial" w:cs="Arial"/>
                <w:sz w:val="21"/>
                <w:szCs w:val="21"/>
                <w:lang w:bidi="ar"/>
              </w:rPr>
              <w:t>基础设施完备状况</w:t>
            </w:r>
          </w:p>
        </w:tc>
        <w:tc>
          <w:tcPr>
            <w:tcW w:w="1406" w:type="dxa"/>
            <w:shd w:val="clear" w:color="auto" w:fill="auto"/>
            <w:vAlign w:val="center"/>
          </w:tcPr>
          <w:p w14:paraId="38887260" w14:textId="77777777" w:rsidR="0062768B" w:rsidRDefault="00136729" w:rsidP="004532BF">
            <w:pPr>
              <w:spacing w:line="240" w:lineRule="atLeast"/>
              <w:rPr>
                <w:rFonts w:ascii="Arial" w:hAnsi="Arial" w:cs="Arial"/>
                <w:sz w:val="22"/>
                <w:szCs w:val="22"/>
              </w:rPr>
            </w:pPr>
            <w:r>
              <w:rPr>
                <w:rFonts w:ascii="Arial" w:hAnsi="Arial" w:cs="Arial"/>
                <w:sz w:val="22"/>
                <w:szCs w:val="22"/>
              </w:rPr>
              <w:t>1.34</w:t>
            </w:r>
          </w:p>
        </w:tc>
        <w:tc>
          <w:tcPr>
            <w:tcW w:w="1407" w:type="dxa"/>
            <w:shd w:val="clear" w:color="auto" w:fill="auto"/>
            <w:vAlign w:val="center"/>
          </w:tcPr>
          <w:p w14:paraId="6598AA75" w14:textId="77777777" w:rsidR="0062768B" w:rsidRDefault="00136729" w:rsidP="004532BF">
            <w:pPr>
              <w:spacing w:line="240" w:lineRule="atLeast"/>
              <w:rPr>
                <w:rFonts w:ascii="Arial" w:hAnsi="Arial" w:cs="Arial"/>
                <w:sz w:val="22"/>
                <w:szCs w:val="22"/>
              </w:rPr>
            </w:pPr>
            <w:r>
              <w:rPr>
                <w:rFonts w:ascii="Arial" w:hAnsi="Arial" w:cs="Arial"/>
                <w:sz w:val="22"/>
                <w:szCs w:val="22"/>
              </w:rPr>
              <w:t>0.67</w:t>
            </w:r>
          </w:p>
        </w:tc>
        <w:tc>
          <w:tcPr>
            <w:tcW w:w="1407" w:type="dxa"/>
            <w:shd w:val="clear" w:color="auto" w:fill="auto"/>
            <w:vAlign w:val="center"/>
          </w:tcPr>
          <w:p w14:paraId="2CD045B0"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407" w:type="dxa"/>
            <w:shd w:val="clear" w:color="auto" w:fill="auto"/>
            <w:vAlign w:val="center"/>
          </w:tcPr>
          <w:p w14:paraId="4D0E3C17" w14:textId="77777777" w:rsidR="0062768B" w:rsidRDefault="00136729" w:rsidP="004532BF">
            <w:pPr>
              <w:spacing w:line="240" w:lineRule="atLeast"/>
              <w:rPr>
                <w:rFonts w:ascii="Arial" w:hAnsi="Arial" w:cs="Arial"/>
                <w:sz w:val="22"/>
                <w:szCs w:val="22"/>
              </w:rPr>
            </w:pPr>
            <w:r>
              <w:rPr>
                <w:rFonts w:ascii="Arial" w:hAnsi="Arial" w:cs="Arial"/>
                <w:sz w:val="22"/>
                <w:szCs w:val="22"/>
              </w:rPr>
              <w:t>-0.67</w:t>
            </w:r>
          </w:p>
        </w:tc>
        <w:tc>
          <w:tcPr>
            <w:tcW w:w="1407" w:type="dxa"/>
            <w:shd w:val="clear" w:color="auto" w:fill="auto"/>
            <w:vAlign w:val="center"/>
          </w:tcPr>
          <w:p w14:paraId="36241F50" w14:textId="77777777" w:rsidR="0062768B" w:rsidRDefault="00136729" w:rsidP="004532BF">
            <w:pPr>
              <w:spacing w:line="240" w:lineRule="atLeast"/>
              <w:rPr>
                <w:rFonts w:ascii="Arial" w:hAnsi="Arial" w:cs="Arial"/>
                <w:sz w:val="22"/>
                <w:szCs w:val="22"/>
              </w:rPr>
            </w:pPr>
            <w:r>
              <w:rPr>
                <w:rFonts w:ascii="Arial" w:hAnsi="Arial" w:cs="Arial"/>
                <w:sz w:val="22"/>
                <w:szCs w:val="22"/>
              </w:rPr>
              <w:t>-1.34</w:t>
            </w:r>
          </w:p>
        </w:tc>
      </w:tr>
      <w:tr w:rsidR="0062768B" w14:paraId="77A4557E" w14:textId="77777777" w:rsidTr="004532BF">
        <w:trPr>
          <w:cantSplit/>
          <w:jc w:val="center"/>
        </w:trPr>
        <w:tc>
          <w:tcPr>
            <w:tcW w:w="2265" w:type="dxa"/>
            <w:shd w:val="clear" w:color="auto" w:fill="auto"/>
            <w:vAlign w:val="center"/>
          </w:tcPr>
          <w:p w14:paraId="7177C1BE" w14:textId="77777777" w:rsidR="0062768B" w:rsidRDefault="00136729" w:rsidP="004532BF">
            <w:pPr>
              <w:widowControl/>
              <w:adjustRightInd/>
              <w:spacing w:line="240" w:lineRule="atLeast"/>
              <w:textAlignment w:val="center"/>
              <w:rPr>
                <w:rFonts w:ascii="Arial" w:eastAsia="仿宋" w:hAnsi="Arial" w:cs="Arial"/>
                <w:sz w:val="21"/>
                <w:szCs w:val="21"/>
              </w:rPr>
            </w:pPr>
            <w:r>
              <w:rPr>
                <w:rFonts w:ascii="Arial" w:eastAsia="仿宋" w:hAnsi="Arial" w:cs="Arial"/>
                <w:sz w:val="21"/>
                <w:szCs w:val="21"/>
                <w:lang w:bidi="ar"/>
              </w:rPr>
              <w:t>宗地形状及可利用程度</w:t>
            </w:r>
          </w:p>
        </w:tc>
        <w:tc>
          <w:tcPr>
            <w:tcW w:w="1406" w:type="dxa"/>
            <w:shd w:val="clear" w:color="auto" w:fill="auto"/>
            <w:vAlign w:val="center"/>
          </w:tcPr>
          <w:p w14:paraId="1A5087D8"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c>
          <w:tcPr>
            <w:tcW w:w="1407" w:type="dxa"/>
            <w:shd w:val="clear" w:color="auto" w:fill="auto"/>
            <w:vAlign w:val="center"/>
          </w:tcPr>
          <w:p w14:paraId="1E7819A6"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07" w:type="dxa"/>
            <w:shd w:val="clear" w:color="auto" w:fill="auto"/>
            <w:vAlign w:val="center"/>
          </w:tcPr>
          <w:p w14:paraId="007CC748"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407" w:type="dxa"/>
            <w:shd w:val="clear" w:color="auto" w:fill="auto"/>
            <w:vAlign w:val="center"/>
          </w:tcPr>
          <w:p w14:paraId="4DF5BDB1"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07" w:type="dxa"/>
            <w:shd w:val="clear" w:color="auto" w:fill="auto"/>
            <w:vAlign w:val="center"/>
          </w:tcPr>
          <w:p w14:paraId="677B1367"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r>
      <w:tr w:rsidR="0062768B" w14:paraId="10C268E2" w14:textId="77777777" w:rsidTr="004532BF">
        <w:trPr>
          <w:cantSplit/>
          <w:jc w:val="center"/>
        </w:trPr>
        <w:tc>
          <w:tcPr>
            <w:tcW w:w="2265" w:type="dxa"/>
            <w:shd w:val="clear" w:color="auto" w:fill="auto"/>
            <w:vAlign w:val="center"/>
          </w:tcPr>
          <w:p w14:paraId="7670C55F" w14:textId="77777777" w:rsidR="0062768B" w:rsidRDefault="00136729" w:rsidP="004532BF">
            <w:pPr>
              <w:widowControl/>
              <w:adjustRightInd/>
              <w:spacing w:line="240" w:lineRule="atLeast"/>
              <w:textAlignment w:val="center"/>
              <w:rPr>
                <w:rFonts w:ascii="Arial" w:eastAsia="仿宋" w:hAnsi="Arial" w:cs="Arial"/>
                <w:sz w:val="21"/>
                <w:szCs w:val="21"/>
              </w:rPr>
            </w:pPr>
            <w:r>
              <w:rPr>
                <w:rFonts w:ascii="Arial" w:eastAsia="仿宋" w:hAnsi="Arial" w:cs="Arial"/>
                <w:sz w:val="21"/>
                <w:szCs w:val="21"/>
                <w:lang w:bidi="ar"/>
              </w:rPr>
              <w:t>自然和人文环境状况</w:t>
            </w:r>
          </w:p>
        </w:tc>
        <w:tc>
          <w:tcPr>
            <w:tcW w:w="1406" w:type="dxa"/>
            <w:shd w:val="clear" w:color="auto" w:fill="auto"/>
            <w:vAlign w:val="center"/>
          </w:tcPr>
          <w:p w14:paraId="5F50BE6D" w14:textId="77777777" w:rsidR="0062768B" w:rsidRDefault="00136729" w:rsidP="004532BF">
            <w:pPr>
              <w:spacing w:line="240" w:lineRule="atLeast"/>
              <w:rPr>
                <w:rFonts w:ascii="Arial" w:hAnsi="Arial" w:cs="Arial"/>
                <w:sz w:val="22"/>
                <w:szCs w:val="22"/>
              </w:rPr>
            </w:pPr>
            <w:r>
              <w:rPr>
                <w:rFonts w:ascii="Arial" w:hAnsi="Arial" w:cs="Arial"/>
                <w:sz w:val="22"/>
                <w:szCs w:val="22"/>
              </w:rPr>
              <w:t>1.80</w:t>
            </w:r>
          </w:p>
        </w:tc>
        <w:tc>
          <w:tcPr>
            <w:tcW w:w="1407" w:type="dxa"/>
            <w:shd w:val="clear" w:color="auto" w:fill="auto"/>
            <w:vAlign w:val="center"/>
          </w:tcPr>
          <w:p w14:paraId="37A6519C" w14:textId="77777777" w:rsidR="0062768B" w:rsidRDefault="00136729" w:rsidP="004532BF">
            <w:pPr>
              <w:spacing w:line="240" w:lineRule="atLeast"/>
              <w:rPr>
                <w:rFonts w:ascii="Arial" w:hAnsi="Arial" w:cs="Arial"/>
                <w:sz w:val="22"/>
                <w:szCs w:val="22"/>
              </w:rPr>
            </w:pPr>
            <w:r>
              <w:rPr>
                <w:rFonts w:ascii="Arial" w:hAnsi="Arial" w:cs="Arial"/>
                <w:sz w:val="22"/>
                <w:szCs w:val="22"/>
              </w:rPr>
              <w:t>0.90</w:t>
            </w:r>
          </w:p>
        </w:tc>
        <w:tc>
          <w:tcPr>
            <w:tcW w:w="1407" w:type="dxa"/>
            <w:shd w:val="clear" w:color="auto" w:fill="auto"/>
            <w:vAlign w:val="center"/>
          </w:tcPr>
          <w:p w14:paraId="0295AABD"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407" w:type="dxa"/>
            <w:shd w:val="clear" w:color="auto" w:fill="auto"/>
            <w:vAlign w:val="center"/>
          </w:tcPr>
          <w:p w14:paraId="42C3B8B3" w14:textId="77777777" w:rsidR="0062768B" w:rsidRDefault="00136729" w:rsidP="004532BF">
            <w:pPr>
              <w:spacing w:line="240" w:lineRule="atLeast"/>
              <w:rPr>
                <w:rFonts w:ascii="Arial" w:hAnsi="Arial" w:cs="Arial"/>
                <w:sz w:val="22"/>
                <w:szCs w:val="22"/>
              </w:rPr>
            </w:pPr>
            <w:r>
              <w:rPr>
                <w:rFonts w:ascii="Arial" w:hAnsi="Arial" w:cs="Arial"/>
                <w:sz w:val="22"/>
                <w:szCs w:val="22"/>
              </w:rPr>
              <w:t>-0.90</w:t>
            </w:r>
          </w:p>
        </w:tc>
        <w:tc>
          <w:tcPr>
            <w:tcW w:w="1407" w:type="dxa"/>
            <w:shd w:val="clear" w:color="auto" w:fill="auto"/>
            <w:vAlign w:val="center"/>
          </w:tcPr>
          <w:p w14:paraId="69919307" w14:textId="77777777" w:rsidR="0062768B" w:rsidRDefault="00136729" w:rsidP="004532BF">
            <w:pPr>
              <w:spacing w:line="240" w:lineRule="atLeast"/>
              <w:rPr>
                <w:rFonts w:ascii="Arial" w:hAnsi="Arial" w:cs="Arial"/>
                <w:sz w:val="22"/>
                <w:szCs w:val="22"/>
              </w:rPr>
            </w:pPr>
            <w:r>
              <w:rPr>
                <w:rFonts w:ascii="Arial" w:hAnsi="Arial" w:cs="Arial"/>
                <w:sz w:val="22"/>
                <w:szCs w:val="22"/>
              </w:rPr>
              <w:t>-1.80</w:t>
            </w:r>
          </w:p>
        </w:tc>
      </w:tr>
      <w:tr w:rsidR="0062768B" w14:paraId="2E3AAB3A" w14:textId="77777777" w:rsidTr="004532BF">
        <w:trPr>
          <w:cantSplit/>
          <w:jc w:val="center"/>
        </w:trPr>
        <w:tc>
          <w:tcPr>
            <w:tcW w:w="2265" w:type="dxa"/>
            <w:shd w:val="clear" w:color="auto" w:fill="auto"/>
            <w:vAlign w:val="center"/>
          </w:tcPr>
          <w:p w14:paraId="0D3E6AD0" w14:textId="77777777" w:rsidR="0062768B" w:rsidRDefault="00136729" w:rsidP="004532BF">
            <w:pPr>
              <w:widowControl/>
              <w:adjustRightInd/>
              <w:spacing w:line="240" w:lineRule="atLeast"/>
              <w:textAlignment w:val="center"/>
              <w:rPr>
                <w:rFonts w:ascii="Arial" w:eastAsia="仿宋" w:hAnsi="Arial" w:cs="Arial"/>
                <w:sz w:val="21"/>
                <w:szCs w:val="21"/>
              </w:rPr>
            </w:pPr>
            <w:r>
              <w:rPr>
                <w:rFonts w:ascii="Arial" w:eastAsia="仿宋" w:hAnsi="Arial" w:cs="Arial"/>
                <w:sz w:val="21"/>
                <w:szCs w:val="21"/>
                <w:lang w:bidi="ar"/>
              </w:rPr>
              <w:t>与中心的接近程度</w:t>
            </w:r>
          </w:p>
        </w:tc>
        <w:tc>
          <w:tcPr>
            <w:tcW w:w="1406" w:type="dxa"/>
            <w:shd w:val="clear" w:color="auto" w:fill="auto"/>
            <w:vAlign w:val="center"/>
          </w:tcPr>
          <w:p w14:paraId="2E9476B2"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c>
          <w:tcPr>
            <w:tcW w:w="1407" w:type="dxa"/>
            <w:shd w:val="clear" w:color="auto" w:fill="auto"/>
            <w:vAlign w:val="center"/>
          </w:tcPr>
          <w:p w14:paraId="109A48EF"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07" w:type="dxa"/>
            <w:shd w:val="clear" w:color="auto" w:fill="auto"/>
            <w:vAlign w:val="center"/>
          </w:tcPr>
          <w:p w14:paraId="09ECAA21"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407" w:type="dxa"/>
            <w:shd w:val="clear" w:color="auto" w:fill="auto"/>
            <w:vAlign w:val="center"/>
          </w:tcPr>
          <w:p w14:paraId="57477B65"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07" w:type="dxa"/>
            <w:shd w:val="clear" w:color="auto" w:fill="auto"/>
            <w:vAlign w:val="center"/>
          </w:tcPr>
          <w:p w14:paraId="6C55AF80"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r>
    </w:tbl>
    <w:p w14:paraId="1BC78EF0" w14:textId="77777777" w:rsidR="0062768B" w:rsidRDefault="00136729">
      <w:pPr>
        <w:autoSpaceDE w:val="0"/>
        <w:autoSpaceDN w:val="0"/>
        <w:spacing w:line="240" w:lineRule="exact"/>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hint="eastAsia"/>
          <w:sz w:val="18"/>
          <w:szCs w:val="24"/>
        </w:rPr>
        <w:t>%</w:t>
      </w:r>
    </w:p>
    <w:p w14:paraId="4CDC112D" w14:textId="77777777" w:rsidR="0062768B" w:rsidRDefault="00136729">
      <w:pPr>
        <w:spacing w:line="240" w:lineRule="auto"/>
        <w:jc w:val="center"/>
        <w:rPr>
          <w:rFonts w:ascii="仿宋" w:eastAsia="仿宋" w:hAnsi="仿宋"/>
          <w:sz w:val="28"/>
          <w:szCs w:val="28"/>
        </w:rPr>
      </w:pPr>
      <w:r>
        <w:rPr>
          <w:rFonts w:ascii="仿宋" w:eastAsia="仿宋" w:hAnsi="仿宋" w:hint="eastAsia"/>
          <w:sz w:val="28"/>
          <w:szCs w:val="28"/>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422"/>
        <w:gridCol w:w="1702"/>
        <w:gridCol w:w="2526"/>
        <w:gridCol w:w="2860"/>
        <w:gridCol w:w="710"/>
        <w:gridCol w:w="1079"/>
      </w:tblGrid>
      <w:tr w:rsidR="0062768B" w14:paraId="645710BD" w14:textId="77777777" w:rsidTr="004532BF">
        <w:trPr>
          <w:cantSplit/>
          <w:jc w:val="center"/>
        </w:trPr>
        <w:tc>
          <w:tcPr>
            <w:tcW w:w="227" w:type="pct"/>
            <w:vAlign w:val="center"/>
          </w:tcPr>
          <w:p w14:paraId="318BCC28"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t>序号</w:t>
            </w:r>
          </w:p>
        </w:tc>
        <w:tc>
          <w:tcPr>
            <w:tcW w:w="915" w:type="pct"/>
            <w:vAlign w:val="center"/>
          </w:tcPr>
          <w:p w14:paraId="5B23E815"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t>影响因素</w:t>
            </w:r>
          </w:p>
        </w:tc>
        <w:tc>
          <w:tcPr>
            <w:tcW w:w="2896" w:type="pct"/>
            <w:gridSpan w:val="2"/>
            <w:vAlign w:val="center"/>
          </w:tcPr>
          <w:p w14:paraId="0B8B4766"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t>估价对象情况</w:t>
            </w:r>
          </w:p>
        </w:tc>
        <w:tc>
          <w:tcPr>
            <w:tcW w:w="382" w:type="pct"/>
            <w:vAlign w:val="center"/>
          </w:tcPr>
          <w:p w14:paraId="793EB864"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t>等级</w:t>
            </w:r>
          </w:p>
        </w:tc>
        <w:tc>
          <w:tcPr>
            <w:tcW w:w="580" w:type="pct"/>
            <w:vAlign w:val="center"/>
          </w:tcPr>
          <w:p w14:paraId="7634D833"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t>修正系数</w:t>
            </w:r>
          </w:p>
        </w:tc>
      </w:tr>
      <w:tr w:rsidR="0062768B" w14:paraId="12DA912F" w14:textId="77777777" w:rsidTr="004532BF">
        <w:trPr>
          <w:cantSplit/>
          <w:jc w:val="center"/>
        </w:trPr>
        <w:tc>
          <w:tcPr>
            <w:tcW w:w="227" w:type="pct"/>
            <w:vAlign w:val="center"/>
          </w:tcPr>
          <w:p w14:paraId="7B2A185F"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t>a</w:t>
            </w:r>
          </w:p>
        </w:tc>
        <w:tc>
          <w:tcPr>
            <w:tcW w:w="915" w:type="pct"/>
            <w:vAlign w:val="center"/>
          </w:tcPr>
          <w:p w14:paraId="18F5DC11"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居住社区成熟度</w:t>
            </w:r>
          </w:p>
        </w:tc>
        <w:tc>
          <w:tcPr>
            <w:tcW w:w="2896" w:type="pct"/>
            <w:gridSpan w:val="2"/>
            <w:vAlign w:val="center"/>
          </w:tcPr>
          <w:p w14:paraId="2B082CDA"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估价对象位于北京市顺义区高丽营镇夏县营村，周边</w:t>
            </w:r>
            <w:r>
              <w:rPr>
                <w:rFonts w:ascii="Arial" w:eastAsia="仿宋" w:hAnsi="Arial" w:cs="Arial" w:hint="eastAsia"/>
                <w:sz w:val="21"/>
                <w:szCs w:val="21"/>
                <w:lang w:bidi="ar"/>
              </w:rPr>
              <w:t>2</w:t>
            </w:r>
            <w:r>
              <w:rPr>
                <w:rFonts w:ascii="Arial" w:eastAsia="仿宋" w:hAnsi="Arial" w:cs="Arial" w:hint="eastAsia"/>
                <w:sz w:val="21"/>
                <w:szCs w:val="21"/>
                <w:lang w:bidi="ar"/>
              </w:rPr>
              <w:t>公里范围内</w:t>
            </w:r>
            <w:proofErr w:type="gramStart"/>
            <w:r>
              <w:rPr>
                <w:rFonts w:ascii="Arial" w:eastAsia="仿宋" w:hAnsi="Arial" w:cs="Arial" w:hint="eastAsia"/>
                <w:sz w:val="21"/>
                <w:szCs w:val="21"/>
                <w:lang w:bidi="ar"/>
              </w:rPr>
              <w:t>有丽喜花园</w:t>
            </w:r>
            <w:proofErr w:type="gramEnd"/>
            <w:r>
              <w:rPr>
                <w:rFonts w:ascii="Arial" w:eastAsia="仿宋" w:hAnsi="Arial" w:cs="Arial" w:hint="eastAsia"/>
                <w:sz w:val="21"/>
                <w:szCs w:val="21"/>
                <w:lang w:bidi="ar"/>
              </w:rPr>
              <w:t>、东君府、</w:t>
            </w:r>
            <w:proofErr w:type="spellStart"/>
            <w:r>
              <w:rPr>
                <w:rFonts w:ascii="Arial" w:eastAsia="仿宋" w:hAnsi="Arial" w:cs="Arial" w:hint="eastAsia"/>
                <w:sz w:val="21"/>
                <w:szCs w:val="21"/>
                <w:lang w:bidi="ar"/>
              </w:rPr>
              <w:t>moma</w:t>
            </w:r>
            <w:proofErr w:type="spellEnd"/>
            <w:r>
              <w:rPr>
                <w:rFonts w:ascii="Arial" w:eastAsia="仿宋" w:hAnsi="Arial" w:cs="Arial" w:hint="eastAsia"/>
                <w:sz w:val="21"/>
                <w:szCs w:val="21"/>
                <w:lang w:bidi="ar"/>
              </w:rPr>
              <w:t>万万树、壹号</w:t>
            </w:r>
            <w:proofErr w:type="gramStart"/>
            <w:r>
              <w:rPr>
                <w:rFonts w:ascii="Arial" w:eastAsia="仿宋" w:hAnsi="Arial" w:cs="Arial" w:hint="eastAsia"/>
                <w:sz w:val="21"/>
                <w:szCs w:val="21"/>
                <w:lang w:bidi="ar"/>
              </w:rPr>
              <w:t>东临院等</w:t>
            </w:r>
            <w:proofErr w:type="gramEnd"/>
            <w:r>
              <w:rPr>
                <w:rFonts w:ascii="Arial" w:eastAsia="仿宋" w:hAnsi="Arial" w:cs="Arial" w:hint="eastAsia"/>
                <w:sz w:val="21"/>
                <w:szCs w:val="21"/>
                <w:lang w:bidi="ar"/>
              </w:rPr>
              <w:t>社区，居住小区规模和社区发展完善程度较完善，综合评价居住社区成熟度一般。</w:t>
            </w:r>
          </w:p>
        </w:tc>
        <w:tc>
          <w:tcPr>
            <w:tcW w:w="382" w:type="pct"/>
            <w:vAlign w:val="center"/>
          </w:tcPr>
          <w:p w14:paraId="73AD7545"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一般</w:t>
            </w:r>
          </w:p>
        </w:tc>
        <w:tc>
          <w:tcPr>
            <w:tcW w:w="580" w:type="pct"/>
            <w:vAlign w:val="center"/>
          </w:tcPr>
          <w:p w14:paraId="6078BC3E"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0.00%</w:t>
            </w:r>
          </w:p>
        </w:tc>
      </w:tr>
      <w:tr w:rsidR="0062768B" w14:paraId="104834DB" w14:textId="77777777" w:rsidTr="004532BF">
        <w:trPr>
          <w:cantSplit/>
          <w:jc w:val="center"/>
        </w:trPr>
        <w:tc>
          <w:tcPr>
            <w:tcW w:w="227" w:type="pct"/>
            <w:vAlign w:val="center"/>
          </w:tcPr>
          <w:p w14:paraId="660078CF"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t>b</w:t>
            </w:r>
          </w:p>
        </w:tc>
        <w:tc>
          <w:tcPr>
            <w:tcW w:w="915" w:type="pct"/>
            <w:vAlign w:val="center"/>
          </w:tcPr>
          <w:p w14:paraId="3B279B01"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交通便捷度</w:t>
            </w:r>
          </w:p>
        </w:tc>
        <w:tc>
          <w:tcPr>
            <w:tcW w:w="2896" w:type="pct"/>
            <w:gridSpan w:val="2"/>
            <w:vAlign w:val="center"/>
          </w:tcPr>
          <w:p w14:paraId="79724E3A"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估价对象属于北京市顺义区高丽营镇夏县营村，估价对象紧</w:t>
            </w:r>
            <w:proofErr w:type="gramStart"/>
            <w:r>
              <w:rPr>
                <w:rFonts w:ascii="Arial" w:eastAsia="仿宋" w:hAnsi="Arial" w:cs="Arial" w:hint="eastAsia"/>
                <w:sz w:val="21"/>
                <w:szCs w:val="21"/>
                <w:lang w:bidi="ar"/>
              </w:rPr>
              <w:t>临城市</w:t>
            </w:r>
            <w:proofErr w:type="gramEnd"/>
            <w:r>
              <w:rPr>
                <w:rFonts w:ascii="Arial" w:eastAsia="仿宋" w:hAnsi="Arial" w:cs="Arial" w:hint="eastAsia"/>
                <w:sz w:val="21"/>
                <w:szCs w:val="21"/>
                <w:lang w:bidi="ar"/>
              </w:rPr>
              <w:t>主干道——</w:t>
            </w:r>
            <w:proofErr w:type="gramStart"/>
            <w:r>
              <w:rPr>
                <w:rFonts w:ascii="Arial" w:eastAsia="仿宋" w:hAnsi="Arial" w:cs="Arial" w:hint="eastAsia"/>
                <w:sz w:val="21"/>
                <w:szCs w:val="21"/>
                <w:lang w:bidi="ar"/>
              </w:rPr>
              <w:t>火寺路</w:t>
            </w:r>
            <w:proofErr w:type="gramEnd"/>
            <w:r>
              <w:rPr>
                <w:rFonts w:ascii="Arial" w:eastAsia="仿宋" w:hAnsi="Arial" w:cs="Arial" w:hint="eastAsia"/>
                <w:sz w:val="21"/>
                <w:szCs w:val="21"/>
                <w:lang w:bidi="ar"/>
              </w:rPr>
              <w:t>、周边</w:t>
            </w:r>
            <w:r>
              <w:rPr>
                <w:rFonts w:ascii="Arial" w:eastAsia="仿宋" w:hAnsi="Arial" w:cs="Arial" w:hint="eastAsia"/>
                <w:sz w:val="21"/>
                <w:szCs w:val="21"/>
                <w:lang w:bidi="ar"/>
              </w:rPr>
              <w:t>1</w:t>
            </w:r>
            <w:r>
              <w:rPr>
                <w:rFonts w:ascii="Arial" w:eastAsia="仿宋" w:hAnsi="Arial" w:cs="Arial" w:hint="eastAsia"/>
                <w:sz w:val="21"/>
                <w:szCs w:val="21"/>
                <w:lang w:bidi="ar"/>
              </w:rPr>
              <w:t>公里范围内有顺</w:t>
            </w:r>
            <w:r>
              <w:rPr>
                <w:rFonts w:ascii="Arial" w:eastAsia="仿宋" w:hAnsi="Arial" w:cs="Arial" w:hint="eastAsia"/>
                <w:sz w:val="21"/>
                <w:szCs w:val="21"/>
                <w:lang w:bidi="ar"/>
              </w:rPr>
              <w:t>25</w:t>
            </w:r>
            <w:r>
              <w:rPr>
                <w:rFonts w:ascii="Arial" w:eastAsia="仿宋" w:hAnsi="Arial" w:cs="Arial" w:hint="eastAsia"/>
                <w:sz w:val="21"/>
                <w:szCs w:val="21"/>
                <w:lang w:bidi="ar"/>
              </w:rPr>
              <w:t>路、顺</w:t>
            </w:r>
            <w:r>
              <w:rPr>
                <w:rFonts w:ascii="Arial" w:eastAsia="仿宋" w:hAnsi="Arial" w:cs="Arial" w:hint="eastAsia"/>
                <w:sz w:val="21"/>
                <w:szCs w:val="21"/>
                <w:lang w:bidi="ar"/>
              </w:rPr>
              <w:t>42</w:t>
            </w:r>
            <w:r>
              <w:rPr>
                <w:rFonts w:ascii="Arial" w:eastAsia="仿宋" w:hAnsi="Arial" w:cs="Arial" w:hint="eastAsia"/>
                <w:sz w:val="21"/>
                <w:szCs w:val="21"/>
                <w:lang w:bidi="ar"/>
              </w:rPr>
              <w:t>路、顺</w:t>
            </w:r>
            <w:r>
              <w:rPr>
                <w:rFonts w:ascii="Arial" w:eastAsia="仿宋" w:hAnsi="Arial" w:cs="Arial" w:hint="eastAsia"/>
                <w:sz w:val="21"/>
                <w:szCs w:val="21"/>
                <w:lang w:bidi="ar"/>
              </w:rPr>
              <w:t>49</w:t>
            </w:r>
            <w:r>
              <w:rPr>
                <w:rFonts w:ascii="Arial" w:eastAsia="仿宋" w:hAnsi="Arial" w:cs="Arial" w:hint="eastAsia"/>
                <w:sz w:val="21"/>
                <w:szCs w:val="21"/>
                <w:lang w:bidi="ar"/>
              </w:rPr>
              <w:t>路、顺</w:t>
            </w:r>
            <w:r>
              <w:rPr>
                <w:rFonts w:ascii="Arial" w:eastAsia="仿宋" w:hAnsi="Arial" w:cs="Arial" w:hint="eastAsia"/>
                <w:sz w:val="21"/>
                <w:szCs w:val="21"/>
                <w:lang w:bidi="ar"/>
              </w:rPr>
              <w:t>69</w:t>
            </w:r>
            <w:r>
              <w:rPr>
                <w:rFonts w:ascii="Arial" w:eastAsia="仿宋" w:hAnsi="Arial" w:cs="Arial" w:hint="eastAsia"/>
                <w:sz w:val="21"/>
                <w:szCs w:val="21"/>
                <w:lang w:bidi="ar"/>
              </w:rPr>
              <w:t>路等公交线路，区域内交通一般，区域间通达性较差，综合评价交通便捷度较差。</w:t>
            </w:r>
          </w:p>
        </w:tc>
        <w:tc>
          <w:tcPr>
            <w:tcW w:w="382" w:type="pct"/>
            <w:vAlign w:val="center"/>
          </w:tcPr>
          <w:p w14:paraId="312FF13F"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较差</w:t>
            </w:r>
          </w:p>
        </w:tc>
        <w:tc>
          <w:tcPr>
            <w:tcW w:w="580" w:type="pct"/>
            <w:vAlign w:val="center"/>
          </w:tcPr>
          <w:p w14:paraId="1746C033"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-1.95%</w:t>
            </w:r>
          </w:p>
        </w:tc>
      </w:tr>
      <w:tr w:rsidR="0062768B" w14:paraId="35182BE3" w14:textId="77777777" w:rsidTr="004532BF">
        <w:trPr>
          <w:cantSplit/>
          <w:jc w:val="center"/>
        </w:trPr>
        <w:tc>
          <w:tcPr>
            <w:tcW w:w="227" w:type="pct"/>
            <w:vAlign w:val="center"/>
          </w:tcPr>
          <w:p w14:paraId="3D205E3F"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t>c</w:t>
            </w:r>
          </w:p>
        </w:tc>
        <w:tc>
          <w:tcPr>
            <w:tcW w:w="915" w:type="pct"/>
            <w:vAlign w:val="center"/>
          </w:tcPr>
          <w:p w14:paraId="1DCC6291"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城市规划及区域土地利用方向</w:t>
            </w:r>
          </w:p>
        </w:tc>
        <w:tc>
          <w:tcPr>
            <w:tcW w:w="2896" w:type="pct"/>
            <w:gridSpan w:val="2"/>
            <w:vAlign w:val="center"/>
          </w:tcPr>
          <w:p w14:paraId="44EE19AF"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估价对象周边有部分其他用途用地，基本不影响本宗地。</w:t>
            </w:r>
          </w:p>
        </w:tc>
        <w:tc>
          <w:tcPr>
            <w:tcW w:w="382" w:type="pct"/>
            <w:vAlign w:val="center"/>
          </w:tcPr>
          <w:p w14:paraId="7D5C3393"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较好</w:t>
            </w:r>
          </w:p>
        </w:tc>
        <w:tc>
          <w:tcPr>
            <w:tcW w:w="580" w:type="pct"/>
            <w:vAlign w:val="center"/>
          </w:tcPr>
          <w:p w14:paraId="553388E9"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0.75%</w:t>
            </w:r>
          </w:p>
        </w:tc>
      </w:tr>
      <w:tr w:rsidR="0062768B" w14:paraId="16666F66" w14:textId="77777777" w:rsidTr="004532BF">
        <w:trPr>
          <w:cantSplit/>
          <w:jc w:val="center"/>
        </w:trPr>
        <w:tc>
          <w:tcPr>
            <w:tcW w:w="227" w:type="pct"/>
            <w:vAlign w:val="center"/>
          </w:tcPr>
          <w:p w14:paraId="7B5863C0"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t>d</w:t>
            </w:r>
          </w:p>
        </w:tc>
        <w:tc>
          <w:tcPr>
            <w:tcW w:w="915" w:type="pct"/>
            <w:vAlign w:val="center"/>
          </w:tcPr>
          <w:p w14:paraId="08F7B71D"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临路状况</w:t>
            </w:r>
          </w:p>
        </w:tc>
        <w:tc>
          <w:tcPr>
            <w:tcW w:w="2896" w:type="pct"/>
            <w:gridSpan w:val="2"/>
            <w:vAlign w:val="center"/>
          </w:tcPr>
          <w:p w14:paraId="2238787A"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估价对象毗邻</w:t>
            </w:r>
            <w:r>
              <w:rPr>
                <w:rFonts w:ascii="Arial" w:eastAsia="仿宋" w:hAnsi="Arial" w:cs="Arial" w:hint="eastAsia"/>
                <w:sz w:val="21"/>
                <w:szCs w:val="21"/>
                <w:lang w:bidi="ar"/>
              </w:rPr>
              <w:t>城市主干道——</w:t>
            </w:r>
            <w:proofErr w:type="gramStart"/>
            <w:r>
              <w:rPr>
                <w:rFonts w:ascii="Arial" w:eastAsia="仿宋" w:hAnsi="Arial" w:cs="Arial" w:hint="eastAsia"/>
                <w:sz w:val="21"/>
                <w:szCs w:val="21"/>
                <w:lang w:bidi="ar"/>
              </w:rPr>
              <w:t>火寺路</w:t>
            </w:r>
            <w:proofErr w:type="gramEnd"/>
          </w:p>
        </w:tc>
        <w:tc>
          <w:tcPr>
            <w:tcW w:w="382" w:type="pct"/>
            <w:vAlign w:val="center"/>
          </w:tcPr>
          <w:p w14:paraId="6B72A8D9"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较好</w:t>
            </w:r>
          </w:p>
        </w:tc>
        <w:tc>
          <w:tcPr>
            <w:tcW w:w="580" w:type="pct"/>
            <w:vAlign w:val="center"/>
          </w:tcPr>
          <w:p w14:paraId="28C48671"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0.37%</w:t>
            </w:r>
          </w:p>
        </w:tc>
      </w:tr>
      <w:tr w:rsidR="0062768B" w14:paraId="00132546" w14:textId="77777777" w:rsidTr="004532BF">
        <w:trPr>
          <w:cantSplit/>
          <w:jc w:val="center"/>
        </w:trPr>
        <w:tc>
          <w:tcPr>
            <w:tcW w:w="227" w:type="pct"/>
            <w:vAlign w:val="center"/>
          </w:tcPr>
          <w:p w14:paraId="72CC676E"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t>e</w:t>
            </w:r>
          </w:p>
        </w:tc>
        <w:tc>
          <w:tcPr>
            <w:tcW w:w="915" w:type="pct"/>
            <w:vAlign w:val="center"/>
          </w:tcPr>
          <w:p w14:paraId="26A8DCD3"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公共服务设施状况</w:t>
            </w:r>
          </w:p>
        </w:tc>
        <w:tc>
          <w:tcPr>
            <w:tcW w:w="2896" w:type="pct"/>
            <w:gridSpan w:val="2"/>
            <w:vAlign w:val="center"/>
          </w:tcPr>
          <w:p w14:paraId="372C59DA"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rPr>
              <w:t>估价对象周边</w:t>
            </w:r>
            <w:r>
              <w:rPr>
                <w:rFonts w:ascii="Arial" w:eastAsia="仿宋" w:hAnsi="Arial" w:cs="Arial" w:hint="eastAsia"/>
                <w:sz w:val="21"/>
                <w:szCs w:val="21"/>
              </w:rPr>
              <w:t>2</w:t>
            </w:r>
            <w:r>
              <w:rPr>
                <w:rFonts w:ascii="Arial" w:eastAsia="仿宋" w:hAnsi="Arial" w:cs="Arial" w:hint="eastAsia"/>
                <w:sz w:val="21"/>
                <w:szCs w:val="21"/>
              </w:rPr>
              <w:t>公里范围内有北京超天商贸中心、</w:t>
            </w:r>
            <w:proofErr w:type="gramStart"/>
            <w:r>
              <w:rPr>
                <w:rFonts w:ascii="Arial" w:eastAsia="仿宋" w:hAnsi="Arial" w:cs="Arial" w:hint="eastAsia"/>
                <w:sz w:val="21"/>
                <w:szCs w:val="21"/>
              </w:rPr>
              <w:t>隆华购物中心</w:t>
            </w:r>
            <w:proofErr w:type="gramEnd"/>
            <w:r>
              <w:rPr>
                <w:rFonts w:ascii="Arial" w:eastAsia="仿宋" w:hAnsi="Arial" w:cs="Arial" w:hint="eastAsia"/>
                <w:sz w:val="21"/>
                <w:szCs w:val="21"/>
              </w:rPr>
              <w:t>、社区商业街、</w:t>
            </w:r>
            <w:proofErr w:type="gramStart"/>
            <w:r>
              <w:rPr>
                <w:rFonts w:ascii="Arial" w:eastAsia="仿宋" w:hAnsi="Arial" w:cs="Arial" w:hint="eastAsia"/>
                <w:sz w:val="21"/>
                <w:szCs w:val="21"/>
              </w:rPr>
              <w:t>世纪华</w:t>
            </w:r>
            <w:proofErr w:type="gramEnd"/>
            <w:r>
              <w:rPr>
                <w:rFonts w:ascii="Arial" w:eastAsia="仿宋" w:hAnsi="Arial" w:cs="Arial" w:hint="eastAsia"/>
                <w:sz w:val="21"/>
                <w:szCs w:val="21"/>
              </w:rPr>
              <w:t>联超市等商业服务设施；北京农商银行张喜庄分理处、北京</w:t>
            </w:r>
            <w:proofErr w:type="gramStart"/>
            <w:r>
              <w:rPr>
                <w:rFonts w:ascii="Arial" w:eastAsia="仿宋" w:hAnsi="Arial" w:cs="Arial" w:hint="eastAsia"/>
                <w:sz w:val="21"/>
                <w:szCs w:val="21"/>
              </w:rPr>
              <w:t>顺义银</w:t>
            </w:r>
            <w:proofErr w:type="gramEnd"/>
            <w:r>
              <w:rPr>
                <w:rFonts w:ascii="Arial" w:eastAsia="仿宋" w:hAnsi="Arial" w:cs="Arial" w:hint="eastAsia"/>
                <w:sz w:val="21"/>
                <w:szCs w:val="21"/>
              </w:rPr>
              <w:t>座村镇银行高丽营支行、中国邮政储蓄银行</w:t>
            </w:r>
            <w:proofErr w:type="gramStart"/>
            <w:r>
              <w:rPr>
                <w:rFonts w:ascii="Arial" w:eastAsia="仿宋" w:hAnsi="Arial" w:cs="Arial" w:hint="eastAsia"/>
                <w:sz w:val="21"/>
                <w:szCs w:val="21"/>
              </w:rPr>
              <w:t>张喜庄邮政储蓄</w:t>
            </w:r>
            <w:proofErr w:type="gramEnd"/>
            <w:r>
              <w:rPr>
                <w:rFonts w:ascii="Arial" w:eastAsia="仿宋" w:hAnsi="Arial" w:cs="Arial" w:hint="eastAsia"/>
                <w:sz w:val="21"/>
                <w:szCs w:val="21"/>
              </w:rPr>
              <w:t>等金融机构；高丽营第一幼儿园、高丽营第二小学、高丽营第二中学等教育资源；北京顺义天苑医院、北京市顺义区高丽营镇</w:t>
            </w:r>
            <w:proofErr w:type="gramStart"/>
            <w:r>
              <w:rPr>
                <w:rFonts w:ascii="Arial" w:eastAsia="仿宋" w:hAnsi="Arial" w:cs="Arial" w:hint="eastAsia"/>
                <w:sz w:val="21"/>
                <w:szCs w:val="21"/>
              </w:rPr>
              <w:t>张喜庄卫生院</w:t>
            </w:r>
            <w:proofErr w:type="gramEnd"/>
            <w:r>
              <w:rPr>
                <w:rFonts w:ascii="Arial" w:eastAsia="仿宋" w:hAnsi="Arial" w:cs="Arial" w:hint="eastAsia"/>
                <w:sz w:val="21"/>
                <w:szCs w:val="21"/>
              </w:rPr>
              <w:t>、北京市顺义区高丽营镇河津营村卫生室等医疗设施，公共配套设施齐备情况一般。</w:t>
            </w:r>
          </w:p>
        </w:tc>
        <w:tc>
          <w:tcPr>
            <w:tcW w:w="382" w:type="pct"/>
            <w:vAlign w:val="center"/>
          </w:tcPr>
          <w:p w14:paraId="3B7FD9CF"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一般</w:t>
            </w:r>
          </w:p>
        </w:tc>
        <w:tc>
          <w:tcPr>
            <w:tcW w:w="580" w:type="pct"/>
            <w:vAlign w:val="center"/>
          </w:tcPr>
          <w:p w14:paraId="32D3BD55"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0.00%</w:t>
            </w:r>
          </w:p>
        </w:tc>
      </w:tr>
      <w:tr w:rsidR="0062768B" w14:paraId="33542FBE" w14:textId="77777777" w:rsidTr="004532BF">
        <w:trPr>
          <w:cantSplit/>
          <w:jc w:val="center"/>
        </w:trPr>
        <w:tc>
          <w:tcPr>
            <w:tcW w:w="227" w:type="pct"/>
            <w:vAlign w:val="center"/>
          </w:tcPr>
          <w:p w14:paraId="7989952A"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t>f</w:t>
            </w:r>
          </w:p>
        </w:tc>
        <w:tc>
          <w:tcPr>
            <w:tcW w:w="915" w:type="pct"/>
            <w:vAlign w:val="center"/>
          </w:tcPr>
          <w:p w14:paraId="2E2C68F1"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基础设施完备状况</w:t>
            </w:r>
          </w:p>
        </w:tc>
        <w:tc>
          <w:tcPr>
            <w:tcW w:w="2896" w:type="pct"/>
            <w:gridSpan w:val="2"/>
            <w:vAlign w:val="center"/>
          </w:tcPr>
          <w:p w14:paraId="78C2B067"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估价对象所在区域基础设施水平达到</w:t>
            </w:r>
            <w:r>
              <w:rPr>
                <w:rFonts w:ascii="Arial" w:eastAsia="仿宋" w:hAnsi="Arial" w:cs="Arial"/>
                <w:sz w:val="21"/>
                <w:szCs w:val="21"/>
                <w:lang w:bidi="ar"/>
              </w:rPr>
              <w:t>“</w:t>
            </w:r>
            <w:r>
              <w:rPr>
                <w:rFonts w:ascii="Arial" w:eastAsia="仿宋" w:hAnsi="Arial" w:cs="Arial"/>
                <w:sz w:val="21"/>
                <w:szCs w:val="21"/>
                <w:lang w:bidi="ar"/>
              </w:rPr>
              <w:t>七通</w:t>
            </w:r>
            <w:r>
              <w:rPr>
                <w:rFonts w:ascii="Arial" w:eastAsia="仿宋" w:hAnsi="Arial" w:cs="Arial"/>
                <w:sz w:val="21"/>
                <w:szCs w:val="21"/>
                <w:lang w:bidi="ar"/>
              </w:rPr>
              <w:t>”</w:t>
            </w:r>
          </w:p>
        </w:tc>
        <w:tc>
          <w:tcPr>
            <w:tcW w:w="382" w:type="pct"/>
            <w:vAlign w:val="center"/>
          </w:tcPr>
          <w:p w14:paraId="5FF64ADD"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好</w:t>
            </w:r>
          </w:p>
        </w:tc>
        <w:tc>
          <w:tcPr>
            <w:tcW w:w="580" w:type="pct"/>
            <w:vAlign w:val="center"/>
          </w:tcPr>
          <w:p w14:paraId="06A2EC69"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1.34%</w:t>
            </w:r>
          </w:p>
        </w:tc>
      </w:tr>
      <w:tr w:rsidR="0062768B" w14:paraId="618CC357" w14:textId="77777777" w:rsidTr="004532BF">
        <w:trPr>
          <w:cantSplit/>
          <w:jc w:val="center"/>
        </w:trPr>
        <w:tc>
          <w:tcPr>
            <w:tcW w:w="227" w:type="pct"/>
            <w:vAlign w:val="center"/>
          </w:tcPr>
          <w:p w14:paraId="3FB85D52"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t>g</w:t>
            </w:r>
          </w:p>
        </w:tc>
        <w:tc>
          <w:tcPr>
            <w:tcW w:w="915" w:type="pct"/>
            <w:vAlign w:val="center"/>
          </w:tcPr>
          <w:p w14:paraId="1EE0EFB4"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宗地形状及可利用程度</w:t>
            </w:r>
          </w:p>
        </w:tc>
        <w:tc>
          <w:tcPr>
            <w:tcW w:w="2896" w:type="pct"/>
            <w:gridSpan w:val="2"/>
            <w:vAlign w:val="center"/>
          </w:tcPr>
          <w:p w14:paraId="365888DC"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rPr>
              <w:t>宗地形状规则，对宗地利用无影响</w:t>
            </w:r>
          </w:p>
        </w:tc>
        <w:tc>
          <w:tcPr>
            <w:tcW w:w="382" w:type="pct"/>
            <w:vAlign w:val="center"/>
          </w:tcPr>
          <w:p w14:paraId="7D8729CC"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好</w:t>
            </w:r>
          </w:p>
        </w:tc>
        <w:tc>
          <w:tcPr>
            <w:tcW w:w="580" w:type="pct"/>
            <w:vAlign w:val="center"/>
          </w:tcPr>
          <w:p w14:paraId="455B7B0F"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0.74%</w:t>
            </w:r>
          </w:p>
        </w:tc>
      </w:tr>
      <w:tr w:rsidR="0062768B" w14:paraId="63B93D38" w14:textId="77777777" w:rsidTr="004532BF">
        <w:trPr>
          <w:cantSplit/>
          <w:jc w:val="center"/>
        </w:trPr>
        <w:tc>
          <w:tcPr>
            <w:tcW w:w="227" w:type="pct"/>
            <w:vAlign w:val="center"/>
          </w:tcPr>
          <w:p w14:paraId="702ED916"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t>h</w:t>
            </w:r>
          </w:p>
        </w:tc>
        <w:tc>
          <w:tcPr>
            <w:tcW w:w="915" w:type="pct"/>
            <w:vAlign w:val="center"/>
          </w:tcPr>
          <w:p w14:paraId="504B2431"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自然和人文环境状况</w:t>
            </w:r>
          </w:p>
        </w:tc>
        <w:tc>
          <w:tcPr>
            <w:tcW w:w="2896" w:type="pct"/>
            <w:gridSpan w:val="2"/>
            <w:vAlign w:val="center"/>
          </w:tcPr>
          <w:p w14:paraId="6DB847BC"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rPr>
              <w:t>估价对位于北京市顺义区高丽营镇夏县营村，周边</w:t>
            </w:r>
            <w:r>
              <w:rPr>
                <w:rFonts w:ascii="Arial" w:eastAsia="仿宋" w:hAnsi="Arial" w:cs="Arial" w:hint="eastAsia"/>
                <w:sz w:val="21"/>
                <w:szCs w:val="21"/>
              </w:rPr>
              <w:t>2</w:t>
            </w:r>
            <w:r>
              <w:rPr>
                <w:rFonts w:ascii="Arial" w:eastAsia="仿宋" w:hAnsi="Arial" w:cs="Arial" w:hint="eastAsia"/>
                <w:sz w:val="21"/>
                <w:szCs w:val="21"/>
              </w:rPr>
              <w:t>公里南郎中休闲公园、口袋公园、方氏渠等自然环境；无人文环境；综合评价环境状况一般。</w:t>
            </w:r>
          </w:p>
        </w:tc>
        <w:tc>
          <w:tcPr>
            <w:tcW w:w="382" w:type="pct"/>
            <w:vAlign w:val="center"/>
          </w:tcPr>
          <w:p w14:paraId="51A4F2A1"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一般</w:t>
            </w:r>
          </w:p>
        </w:tc>
        <w:tc>
          <w:tcPr>
            <w:tcW w:w="580" w:type="pct"/>
            <w:vAlign w:val="center"/>
          </w:tcPr>
          <w:p w14:paraId="3FFCE3BA"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0.00%</w:t>
            </w:r>
          </w:p>
        </w:tc>
      </w:tr>
      <w:tr w:rsidR="0062768B" w14:paraId="69AD2CA7" w14:textId="77777777" w:rsidTr="004532BF">
        <w:trPr>
          <w:cantSplit/>
          <w:jc w:val="center"/>
        </w:trPr>
        <w:tc>
          <w:tcPr>
            <w:tcW w:w="227" w:type="pct"/>
            <w:vAlign w:val="center"/>
          </w:tcPr>
          <w:p w14:paraId="546E87B3"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t>i</w:t>
            </w:r>
          </w:p>
        </w:tc>
        <w:tc>
          <w:tcPr>
            <w:tcW w:w="915" w:type="pct"/>
            <w:vAlign w:val="center"/>
          </w:tcPr>
          <w:p w14:paraId="2F58CF9F"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与区域中心的接近程度</w:t>
            </w:r>
          </w:p>
        </w:tc>
        <w:tc>
          <w:tcPr>
            <w:tcW w:w="2896" w:type="pct"/>
            <w:gridSpan w:val="2"/>
            <w:vAlign w:val="center"/>
          </w:tcPr>
          <w:p w14:paraId="7D21C852" w14:textId="77777777" w:rsidR="0062768B" w:rsidRDefault="00136729">
            <w:pPr>
              <w:widowControl/>
              <w:adjustRightInd/>
              <w:spacing w:line="240" w:lineRule="exact"/>
              <w:textAlignment w:val="center"/>
              <w:rPr>
                <w:rFonts w:ascii="Arial" w:eastAsia="仿宋" w:hAnsi="Arial" w:cs="Arial"/>
                <w:sz w:val="21"/>
                <w:szCs w:val="21"/>
                <w:lang w:bidi="ar"/>
              </w:rPr>
            </w:pPr>
            <w:proofErr w:type="gramStart"/>
            <w:r>
              <w:rPr>
                <w:rFonts w:ascii="Arial" w:eastAsia="仿宋" w:hAnsi="Arial" w:cs="Arial"/>
                <w:sz w:val="21"/>
                <w:szCs w:val="21"/>
                <w:lang w:bidi="ar"/>
              </w:rPr>
              <w:t>距区域</w:t>
            </w:r>
            <w:proofErr w:type="gramEnd"/>
            <w:r>
              <w:rPr>
                <w:rFonts w:ascii="Arial" w:eastAsia="仿宋" w:hAnsi="Arial" w:cs="Arial"/>
                <w:sz w:val="21"/>
                <w:szCs w:val="21"/>
                <w:lang w:bidi="ar"/>
              </w:rPr>
              <w:t>中心约</w:t>
            </w:r>
            <w:r>
              <w:rPr>
                <w:rFonts w:ascii="Arial" w:eastAsia="仿宋" w:hAnsi="Arial" w:cs="Arial"/>
                <w:sz w:val="21"/>
                <w:szCs w:val="21"/>
                <w:lang w:bidi="ar"/>
              </w:rPr>
              <w:t>1.6</w:t>
            </w:r>
            <w:r>
              <w:rPr>
                <w:rFonts w:ascii="Arial" w:eastAsia="仿宋" w:hAnsi="Arial" w:cs="Arial"/>
                <w:sz w:val="21"/>
                <w:szCs w:val="21"/>
                <w:lang w:bidi="ar"/>
              </w:rPr>
              <w:t>公里，与区域中心的接近程度</w:t>
            </w:r>
            <w:r>
              <w:rPr>
                <w:rFonts w:ascii="Arial" w:eastAsia="仿宋" w:hAnsi="Arial" w:cs="Arial" w:hint="eastAsia"/>
                <w:sz w:val="21"/>
                <w:szCs w:val="21"/>
                <w:lang w:bidi="ar"/>
              </w:rPr>
              <w:t>较差</w:t>
            </w:r>
          </w:p>
        </w:tc>
        <w:tc>
          <w:tcPr>
            <w:tcW w:w="382" w:type="pct"/>
            <w:vAlign w:val="center"/>
          </w:tcPr>
          <w:p w14:paraId="140EEF86"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较差</w:t>
            </w:r>
          </w:p>
        </w:tc>
        <w:tc>
          <w:tcPr>
            <w:tcW w:w="580" w:type="pct"/>
            <w:vAlign w:val="center"/>
          </w:tcPr>
          <w:p w14:paraId="1C07935E"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-0.37 %</w:t>
            </w:r>
          </w:p>
        </w:tc>
      </w:tr>
      <w:tr w:rsidR="0062768B" w14:paraId="199F93FB" w14:textId="77777777" w:rsidTr="004532BF">
        <w:trPr>
          <w:cantSplit/>
          <w:jc w:val="center"/>
        </w:trPr>
        <w:tc>
          <w:tcPr>
            <w:tcW w:w="2500" w:type="pct"/>
            <w:gridSpan w:val="3"/>
            <w:vAlign w:val="center"/>
          </w:tcPr>
          <w:p w14:paraId="3396E2A7"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lastRenderedPageBreak/>
              <w:t>合计（</w:t>
            </w:r>
            <w:r>
              <w:rPr>
                <w:rFonts w:ascii="Arial" w:eastAsia="仿宋" w:hAnsi="Arial" w:cs="Arial"/>
                <w:sz w:val="21"/>
                <w:szCs w:val="21"/>
              </w:rPr>
              <w:t>∑K</w:t>
            </w:r>
            <w:r>
              <w:rPr>
                <w:rFonts w:ascii="Arial" w:eastAsia="仿宋" w:hAnsi="Arial" w:cs="Arial"/>
                <w:sz w:val="21"/>
                <w:szCs w:val="21"/>
                <w:vertAlign w:val="subscript"/>
              </w:rPr>
              <w:t>i</w:t>
            </w:r>
            <w:r>
              <w:rPr>
                <w:rFonts w:ascii="Arial" w:eastAsia="仿宋" w:hAnsi="Arial" w:cs="Arial"/>
                <w:sz w:val="21"/>
                <w:szCs w:val="21"/>
              </w:rPr>
              <w:t>）</w:t>
            </w:r>
          </w:p>
        </w:tc>
        <w:tc>
          <w:tcPr>
            <w:tcW w:w="2500" w:type="pct"/>
            <w:gridSpan w:val="3"/>
          </w:tcPr>
          <w:p w14:paraId="3E81EE4B"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t>0.88%</w:t>
            </w:r>
          </w:p>
        </w:tc>
      </w:tr>
      <w:tr w:rsidR="0062768B" w14:paraId="7D12FFAE" w14:textId="77777777" w:rsidTr="004532BF">
        <w:trPr>
          <w:cantSplit/>
          <w:jc w:val="center"/>
        </w:trPr>
        <w:tc>
          <w:tcPr>
            <w:tcW w:w="2500" w:type="pct"/>
            <w:gridSpan w:val="3"/>
            <w:vAlign w:val="center"/>
          </w:tcPr>
          <w:p w14:paraId="19FCCAC5"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t>因素修正系数（</w:t>
            </w:r>
            <w:r>
              <w:rPr>
                <w:rFonts w:ascii="Arial" w:eastAsia="仿宋" w:hAnsi="Arial" w:cs="Arial"/>
                <w:sz w:val="21"/>
                <w:szCs w:val="21"/>
              </w:rPr>
              <w:t>1+∑K</w:t>
            </w:r>
            <w:r>
              <w:rPr>
                <w:rFonts w:ascii="Arial" w:eastAsia="仿宋" w:hAnsi="Arial" w:cs="Arial"/>
                <w:sz w:val="21"/>
                <w:szCs w:val="21"/>
                <w:vertAlign w:val="subscript"/>
              </w:rPr>
              <w:t>i</w:t>
            </w:r>
            <w:r>
              <w:rPr>
                <w:rFonts w:ascii="Arial" w:eastAsia="仿宋" w:hAnsi="Arial" w:cs="Arial"/>
                <w:sz w:val="21"/>
                <w:szCs w:val="21"/>
              </w:rPr>
              <w:t>）</w:t>
            </w:r>
          </w:p>
        </w:tc>
        <w:tc>
          <w:tcPr>
            <w:tcW w:w="2500" w:type="pct"/>
            <w:gridSpan w:val="3"/>
          </w:tcPr>
          <w:p w14:paraId="11FB9F17" w14:textId="77777777" w:rsidR="0062768B" w:rsidRDefault="00136729">
            <w:pPr>
              <w:spacing w:line="240" w:lineRule="exact"/>
              <w:rPr>
                <w:rFonts w:ascii="Arial" w:eastAsia="仿宋" w:hAnsi="Arial" w:cs="Arial"/>
                <w:sz w:val="21"/>
                <w:szCs w:val="21"/>
              </w:rPr>
            </w:pPr>
            <w:r>
              <w:rPr>
                <w:rFonts w:ascii="Arial" w:eastAsia="仿宋" w:hAnsi="Arial" w:cs="Arial" w:hint="eastAsia"/>
                <w:sz w:val="21"/>
                <w:szCs w:val="21"/>
              </w:rPr>
              <w:t>1</w:t>
            </w:r>
            <w:r>
              <w:rPr>
                <w:rFonts w:ascii="Arial" w:eastAsia="仿宋" w:hAnsi="Arial" w:cs="Arial"/>
                <w:sz w:val="21"/>
                <w:szCs w:val="21"/>
              </w:rPr>
              <w:t>.0088</w:t>
            </w:r>
          </w:p>
        </w:tc>
      </w:tr>
    </w:tbl>
    <w:p w14:paraId="5CE7BD9B" w14:textId="77777777" w:rsidR="0062768B" w:rsidRDefault="0062768B">
      <w:pPr>
        <w:spacing w:line="300" w:lineRule="auto"/>
        <w:ind w:firstLineChars="200" w:firstLine="560"/>
        <w:jc w:val="both"/>
        <w:rPr>
          <w:rFonts w:ascii="Arial" w:eastAsia="仿宋" w:hAnsi="Arial" w:cs="Arial"/>
          <w:sz w:val="28"/>
          <w:szCs w:val="28"/>
        </w:rPr>
      </w:pPr>
    </w:p>
    <w:p w14:paraId="4161C5D7" w14:textId="77777777" w:rsidR="0062768B" w:rsidRDefault="00136729">
      <w:pPr>
        <w:adjustRightInd/>
        <w:snapToGrid w:val="0"/>
        <w:spacing w:line="300" w:lineRule="auto"/>
        <w:ind w:firstLineChars="200" w:firstLine="560"/>
        <w:rPr>
          <w:rFonts w:ascii="Arial" w:eastAsia="仿宋" w:hAnsi="Arial" w:cs="Arial"/>
          <w:sz w:val="28"/>
        </w:rPr>
      </w:pPr>
      <w:r>
        <w:rPr>
          <w:rFonts w:ascii="Arial" w:eastAsia="仿宋" w:hAnsi="Arial" w:cs="Arial"/>
          <w:sz w:val="28"/>
        </w:rPr>
        <w:t>（</w:t>
      </w:r>
      <w:r>
        <w:rPr>
          <w:rFonts w:ascii="Arial" w:eastAsia="仿宋" w:hAnsi="Arial" w:cs="Arial"/>
          <w:sz w:val="28"/>
        </w:rPr>
        <w:t>G</w:t>
      </w:r>
      <w:r>
        <w:rPr>
          <w:rFonts w:ascii="Arial" w:eastAsia="仿宋" w:hAnsi="Arial" w:cs="Arial"/>
          <w:sz w:val="28"/>
        </w:rPr>
        <w:t>）估价</w:t>
      </w:r>
      <w:proofErr w:type="gramStart"/>
      <w:r>
        <w:rPr>
          <w:rFonts w:ascii="Arial" w:eastAsia="仿宋" w:hAnsi="Arial" w:cs="Arial"/>
          <w:sz w:val="28"/>
        </w:rPr>
        <w:t>对象楼</w:t>
      </w:r>
      <w:proofErr w:type="gramEnd"/>
      <w:r>
        <w:rPr>
          <w:rFonts w:ascii="Arial" w:eastAsia="仿宋" w:hAnsi="Arial" w:cs="Arial"/>
          <w:sz w:val="28"/>
        </w:rPr>
        <w:t>面熟地价</w:t>
      </w:r>
    </w:p>
    <w:p w14:paraId="5EEF9D79" w14:textId="77777777" w:rsidR="0062768B" w:rsidRDefault="00136729">
      <w:pPr>
        <w:adjustRightInd/>
        <w:snapToGrid w:val="0"/>
        <w:spacing w:line="300" w:lineRule="auto"/>
        <w:ind w:firstLineChars="200" w:firstLine="560"/>
        <w:rPr>
          <w:rFonts w:ascii="Arial" w:eastAsia="仿宋" w:hAnsi="Arial" w:cs="Arial"/>
          <w:sz w:val="28"/>
        </w:rPr>
      </w:pPr>
      <w:r>
        <w:rPr>
          <w:rFonts w:ascii="Arial" w:eastAsia="仿宋" w:hAnsi="Arial" w:cs="Arial"/>
          <w:sz w:val="28"/>
        </w:rPr>
        <w:t>住宅</w:t>
      </w:r>
      <w:proofErr w:type="gramStart"/>
      <w:r>
        <w:rPr>
          <w:rFonts w:ascii="Arial" w:eastAsia="仿宋" w:hAnsi="Arial" w:cs="Arial"/>
          <w:sz w:val="28"/>
        </w:rPr>
        <w:t>用途楼</w:t>
      </w:r>
      <w:proofErr w:type="gramEnd"/>
      <w:r>
        <w:rPr>
          <w:rFonts w:ascii="Arial" w:eastAsia="仿宋" w:hAnsi="Arial" w:cs="Arial"/>
          <w:sz w:val="28"/>
        </w:rPr>
        <w:t>面熟地价</w:t>
      </w:r>
    </w:p>
    <w:p w14:paraId="29791907" w14:textId="77777777" w:rsidR="0062768B" w:rsidRDefault="00136729">
      <w:pPr>
        <w:adjustRightInd/>
        <w:snapToGrid w:val="0"/>
        <w:spacing w:line="300" w:lineRule="auto"/>
        <w:ind w:firstLineChars="200" w:firstLine="560"/>
        <w:rPr>
          <w:rFonts w:ascii="Arial" w:eastAsia="仿宋" w:hAnsi="Arial" w:cs="Arial"/>
          <w:sz w:val="28"/>
        </w:rPr>
      </w:pPr>
      <w:r>
        <w:rPr>
          <w:rFonts w:ascii="Arial" w:eastAsia="仿宋" w:hAnsi="Arial" w:cs="Arial"/>
          <w:sz w:val="28"/>
        </w:rPr>
        <w:t>＝适用的基准地价</w:t>
      </w:r>
      <w:r>
        <w:rPr>
          <w:rFonts w:ascii="Arial" w:eastAsia="仿宋" w:hAnsi="Arial" w:cs="Arial"/>
          <w:sz w:val="28"/>
        </w:rPr>
        <w:t>×</w:t>
      </w:r>
      <w:r>
        <w:rPr>
          <w:rFonts w:ascii="Arial" w:eastAsia="仿宋" w:hAnsi="Arial" w:cs="Arial" w:hint="eastAsia"/>
          <w:sz w:val="28"/>
        </w:rPr>
        <w:t>特殊</w:t>
      </w:r>
      <w:r>
        <w:rPr>
          <w:rFonts w:ascii="Arial" w:eastAsia="仿宋" w:hAnsi="Arial" w:cs="Arial"/>
          <w:sz w:val="28"/>
        </w:rPr>
        <w:t>情况修正系数</w:t>
      </w:r>
      <w:r>
        <w:rPr>
          <w:rFonts w:ascii="Arial" w:eastAsia="仿宋" w:hAnsi="Arial" w:cs="Arial"/>
          <w:sz w:val="28"/>
          <w:szCs w:val="28"/>
        </w:rPr>
        <w:t>×</w:t>
      </w:r>
      <w:r>
        <w:rPr>
          <w:rFonts w:ascii="Arial" w:eastAsia="仿宋" w:hAnsi="Arial" w:cs="Arial"/>
          <w:sz w:val="28"/>
        </w:rPr>
        <w:t>用途修正系数</w:t>
      </w:r>
      <w:r>
        <w:rPr>
          <w:rFonts w:ascii="Arial" w:eastAsia="仿宋" w:hAnsi="Arial" w:cs="Arial"/>
          <w:sz w:val="28"/>
        </w:rPr>
        <w:t>×</w:t>
      </w:r>
      <w:r>
        <w:rPr>
          <w:rFonts w:ascii="Arial" w:eastAsia="仿宋" w:hAnsi="Arial" w:cs="Arial"/>
          <w:sz w:val="28"/>
        </w:rPr>
        <w:t>期日修正系数</w:t>
      </w:r>
      <w:r>
        <w:rPr>
          <w:rFonts w:ascii="Arial" w:eastAsia="仿宋" w:hAnsi="Arial" w:cs="Arial"/>
          <w:sz w:val="28"/>
        </w:rPr>
        <w:t>×</w:t>
      </w:r>
      <w:r>
        <w:rPr>
          <w:rFonts w:ascii="Arial" w:eastAsia="仿宋" w:hAnsi="Arial" w:cs="Arial"/>
          <w:sz w:val="28"/>
        </w:rPr>
        <w:t>年期修正系数</w:t>
      </w:r>
      <w:r>
        <w:rPr>
          <w:rFonts w:ascii="Arial" w:eastAsia="仿宋" w:hAnsi="Arial" w:cs="Arial"/>
          <w:sz w:val="28"/>
        </w:rPr>
        <w:t>×</w:t>
      </w:r>
      <w:r>
        <w:rPr>
          <w:rFonts w:ascii="Arial" w:eastAsia="仿宋" w:hAnsi="Arial" w:cs="Arial"/>
          <w:sz w:val="28"/>
        </w:rPr>
        <w:t>容积率修正系数</w:t>
      </w:r>
      <w:r>
        <w:rPr>
          <w:rFonts w:ascii="Arial" w:eastAsia="仿宋" w:hAnsi="Arial" w:cs="Arial"/>
          <w:sz w:val="28"/>
        </w:rPr>
        <w:t>×</w:t>
      </w:r>
      <w:r>
        <w:rPr>
          <w:rFonts w:ascii="Arial" w:eastAsia="仿宋" w:hAnsi="Arial" w:cs="Arial"/>
          <w:sz w:val="28"/>
        </w:rPr>
        <w:t>因素修正系数</w:t>
      </w:r>
    </w:p>
    <w:p w14:paraId="25C1F4DD" w14:textId="77777777" w:rsidR="0062768B" w:rsidRDefault="00136729">
      <w:pPr>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6160×1×1.05+40</w:t>
      </w:r>
      <w:r>
        <w:rPr>
          <w:rFonts w:ascii="Arial" w:eastAsia="仿宋" w:hAnsi="Arial" w:cs="Arial"/>
          <w:sz w:val="28"/>
          <w:szCs w:val="28"/>
        </w:rPr>
        <w:t>）</w:t>
      </w:r>
      <w:r>
        <w:rPr>
          <w:rFonts w:ascii="Arial" w:eastAsia="仿宋" w:hAnsi="Arial" w:cs="Arial"/>
          <w:sz w:val="28"/>
          <w:szCs w:val="28"/>
        </w:rPr>
        <w:t>×1×1.0677×1×1.0597×1.0088</w:t>
      </w:r>
    </w:p>
    <w:p w14:paraId="1CDB9B87"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7428</w:t>
      </w:r>
      <w:r>
        <w:rPr>
          <w:rFonts w:ascii="Arial" w:eastAsia="仿宋" w:hAnsi="Arial" w:cs="Arial"/>
          <w:sz w:val="28"/>
          <w:szCs w:val="28"/>
        </w:rPr>
        <w:t>（元</w:t>
      </w:r>
      <w:r>
        <w:rPr>
          <w:rFonts w:ascii="Arial" w:eastAsia="仿宋" w:hAnsi="Arial" w:cs="Arial"/>
          <w:sz w:val="28"/>
          <w:szCs w:val="28"/>
        </w:rPr>
        <w:t>/</w:t>
      </w:r>
      <w:r>
        <w:rPr>
          <w:rFonts w:ascii="Arial" w:eastAsia="仿宋" w:hAnsi="Arial" w:cs="Arial"/>
          <w:sz w:val="28"/>
          <w:szCs w:val="28"/>
        </w:rPr>
        <w:t>平方米）</w:t>
      </w:r>
    </w:p>
    <w:p w14:paraId="2FEA4A55" w14:textId="77777777" w:rsidR="0062768B" w:rsidRDefault="00136729">
      <w:pPr>
        <w:overflowPunct w:val="0"/>
        <w:adjustRightInd/>
        <w:snapToGrid w:val="0"/>
        <w:spacing w:line="300" w:lineRule="auto"/>
        <w:ind w:firstLineChars="200" w:firstLine="560"/>
        <w:jc w:val="both"/>
        <w:textAlignment w:val="auto"/>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2</w:t>
      </w:r>
      <w:r>
        <w:rPr>
          <w:rFonts w:ascii="Arial" w:eastAsia="仿宋" w:hAnsi="Arial" w:cs="Arial"/>
          <w:sz w:val="28"/>
          <w:szCs w:val="28"/>
        </w:rPr>
        <w:t>）求取估价对象商业用地楼面熟地价</w:t>
      </w:r>
    </w:p>
    <w:p w14:paraId="4A3272E0" w14:textId="77777777" w:rsidR="0062768B" w:rsidRDefault="00136729">
      <w:pPr>
        <w:snapToGrid w:val="0"/>
        <w:spacing w:line="300" w:lineRule="auto"/>
        <w:ind w:firstLineChars="200" w:firstLine="560"/>
        <w:jc w:val="both"/>
        <w:rPr>
          <w:rFonts w:ascii="Arial" w:eastAsia="仿宋" w:hAnsi="Arial" w:cs="Arial"/>
          <w:sz w:val="28"/>
        </w:rPr>
      </w:pPr>
      <w:r>
        <w:rPr>
          <w:rFonts w:ascii="Arial" w:eastAsia="仿宋" w:hAnsi="Arial" w:cs="Arial"/>
          <w:sz w:val="28"/>
        </w:rPr>
        <w:t>A.</w:t>
      </w:r>
      <w:r>
        <w:rPr>
          <w:rFonts w:ascii="Arial" w:eastAsia="仿宋" w:hAnsi="Arial" w:cs="Arial"/>
          <w:sz w:val="28"/>
        </w:rPr>
        <w:t>宗地适用基准地价水平的确定</w:t>
      </w:r>
    </w:p>
    <w:p w14:paraId="0C6DC69B" w14:textId="77777777" w:rsidR="0062768B" w:rsidRDefault="00136729">
      <w:pPr>
        <w:snapToGrid w:val="0"/>
        <w:spacing w:line="300" w:lineRule="auto"/>
        <w:ind w:firstLineChars="200" w:firstLine="560"/>
        <w:jc w:val="both"/>
        <w:rPr>
          <w:rFonts w:ascii="Arial" w:eastAsia="仿宋" w:hAnsi="Arial" w:cs="Arial"/>
          <w:sz w:val="28"/>
        </w:rPr>
      </w:pPr>
      <w:r>
        <w:rPr>
          <w:rFonts w:ascii="Arial" w:eastAsia="仿宋" w:hAnsi="Arial" w:cs="Arial"/>
          <w:sz w:val="28"/>
        </w:rPr>
        <w:t>（</w:t>
      </w:r>
      <w:r>
        <w:rPr>
          <w:rFonts w:ascii="Arial" w:eastAsia="仿宋" w:hAnsi="Arial" w:cs="Arial"/>
          <w:sz w:val="28"/>
        </w:rPr>
        <w:t>A</w:t>
      </w:r>
      <w:r>
        <w:rPr>
          <w:rFonts w:ascii="Arial" w:eastAsia="仿宋" w:hAnsi="Arial" w:cs="Arial"/>
          <w:sz w:val="28"/>
        </w:rPr>
        <w:t>）根据《北京市基准地价更新成果》，估价对象商业相应用途基准地价参照《北京市区片基准地价表》确定。估价对象位于</w:t>
      </w:r>
      <w:r>
        <w:rPr>
          <w:rFonts w:ascii="Arial" w:eastAsia="仿宋" w:hAnsi="Arial" w:cs="Arial"/>
          <w:sz w:val="28"/>
          <w:szCs w:val="28"/>
        </w:rPr>
        <w:t>北京市顺义区</w:t>
      </w:r>
      <w:r>
        <w:rPr>
          <w:rFonts w:ascii="Arial" w:eastAsia="仿宋" w:hAnsi="Arial" w:cs="Arial" w:hint="eastAsia"/>
          <w:sz w:val="28"/>
          <w:szCs w:val="28"/>
        </w:rPr>
        <w:t>高丽营镇</w:t>
      </w:r>
      <w:r>
        <w:rPr>
          <w:rFonts w:ascii="Arial" w:eastAsia="仿宋" w:hAnsi="Arial" w:cs="Arial"/>
          <w:sz w:val="28"/>
          <w:szCs w:val="28"/>
        </w:rPr>
        <w:t>夏县营</w:t>
      </w:r>
      <w:r>
        <w:rPr>
          <w:rFonts w:ascii="Arial" w:eastAsia="仿宋" w:hAnsi="Arial" w:cs="Arial" w:hint="eastAsia"/>
          <w:sz w:val="28"/>
          <w:szCs w:val="28"/>
        </w:rPr>
        <w:t>村</w:t>
      </w:r>
      <w:r>
        <w:rPr>
          <w:rFonts w:ascii="Arial" w:eastAsia="仿宋" w:hAnsi="Arial" w:cs="Arial"/>
          <w:sz w:val="28"/>
        </w:rPr>
        <w:t>，土地级别为商业类</w:t>
      </w:r>
      <w:r>
        <w:rPr>
          <w:rFonts w:ascii="Arial" w:eastAsia="仿宋" w:hAnsi="Arial" w:cs="Arial" w:hint="eastAsia"/>
          <w:sz w:val="28"/>
        </w:rPr>
        <w:t>九</w:t>
      </w:r>
      <w:r>
        <w:rPr>
          <w:rFonts w:ascii="Arial" w:eastAsia="仿宋" w:hAnsi="Arial" w:cs="Arial"/>
          <w:sz w:val="28"/>
        </w:rPr>
        <w:t>级地价区，属商业用途</w:t>
      </w:r>
      <w:r>
        <w:rPr>
          <w:rFonts w:ascii="Arial" w:eastAsia="仿宋_GB2312" w:hAnsi="Arial" w:cs="Arial"/>
          <w:sz w:val="28"/>
        </w:rPr>
        <w:t>IX-</w:t>
      </w:r>
      <w:r>
        <w:rPr>
          <w:rFonts w:ascii="Arial" w:eastAsia="仿宋_GB2312" w:hAnsi="Arial" w:cs="Arial" w:hint="eastAsia"/>
          <w:sz w:val="28"/>
        </w:rPr>
        <w:t>顺</w:t>
      </w:r>
      <w:r>
        <w:rPr>
          <w:rFonts w:ascii="Arial" w:eastAsia="仿宋_GB2312" w:hAnsi="Arial" w:cs="Arial" w:hint="eastAsia"/>
          <w:sz w:val="28"/>
        </w:rPr>
        <w:t>5</w:t>
      </w:r>
      <w:r>
        <w:rPr>
          <w:rFonts w:ascii="Arial" w:eastAsia="仿宋" w:hAnsi="Arial" w:cs="Arial"/>
          <w:sz w:val="28"/>
        </w:rPr>
        <w:t>区片。北京市各用途</w:t>
      </w:r>
      <w:r>
        <w:rPr>
          <w:rFonts w:ascii="Arial" w:eastAsia="仿宋" w:hAnsi="Arial" w:cs="Arial" w:hint="eastAsia"/>
          <w:sz w:val="28"/>
        </w:rPr>
        <w:t>九</w:t>
      </w:r>
      <w:r>
        <w:rPr>
          <w:rFonts w:ascii="Arial" w:eastAsia="仿宋" w:hAnsi="Arial" w:cs="Arial"/>
          <w:sz w:val="28"/>
        </w:rPr>
        <w:t>级区片基准地价详见前述，即，估价对象所在商业用途</w:t>
      </w:r>
      <w:r>
        <w:rPr>
          <w:rFonts w:ascii="Arial" w:eastAsia="仿宋" w:hAnsi="Arial" w:cs="Arial" w:hint="eastAsia"/>
          <w:sz w:val="28"/>
        </w:rPr>
        <w:t>九</w:t>
      </w:r>
      <w:r>
        <w:rPr>
          <w:rFonts w:ascii="Arial" w:eastAsia="仿宋" w:hAnsi="Arial" w:cs="Arial"/>
          <w:sz w:val="28"/>
        </w:rPr>
        <w:t>级</w:t>
      </w:r>
      <w:r>
        <w:rPr>
          <w:rFonts w:ascii="Arial" w:eastAsia="仿宋_GB2312" w:hAnsi="Arial" w:cs="Arial"/>
          <w:sz w:val="28"/>
        </w:rPr>
        <w:t>IX-</w:t>
      </w:r>
      <w:r>
        <w:rPr>
          <w:rFonts w:ascii="Arial" w:eastAsia="仿宋_GB2312" w:hAnsi="Arial" w:cs="Arial" w:hint="eastAsia"/>
          <w:sz w:val="28"/>
        </w:rPr>
        <w:t>顺</w:t>
      </w:r>
      <w:r>
        <w:rPr>
          <w:rFonts w:ascii="Arial" w:eastAsia="仿宋_GB2312" w:hAnsi="Arial" w:cs="Arial" w:hint="eastAsia"/>
          <w:sz w:val="28"/>
        </w:rPr>
        <w:t>5</w:t>
      </w:r>
      <w:r>
        <w:rPr>
          <w:rFonts w:ascii="Arial" w:eastAsia="仿宋" w:hAnsi="Arial" w:cs="Arial"/>
          <w:sz w:val="28"/>
        </w:rPr>
        <w:t>区片的区片基准地价为</w:t>
      </w:r>
      <w:r>
        <w:rPr>
          <w:rFonts w:ascii="Arial" w:eastAsia="仿宋" w:hAnsi="Arial" w:cs="Arial"/>
          <w:sz w:val="28"/>
        </w:rPr>
        <w:t>5320</w:t>
      </w:r>
      <w:r>
        <w:rPr>
          <w:rFonts w:ascii="Arial" w:eastAsia="仿宋" w:hAnsi="Arial" w:cs="Arial"/>
          <w:sz w:val="28"/>
        </w:rPr>
        <w:t>元</w:t>
      </w:r>
      <w:r>
        <w:rPr>
          <w:rFonts w:ascii="Arial" w:eastAsia="仿宋" w:hAnsi="Arial" w:cs="Arial"/>
          <w:sz w:val="28"/>
        </w:rPr>
        <w:t>/</w:t>
      </w:r>
      <w:r>
        <w:rPr>
          <w:rFonts w:ascii="Arial" w:eastAsia="仿宋" w:hAnsi="Arial" w:cs="Arial"/>
          <w:sz w:val="28"/>
        </w:rPr>
        <w:t>平方米。</w:t>
      </w:r>
    </w:p>
    <w:p w14:paraId="6A68E9DE" w14:textId="77777777" w:rsidR="0062768B" w:rsidRDefault="00136729">
      <w:pPr>
        <w:adjustRightInd/>
        <w:snapToGrid w:val="0"/>
        <w:spacing w:line="300" w:lineRule="auto"/>
        <w:ind w:firstLineChars="200" w:firstLine="560"/>
        <w:jc w:val="both"/>
        <w:rPr>
          <w:rFonts w:ascii="Arial" w:eastAsia="仿宋" w:hAnsi="Arial" w:cs="Arial"/>
          <w:sz w:val="28"/>
        </w:rPr>
      </w:pPr>
      <w:r>
        <w:rPr>
          <w:rFonts w:ascii="Arial" w:eastAsia="仿宋" w:hAnsi="Arial" w:cs="Arial"/>
          <w:sz w:val="28"/>
        </w:rPr>
        <w:t>（</w:t>
      </w:r>
      <w:r>
        <w:rPr>
          <w:rFonts w:ascii="Arial" w:eastAsia="仿宋" w:hAnsi="Arial" w:cs="Arial"/>
          <w:sz w:val="28"/>
        </w:rPr>
        <w:t>B</w:t>
      </w:r>
      <w:r>
        <w:rPr>
          <w:rFonts w:ascii="Arial" w:eastAsia="仿宋" w:hAnsi="Arial" w:cs="Arial"/>
          <w:sz w:val="28"/>
        </w:rPr>
        <w:t>）商业</w:t>
      </w:r>
      <w:proofErr w:type="gramStart"/>
      <w:r>
        <w:rPr>
          <w:rFonts w:ascii="Arial" w:eastAsia="仿宋" w:hAnsi="Arial" w:cs="Arial"/>
          <w:sz w:val="28"/>
        </w:rPr>
        <w:t>路线价</w:t>
      </w:r>
      <w:proofErr w:type="gramEnd"/>
      <w:r>
        <w:rPr>
          <w:rFonts w:ascii="Arial" w:eastAsia="仿宋" w:hAnsi="Arial" w:cs="Arial"/>
          <w:sz w:val="28"/>
        </w:rPr>
        <w:t>修正</w:t>
      </w:r>
    </w:p>
    <w:p w14:paraId="55E0E761" w14:textId="77777777" w:rsidR="0062768B" w:rsidRDefault="00136729">
      <w:pPr>
        <w:adjustRightInd/>
        <w:snapToGrid w:val="0"/>
        <w:spacing w:line="300" w:lineRule="auto"/>
        <w:ind w:firstLineChars="200" w:firstLine="560"/>
        <w:rPr>
          <w:rFonts w:ascii="Arial" w:eastAsia="仿宋" w:hAnsi="Arial" w:cs="Arial"/>
          <w:sz w:val="28"/>
        </w:rPr>
      </w:pPr>
      <w:r>
        <w:rPr>
          <w:rFonts w:ascii="Arial" w:eastAsia="仿宋" w:hAnsi="Arial" w:cs="Arial"/>
          <w:sz w:val="28"/>
        </w:rPr>
        <w:t>估价对象位于</w:t>
      </w:r>
      <w:r>
        <w:rPr>
          <w:rFonts w:ascii="Arial" w:eastAsia="仿宋" w:hAnsi="Arial" w:cs="Arial"/>
          <w:sz w:val="28"/>
          <w:szCs w:val="28"/>
        </w:rPr>
        <w:t>北京市顺义区</w:t>
      </w:r>
      <w:r>
        <w:rPr>
          <w:rFonts w:ascii="Arial" w:eastAsia="仿宋" w:hAnsi="Arial" w:cs="Arial" w:hint="eastAsia"/>
          <w:sz w:val="28"/>
          <w:szCs w:val="28"/>
        </w:rPr>
        <w:t>高丽营镇</w:t>
      </w:r>
      <w:r>
        <w:rPr>
          <w:rFonts w:ascii="Arial" w:eastAsia="仿宋" w:hAnsi="Arial" w:cs="Arial"/>
          <w:sz w:val="28"/>
          <w:szCs w:val="28"/>
        </w:rPr>
        <w:t>夏县营</w:t>
      </w:r>
      <w:r>
        <w:rPr>
          <w:rFonts w:ascii="Arial" w:eastAsia="仿宋" w:hAnsi="Arial" w:cs="Arial" w:hint="eastAsia"/>
          <w:sz w:val="28"/>
          <w:szCs w:val="28"/>
        </w:rPr>
        <w:t>村</w:t>
      </w:r>
      <w:r>
        <w:rPr>
          <w:rFonts w:ascii="Arial" w:eastAsia="仿宋" w:hAnsi="Arial" w:cs="Arial"/>
          <w:sz w:val="28"/>
        </w:rPr>
        <w:t>，不临《北京市基准地价更新成果》中所列</w:t>
      </w:r>
      <w:r>
        <w:rPr>
          <w:rFonts w:ascii="Arial" w:eastAsia="仿宋" w:hAnsi="Arial" w:cs="Arial"/>
          <w:sz w:val="28"/>
        </w:rPr>
        <w:t>65</w:t>
      </w:r>
      <w:r>
        <w:rPr>
          <w:rFonts w:ascii="Arial" w:eastAsia="仿宋" w:hAnsi="Arial" w:cs="Arial"/>
          <w:sz w:val="28"/>
        </w:rPr>
        <w:t>条商业街。故不需进行商业</w:t>
      </w:r>
      <w:proofErr w:type="gramStart"/>
      <w:r>
        <w:rPr>
          <w:rFonts w:ascii="Arial" w:eastAsia="仿宋" w:hAnsi="Arial" w:cs="Arial"/>
          <w:sz w:val="28"/>
        </w:rPr>
        <w:t>路线价</w:t>
      </w:r>
      <w:proofErr w:type="gramEnd"/>
      <w:r>
        <w:rPr>
          <w:rFonts w:ascii="Arial" w:eastAsia="仿宋" w:hAnsi="Arial" w:cs="Arial"/>
          <w:sz w:val="28"/>
        </w:rPr>
        <w:t>修正。</w:t>
      </w:r>
    </w:p>
    <w:p w14:paraId="30194623" w14:textId="77777777" w:rsidR="0062768B" w:rsidRDefault="00136729">
      <w:pPr>
        <w:adjustRightInd/>
        <w:snapToGrid w:val="0"/>
        <w:spacing w:line="300" w:lineRule="auto"/>
        <w:ind w:firstLineChars="200" w:firstLine="560"/>
        <w:jc w:val="both"/>
        <w:rPr>
          <w:rFonts w:ascii="Arial" w:eastAsia="仿宋" w:hAnsi="Arial" w:cs="Arial"/>
          <w:sz w:val="28"/>
        </w:rPr>
      </w:pPr>
      <w:r>
        <w:rPr>
          <w:rFonts w:ascii="Arial" w:eastAsia="仿宋" w:hAnsi="Arial" w:cs="Arial"/>
          <w:sz w:val="28"/>
        </w:rPr>
        <w:t>（</w:t>
      </w:r>
      <w:r>
        <w:rPr>
          <w:rFonts w:ascii="Arial" w:eastAsia="仿宋" w:hAnsi="Arial" w:cs="Arial"/>
          <w:sz w:val="28"/>
        </w:rPr>
        <w:t>C</w:t>
      </w:r>
      <w:r>
        <w:rPr>
          <w:rFonts w:ascii="Arial" w:eastAsia="仿宋" w:hAnsi="Arial" w:cs="Arial"/>
          <w:sz w:val="28"/>
        </w:rPr>
        <w:t>）土地开发程度修正</w:t>
      </w:r>
    </w:p>
    <w:p w14:paraId="54A474A5" w14:textId="228471AB"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估价对象设定宗地土地开发程度为</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sidR="00835791">
        <w:rPr>
          <w:rFonts w:ascii="仿宋_GB2312" w:eastAsia="仿宋_GB2312" w:hAnsi="Arial" w:hint="eastAsia"/>
          <w:sz w:val="28"/>
        </w:rPr>
        <w:t>（通路、通上水（自来水、中水）、通下水（雨水、污水）、通电、通燃气、通热力）</w:t>
      </w:r>
      <w:r>
        <w:rPr>
          <w:rFonts w:ascii="Arial" w:eastAsia="仿宋" w:hAnsi="Arial" w:cs="Arial"/>
          <w:sz w:val="28"/>
          <w:szCs w:val="28"/>
        </w:rPr>
        <w:t>，估价对象所在区域为</w:t>
      </w:r>
      <w:r>
        <w:rPr>
          <w:rFonts w:ascii="Arial" w:eastAsia="仿宋" w:hAnsi="Arial" w:cs="Arial" w:hint="eastAsia"/>
          <w:sz w:val="28"/>
          <w:szCs w:val="28"/>
        </w:rPr>
        <w:t>九</w:t>
      </w:r>
      <w:r>
        <w:rPr>
          <w:rFonts w:ascii="Arial" w:eastAsia="仿宋" w:hAnsi="Arial" w:cs="Arial"/>
          <w:sz w:val="28"/>
          <w:szCs w:val="28"/>
        </w:rPr>
        <w:t>级地价区，级别基准地价土地开发程度为</w:t>
      </w:r>
      <w:r>
        <w:rPr>
          <w:rFonts w:ascii="Arial" w:eastAsia="仿宋" w:hAnsi="Arial" w:cs="Arial"/>
          <w:sz w:val="28"/>
          <w:szCs w:val="28"/>
        </w:rPr>
        <w:t>“</w:t>
      </w:r>
      <w:r>
        <w:rPr>
          <w:rFonts w:ascii="Arial" w:eastAsia="仿宋" w:hAnsi="Arial" w:cs="Arial"/>
          <w:sz w:val="28"/>
          <w:szCs w:val="28"/>
        </w:rPr>
        <w:t>五通一平</w:t>
      </w:r>
      <w:r>
        <w:rPr>
          <w:rFonts w:ascii="Arial" w:eastAsia="仿宋" w:hAnsi="Arial" w:cs="Arial"/>
          <w:sz w:val="28"/>
          <w:szCs w:val="28"/>
        </w:rPr>
        <w:t>”</w:t>
      </w:r>
      <w:r>
        <w:rPr>
          <w:rFonts w:ascii="Arial" w:eastAsia="仿宋" w:hAnsi="Arial" w:cs="Arial"/>
          <w:sz w:val="28"/>
          <w:szCs w:val="28"/>
        </w:rPr>
        <w:t>（即通路、通电、通上水、通下水、通</w:t>
      </w:r>
      <w:r>
        <w:rPr>
          <w:rFonts w:ascii="Arial" w:eastAsia="仿宋" w:hAnsi="Arial" w:cs="Arial" w:hint="eastAsia"/>
          <w:sz w:val="28"/>
          <w:szCs w:val="28"/>
        </w:rPr>
        <w:t>讯</w:t>
      </w:r>
      <w:r>
        <w:rPr>
          <w:rFonts w:ascii="Arial" w:eastAsia="仿宋" w:hAnsi="Arial" w:cs="Arial"/>
          <w:sz w:val="28"/>
          <w:szCs w:val="28"/>
        </w:rPr>
        <w:t>），相应用途级别平均容积率为</w:t>
      </w:r>
      <w:r>
        <w:rPr>
          <w:rFonts w:ascii="Arial" w:eastAsia="仿宋" w:hAnsi="Arial" w:cs="Arial"/>
          <w:sz w:val="28"/>
          <w:szCs w:val="28"/>
        </w:rPr>
        <w:t>2</w:t>
      </w:r>
      <w:r>
        <w:rPr>
          <w:rFonts w:ascii="Arial" w:eastAsia="仿宋" w:hAnsi="Arial" w:cs="Arial"/>
          <w:sz w:val="28"/>
          <w:szCs w:val="28"/>
        </w:rPr>
        <w:t>。估价对象设定状况与级别开发程度不一致，需进行修正。修正表如下：</w:t>
      </w:r>
    </w:p>
    <w:p w14:paraId="778B37B2" w14:textId="77777777" w:rsidR="0062768B" w:rsidRDefault="00136729">
      <w:pPr>
        <w:spacing w:line="240" w:lineRule="auto"/>
        <w:jc w:val="center"/>
        <w:rPr>
          <w:rFonts w:ascii="仿宋" w:eastAsia="仿宋" w:hAnsi="仿宋" w:cs="宋体"/>
          <w:bCs/>
          <w:color w:val="000000"/>
          <w:sz w:val="28"/>
          <w:szCs w:val="28"/>
        </w:rPr>
      </w:pPr>
      <w:r>
        <w:rPr>
          <w:rFonts w:ascii="仿宋" w:eastAsia="仿宋" w:hAnsi="仿宋" w:cs="宋体" w:hint="eastAsia"/>
          <w:bCs/>
          <w:color w:val="000000"/>
          <w:sz w:val="28"/>
          <w:szCs w:val="28"/>
        </w:rPr>
        <w:t>基础设施建设费（土地开发费）</w:t>
      </w:r>
    </w:p>
    <w:p w14:paraId="32E49C97" w14:textId="77777777" w:rsidR="0062768B" w:rsidRDefault="00136729">
      <w:pPr>
        <w:adjustRightInd/>
        <w:spacing w:line="240" w:lineRule="auto"/>
        <w:jc w:val="right"/>
        <w:rPr>
          <w:rFonts w:ascii="Arial" w:hAnsi="Arial"/>
          <w:sz w:val="21"/>
        </w:rPr>
      </w:pPr>
      <w:r>
        <w:rPr>
          <w:rFonts w:ascii="Arial" w:eastAsia="华文细黑" w:hAnsi="Arial" w:cs="宋体" w:hint="eastAsia"/>
          <w:color w:val="000000"/>
          <w:sz w:val="18"/>
          <w:szCs w:val="24"/>
        </w:rPr>
        <w:t>单位：元</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62768B" w14:paraId="24F14B5B" w14:textId="77777777">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075824E6" w14:textId="77777777" w:rsidR="0062768B" w:rsidRDefault="00136729">
            <w:pPr>
              <w:widowControl/>
              <w:adjustRightInd/>
              <w:spacing w:line="240" w:lineRule="exact"/>
              <w:ind w:firstLineChars="450" w:firstLine="945"/>
              <w:jc w:val="right"/>
              <w:textAlignment w:val="auto"/>
              <w:rPr>
                <w:rFonts w:ascii="Arial" w:eastAsia="仿宋" w:hAnsi="Arial" w:cs="Arial"/>
                <w:color w:val="000000"/>
                <w:sz w:val="21"/>
                <w:szCs w:val="21"/>
              </w:rPr>
            </w:pPr>
            <w:r>
              <w:rPr>
                <w:rFonts w:ascii="Arial" w:eastAsia="仿宋" w:hAnsi="Arial" w:cs="Arial"/>
                <w:color w:val="000000"/>
                <w:sz w:val="21"/>
                <w:szCs w:val="21"/>
              </w:rPr>
              <w:t>费用</w:t>
            </w:r>
          </w:p>
          <w:p w14:paraId="5B8C4F70" w14:textId="77777777" w:rsidR="0062768B" w:rsidRDefault="00136729">
            <w:pPr>
              <w:spacing w:line="240" w:lineRule="exact"/>
              <w:rPr>
                <w:rFonts w:ascii="Arial" w:eastAsia="仿宋" w:hAnsi="Arial" w:cs="Arial"/>
                <w:color w:val="000000"/>
                <w:sz w:val="21"/>
                <w:szCs w:val="21"/>
              </w:rPr>
            </w:pPr>
            <w:r>
              <w:rPr>
                <w:rFonts w:ascii="Arial" w:eastAsia="仿宋" w:hAnsi="Arial" w:cs="Arial"/>
                <w:color w:val="000000"/>
                <w:sz w:val="21"/>
                <w:szCs w:val="21"/>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06B42"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F8836"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095329"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83A0B"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76BEB"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411DA"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DBF39"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DBE42"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8A792"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合计</w:t>
            </w:r>
          </w:p>
        </w:tc>
      </w:tr>
      <w:tr w:rsidR="0062768B" w14:paraId="52BE9767"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4A831"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53A3C"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81938"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C31EB"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33BD2B"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CE852"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9797E"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6993C"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1710E"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B1342"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375</w:t>
            </w:r>
          </w:p>
        </w:tc>
      </w:tr>
      <w:tr w:rsidR="0062768B" w14:paraId="0B6F3F0D"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32EBE"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5378A"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0A78A"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81D17"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0F1E4"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C9F4E"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884741"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2733C"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BB0EB"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F0568"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315</w:t>
            </w:r>
          </w:p>
        </w:tc>
      </w:tr>
      <w:tr w:rsidR="0062768B" w14:paraId="55DDCDE8"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28826"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DFD03"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A02272"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65EC1"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E0F53"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E8458"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80FB8"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FCC6E"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24F7C"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0125F"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255</w:t>
            </w:r>
          </w:p>
        </w:tc>
      </w:tr>
    </w:tbl>
    <w:p w14:paraId="39311FD0" w14:textId="77777777" w:rsidR="0062768B" w:rsidRDefault="0062768B">
      <w:pPr>
        <w:widowControl/>
        <w:adjustRightInd/>
        <w:spacing w:line="240" w:lineRule="exact"/>
        <w:textAlignment w:val="auto"/>
        <w:rPr>
          <w:rFonts w:ascii="Arial" w:eastAsia="华文细黑" w:hAnsi="Arial" w:cs="宋体"/>
          <w:color w:val="000000"/>
          <w:sz w:val="18"/>
          <w:szCs w:val="24"/>
        </w:rPr>
      </w:pPr>
    </w:p>
    <w:p w14:paraId="16D98906" w14:textId="77777777" w:rsidR="004532BF" w:rsidRDefault="004532BF">
      <w:pPr>
        <w:adjustRightInd/>
        <w:snapToGrid w:val="0"/>
        <w:spacing w:line="300" w:lineRule="auto"/>
        <w:ind w:firstLineChars="200" w:firstLine="560"/>
        <w:rPr>
          <w:rFonts w:ascii="Arial" w:eastAsia="仿宋" w:hAnsi="Arial" w:cs="Arial"/>
          <w:sz w:val="28"/>
          <w:szCs w:val="28"/>
        </w:rPr>
      </w:pPr>
    </w:p>
    <w:p w14:paraId="2C9E42EF" w14:textId="719FB46C"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lastRenderedPageBreak/>
        <w:t>土地开发程度修正</w:t>
      </w:r>
    </w:p>
    <w:p w14:paraId="4E7A9288"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60+50+20+35+40+30+10</w:t>
      </w:r>
      <w:r>
        <w:rPr>
          <w:rFonts w:ascii="Arial" w:eastAsia="仿宋" w:hAnsi="Arial" w:cs="Arial" w:hint="eastAsia"/>
          <w:sz w:val="28"/>
          <w:szCs w:val="28"/>
        </w:rPr>
        <w:t>）</w:t>
      </w:r>
      <w:r>
        <w:rPr>
          <w:rFonts w:ascii="Arial" w:eastAsia="仿宋" w:hAnsi="Arial" w:cs="Arial"/>
          <w:sz w:val="28"/>
          <w:szCs w:val="28"/>
        </w:rPr>
        <w:t>-185</w:t>
      </w:r>
      <w:r>
        <w:rPr>
          <w:rFonts w:ascii="Arial" w:eastAsia="仿宋" w:hAnsi="Arial" w:cs="Arial"/>
          <w:sz w:val="28"/>
          <w:szCs w:val="28"/>
        </w:rPr>
        <w:t>）</w:t>
      </w:r>
      <w:r>
        <w:rPr>
          <w:rFonts w:ascii="Arial" w:eastAsia="仿宋" w:hAnsi="Arial" w:cs="Arial"/>
          <w:sz w:val="28"/>
          <w:szCs w:val="28"/>
        </w:rPr>
        <w:t>÷2</w:t>
      </w:r>
    </w:p>
    <w:p w14:paraId="4F543EBA"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30</w:t>
      </w:r>
      <w:r>
        <w:rPr>
          <w:rFonts w:ascii="Arial" w:eastAsia="仿宋" w:hAnsi="Arial" w:cs="Arial"/>
          <w:sz w:val="28"/>
          <w:szCs w:val="28"/>
        </w:rPr>
        <w:t>（元</w:t>
      </w:r>
      <w:r>
        <w:rPr>
          <w:rFonts w:ascii="Arial" w:eastAsia="仿宋" w:hAnsi="Arial" w:cs="Arial"/>
          <w:sz w:val="28"/>
          <w:szCs w:val="28"/>
        </w:rPr>
        <w:t>/</w:t>
      </w:r>
      <w:r>
        <w:rPr>
          <w:rFonts w:ascii="Arial" w:eastAsia="仿宋" w:hAnsi="Arial" w:cs="Arial"/>
          <w:sz w:val="28"/>
          <w:szCs w:val="28"/>
        </w:rPr>
        <w:t>平方米）</w:t>
      </w:r>
    </w:p>
    <w:p w14:paraId="6DF73ECF"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B.</w:t>
      </w:r>
      <w:r>
        <w:rPr>
          <w:rFonts w:ascii="Arial" w:eastAsia="仿宋" w:hAnsi="Arial" w:cs="Arial"/>
          <w:sz w:val="28"/>
          <w:szCs w:val="28"/>
        </w:rPr>
        <w:t>用途修正系数的确定</w:t>
      </w:r>
    </w:p>
    <w:p w14:paraId="413171DA" w14:textId="77777777" w:rsidR="0062768B" w:rsidRDefault="00136729">
      <w:pPr>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《北京市出让国有建设用地使用权基准地价更新成果》根据《土地利用现状分类》（</w:t>
      </w:r>
      <w:r>
        <w:rPr>
          <w:rFonts w:ascii="Arial" w:eastAsia="仿宋" w:hAnsi="Arial" w:cs="Arial"/>
          <w:sz w:val="28"/>
          <w:szCs w:val="28"/>
        </w:rPr>
        <w:t>GB/T21010-2007</w:t>
      </w:r>
      <w:r>
        <w:rPr>
          <w:rFonts w:ascii="Arial" w:eastAsia="仿宋" w:hAnsi="Arial" w:cs="Arial"/>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20E98C58" w14:textId="77777777" w:rsidR="0062768B" w:rsidRDefault="00136729">
      <w:pPr>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地上部分：</w:t>
      </w:r>
    </w:p>
    <w:p w14:paraId="3AB9BEC5" w14:textId="77777777" w:rsidR="0062768B" w:rsidRDefault="00136729">
      <w:pPr>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估价对象地上用途为商业</w:t>
      </w:r>
      <w:r>
        <w:rPr>
          <w:rFonts w:ascii="Arial" w:eastAsia="仿宋" w:hAnsi="Arial" w:cs="Arial"/>
          <w:sz w:val="28"/>
          <w:szCs w:val="28"/>
        </w:rPr>
        <w:t>——</w:t>
      </w:r>
      <w:r>
        <w:rPr>
          <w:rFonts w:ascii="Arial" w:eastAsia="仿宋" w:hAnsi="Arial" w:cs="Arial"/>
          <w:sz w:val="28"/>
          <w:szCs w:val="28"/>
        </w:rPr>
        <w:t>其他商服用地，需依据《北京市基准地价土地用途二级分类用地修正系数表》进行用途修正。</w:t>
      </w:r>
    </w:p>
    <w:p w14:paraId="02D86B41" w14:textId="77777777" w:rsidR="0062768B" w:rsidRDefault="00136729">
      <w:pPr>
        <w:overflowPunct w:val="0"/>
        <w:snapToGrid w:val="0"/>
        <w:spacing w:line="300" w:lineRule="auto"/>
        <w:jc w:val="center"/>
        <w:textAlignment w:val="auto"/>
        <w:rPr>
          <w:rFonts w:ascii="Arial" w:eastAsia="仿宋" w:hAnsi="Arial" w:cs="Arial"/>
          <w:bCs/>
          <w:sz w:val="28"/>
          <w:szCs w:val="28"/>
        </w:rPr>
      </w:pPr>
      <w:r>
        <w:rPr>
          <w:rFonts w:ascii="Arial" w:eastAsia="仿宋" w:hAnsi="Arial" w:cs="Arial"/>
          <w:bCs/>
          <w:sz w:val="28"/>
          <w:szCs w:val="28"/>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4"/>
        <w:gridCol w:w="1842"/>
        <w:gridCol w:w="4536"/>
        <w:gridCol w:w="1134"/>
        <w:gridCol w:w="793"/>
      </w:tblGrid>
      <w:tr w:rsidR="0062768B" w14:paraId="493829B3" w14:textId="77777777">
        <w:trPr>
          <w:cantSplit/>
          <w:tblHeader/>
          <w:jc w:val="center"/>
        </w:trPr>
        <w:tc>
          <w:tcPr>
            <w:tcW w:w="994" w:type="dxa"/>
            <w:shd w:val="clear" w:color="auto" w:fill="auto"/>
            <w:vAlign w:val="center"/>
          </w:tcPr>
          <w:p w14:paraId="43974E5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一级类</w:t>
            </w:r>
          </w:p>
        </w:tc>
        <w:tc>
          <w:tcPr>
            <w:tcW w:w="1842" w:type="dxa"/>
            <w:shd w:val="clear" w:color="auto" w:fill="auto"/>
            <w:vAlign w:val="center"/>
          </w:tcPr>
          <w:p w14:paraId="1EA6370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二级类</w:t>
            </w:r>
          </w:p>
        </w:tc>
        <w:tc>
          <w:tcPr>
            <w:tcW w:w="4536" w:type="dxa"/>
            <w:shd w:val="clear" w:color="auto" w:fill="auto"/>
            <w:vAlign w:val="center"/>
          </w:tcPr>
          <w:p w14:paraId="6998FD7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含义</w:t>
            </w:r>
          </w:p>
        </w:tc>
        <w:tc>
          <w:tcPr>
            <w:tcW w:w="1134" w:type="dxa"/>
            <w:shd w:val="clear" w:color="auto" w:fill="auto"/>
            <w:vAlign w:val="center"/>
          </w:tcPr>
          <w:p w14:paraId="2D4007A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参照基准</w:t>
            </w:r>
          </w:p>
        </w:tc>
        <w:tc>
          <w:tcPr>
            <w:tcW w:w="793" w:type="dxa"/>
            <w:shd w:val="clear" w:color="auto" w:fill="auto"/>
            <w:vAlign w:val="center"/>
          </w:tcPr>
          <w:p w14:paraId="0C73956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用途修正系数</w:t>
            </w:r>
          </w:p>
        </w:tc>
      </w:tr>
      <w:tr w:rsidR="0062768B" w14:paraId="0CF5D368" w14:textId="77777777">
        <w:trPr>
          <w:cantSplit/>
          <w:jc w:val="center"/>
        </w:trPr>
        <w:tc>
          <w:tcPr>
            <w:tcW w:w="994" w:type="dxa"/>
            <w:vMerge w:val="restart"/>
            <w:shd w:val="clear" w:color="auto" w:fill="auto"/>
            <w:noWrap/>
            <w:vAlign w:val="center"/>
          </w:tcPr>
          <w:p w14:paraId="0AA48D3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商服</w:t>
            </w:r>
          </w:p>
        </w:tc>
        <w:tc>
          <w:tcPr>
            <w:tcW w:w="1842" w:type="dxa"/>
            <w:shd w:val="clear" w:color="auto" w:fill="auto"/>
            <w:noWrap/>
            <w:vAlign w:val="center"/>
          </w:tcPr>
          <w:p w14:paraId="65CA8B5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零售商业用地</w:t>
            </w:r>
          </w:p>
        </w:tc>
        <w:tc>
          <w:tcPr>
            <w:tcW w:w="4536" w:type="dxa"/>
            <w:shd w:val="clear" w:color="auto" w:fill="auto"/>
            <w:noWrap/>
            <w:vAlign w:val="center"/>
          </w:tcPr>
          <w:p w14:paraId="265054F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指以零售功能为主的商铺、商场、超市、市场和加油、加气、</w:t>
            </w:r>
            <w:proofErr w:type="gramStart"/>
            <w:r>
              <w:rPr>
                <w:rFonts w:ascii="Arial" w:eastAsia="仿宋" w:hAnsi="Arial" w:cs="Arial"/>
                <w:sz w:val="21"/>
                <w:szCs w:val="21"/>
              </w:rPr>
              <w:t>充换电站</w:t>
            </w:r>
            <w:proofErr w:type="gramEnd"/>
            <w:r>
              <w:rPr>
                <w:rFonts w:ascii="Arial" w:eastAsia="仿宋" w:hAnsi="Arial" w:cs="Arial"/>
                <w:sz w:val="21"/>
                <w:szCs w:val="21"/>
              </w:rPr>
              <w:t>等的用地。</w:t>
            </w:r>
          </w:p>
        </w:tc>
        <w:tc>
          <w:tcPr>
            <w:tcW w:w="1134" w:type="dxa"/>
            <w:vMerge w:val="restart"/>
            <w:shd w:val="clear" w:color="auto" w:fill="auto"/>
            <w:noWrap/>
            <w:vAlign w:val="center"/>
          </w:tcPr>
          <w:p w14:paraId="72D8185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商业类</w:t>
            </w:r>
          </w:p>
        </w:tc>
        <w:tc>
          <w:tcPr>
            <w:tcW w:w="793" w:type="dxa"/>
            <w:shd w:val="clear" w:color="auto" w:fill="auto"/>
            <w:noWrap/>
            <w:vAlign w:val="center"/>
          </w:tcPr>
          <w:p w14:paraId="672B8E0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w:t>
            </w:r>
          </w:p>
        </w:tc>
      </w:tr>
      <w:tr w:rsidR="0062768B" w14:paraId="54C110EB" w14:textId="77777777">
        <w:trPr>
          <w:cantSplit/>
          <w:jc w:val="center"/>
        </w:trPr>
        <w:tc>
          <w:tcPr>
            <w:tcW w:w="994" w:type="dxa"/>
            <w:vMerge/>
            <w:shd w:val="clear" w:color="auto" w:fill="auto"/>
            <w:vAlign w:val="center"/>
          </w:tcPr>
          <w:p w14:paraId="4DBBFD38"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shd w:val="clear" w:color="auto" w:fill="auto"/>
            <w:noWrap/>
            <w:vAlign w:val="center"/>
          </w:tcPr>
          <w:p w14:paraId="3FEE2F4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批发市场用地</w:t>
            </w:r>
          </w:p>
        </w:tc>
        <w:tc>
          <w:tcPr>
            <w:tcW w:w="4536" w:type="dxa"/>
            <w:shd w:val="clear" w:color="auto" w:fill="auto"/>
            <w:noWrap/>
            <w:vAlign w:val="center"/>
          </w:tcPr>
          <w:p w14:paraId="2F9879C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指以批发功能为主的市场用地。</w:t>
            </w:r>
          </w:p>
        </w:tc>
        <w:tc>
          <w:tcPr>
            <w:tcW w:w="1134" w:type="dxa"/>
            <w:vMerge/>
            <w:shd w:val="clear" w:color="auto" w:fill="auto"/>
            <w:vAlign w:val="center"/>
          </w:tcPr>
          <w:p w14:paraId="0784AFF9" w14:textId="77777777" w:rsidR="0062768B" w:rsidRDefault="0062768B">
            <w:pPr>
              <w:widowControl/>
              <w:adjustRightInd/>
              <w:spacing w:line="240" w:lineRule="exact"/>
              <w:textAlignment w:val="auto"/>
              <w:rPr>
                <w:rFonts w:ascii="Arial" w:eastAsia="仿宋" w:hAnsi="Arial" w:cs="Arial"/>
                <w:sz w:val="21"/>
                <w:szCs w:val="21"/>
              </w:rPr>
            </w:pPr>
          </w:p>
        </w:tc>
        <w:tc>
          <w:tcPr>
            <w:tcW w:w="793" w:type="dxa"/>
            <w:shd w:val="clear" w:color="auto" w:fill="auto"/>
            <w:noWrap/>
            <w:vAlign w:val="center"/>
          </w:tcPr>
          <w:p w14:paraId="085F8D6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w:t>
            </w:r>
          </w:p>
        </w:tc>
      </w:tr>
      <w:tr w:rsidR="0062768B" w14:paraId="0B1486C8" w14:textId="77777777">
        <w:trPr>
          <w:cantSplit/>
          <w:jc w:val="center"/>
        </w:trPr>
        <w:tc>
          <w:tcPr>
            <w:tcW w:w="994" w:type="dxa"/>
            <w:vMerge/>
            <w:shd w:val="clear" w:color="auto" w:fill="auto"/>
            <w:vAlign w:val="center"/>
          </w:tcPr>
          <w:p w14:paraId="0DB2F96A"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shd w:val="clear" w:color="auto" w:fill="auto"/>
            <w:noWrap/>
            <w:vAlign w:val="center"/>
          </w:tcPr>
          <w:p w14:paraId="26171C8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餐饮用地</w:t>
            </w:r>
          </w:p>
        </w:tc>
        <w:tc>
          <w:tcPr>
            <w:tcW w:w="4536" w:type="dxa"/>
            <w:shd w:val="clear" w:color="auto" w:fill="auto"/>
            <w:noWrap/>
            <w:vAlign w:val="center"/>
          </w:tcPr>
          <w:p w14:paraId="5FADD8F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指饭店、餐厅、酒吧等用地。</w:t>
            </w:r>
          </w:p>
        </w:tc>
        <w:tc>
          <w:tcPr>
            <w:tcW w:w="1134" w:type="dxa"/>
            <w:vMerge/>
            <w:shd w:val="clear" w:color="auto" w:fill="auto"/>
            <w:vAlign w:val="center"/>
          </w:tcPr>
          <w:p w14:paraId="2B690326" w14:textId="77777777" w:rsidR="0062768B" w:rsidRDefault="0062768B">
            <w:pPr>
              <w:widowControl/>
              <w:adjustRightInd/>
              <w:spacing w:line="240" w:lineRule="exact"/>
              <w:textAlignment w:val="auto"/>
              <w:rPr>
                <w:rFonts w:ascii="Arial" w:eastAsia="仿宋" w:hAnsi="Arial" w:cs="Arial"/>
                <w:sz w:val="21"/>
                <w:szCs w:val="21"/>
              </w:rPr>
            </w:pPr>
          </w:p>
        </w:tc>
        <w:tc>
          <w:tcPr>
            <w:tcW w:w="793" w:type="dxa"/>
            <w:shd w:val="clear" w:color="auto" w:fill="auto"/>
            <w:noWrap/>
            <w:vAlign w:val="center"/>
          </w:tcPr>
          <w:p w14:paraId="76AAA1F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0.9</w:t>
            </w:r>
          </w:p>
        </w:tc>
      </w:tr>
      <w:tr w:rsidR="0062768B" w14:paraId="227F5E5C" w14:textId="77777777">
        <w:trPr>
          <w:cantSplit/>
          <w:jc w:val="center"/>
        </w:trPr>
        <w:tc>
          <w:tcPr>
            <w:tcW w:w="994" w:type="dxa"/>
            <w:vMerge/>
            <w:shd w:val="clear" w:color="auto" w:fill="auto"/>
            <w:vAlign w:val="center"/>
          </w:tcPr>
          <w:p w14:paraId="2D83587C"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shd w:val="clear" w:color="auto" w:fill="auto"/>
            <w:noWrap/>
            <w:vAlign w:val="center"/>
          </w:tcPr>
          <w:p w14:paraId="22E65ED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旅馆用地</w:t>
            </w:r>
          </w:p>
        </w:tc>
        <w:tc>
          <w:tcPr>
            <w:tcW w:w="4536" w:type="dxa"/>
            <w:shd w:val="clear" w:color="auto" w:fill="auto"/>
            <w:noWrap/>
            <w:vAlign w:val="center"/>
          </w:tcPr>
          <w:p w14:paraId="7AD251F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指宾馆、旅馆、招待所、服务型公寓、度假村等用地。</w:t>
            </w:r>
          </w:p>
        </w:tc>
        <w:tc>
          <w:tcPr>
            <w:tcW w:w="1134" w:type="dxa"/>
            <w:vMerge/>
            <w:shd w:val="clear" w:color="auto" w:fill="auto"/>
            <w:vAlign w:val="center"/>
          </w:tcPr>
          <w:p w14:paraId="719FA9CD" w14:textId="77777777" w:rsidR="0062768B" w:rsidRDefault="0062768B">
            <w:pPr>
              <w:widowControl/>
              <w:adjustRightInd/>
              <w:spacing w:line="240" w:lineRule="exact"/>
              <w:textAlignment w:val="auto"/>
              <w:rPr>
                <w:rFonts w:ascii="Arial" w:eastAsia="仿宋" w:hAnsi="Arial" w:cs="Arial"/>
                <w:sz w:val="21"/>
                <w:szCs w:val="21"/>
              </w:rPr>
            </w:pPr>
          </w:p>
        </w:tc>
        <w:tc>
          <w:tcPr>
            <w:tcW w:w="793" w:type="dxa"/>
            <w:shd w:val="clear" w:color="auto" w:fill="auto"/>
            <w:noWrap/>
            <w:vAlign w:val="center"/>
          </w:tcPr>
          <w:p w14:paraId="1542107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0.9</w:t>
            </w:r>
          </w:p>
        </w:tc>
      </w:tr>
      <w:tr w:rsidR="0062768B" w14:paraId="6B52DD6F" w14:textId="77777777">
        <w:trPr>
          <w:cantSplit/>
          <w:jc w:val="center"/>
        </w:trPr>
        <w:tc>
          <w:tcPr>
            <w:tcW w:w="994" w:type="dxa"/>
            <w:vMerge/>
            <w:shd w:val="clear" w:color="auto" w:fill="auto"/>
            <w:vAlign w:val="center"/>
          </w:tcPr>
          <w:p w14:paraId="0B53A5D3"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shd w:val="clear" w:color="auto" w:fill="auto"/>
            <w:noWrap/>
            <w:vAlign w:val="center"/>
          </w:tcPr>
          <w:p w14:paraId="230D3E2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娱乐用地</w:t>
            </w:r>
          </w:p>
        </w:tc>
        <w:tc>
          <w:tcPr>
            <w:tcW w:w="4536" w:type="dxa"/>
            <w:shd w:val="clear" w:color="auto" w:fill="auto"/>
            <w:noWrap/>
            <w:vAlign w:val="center"/>
          </w:tcPr>
          <w:p w14:paraId="4E17633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指剧院、音乐厅、电影院、歌舞厅、网吧、影视城、仿古城以及绿地率小于</w:t>
            </w:r>
            <w:r>
              <w:rPr>
                <w:rFonts w:ascii="Arial" w:eastAsia="仿宋" w:hAnsi="Arial" w:cs="Arial"/>
                <w:sz w:val="21"/>
                <w:szCs w:val="21"/>
              </w:rPr>
              <w:t xml:space="preserve">65% </w:t>
            </w:r>
            <w:r>
              <w:rPr>
                <w:rFonts w:ascii="Arial" w:eastAsia="仿宋" w:hAnsi="Arial" w:cs="Arial"/>
                <w:sz w:val="21"/>
                <w:szCs w:val="21"/>
              </w:rPr>
              <w:t>的大型游乐等设施用地。</w:t>
            </w:r>
          </w:p>
        </w:tc>
        <w:tc>
          <w:tcPr>
            <w:tcW w:w="1134" w:type="dxa"/>
            <w:vMerge/>
            <w:shd w:val="clear" w:color="auto" w:fill="auto"/>
            <w:vAlign w:val="center"/>
          </w:tcPr>
          <w:p w14:paraId="724551FF" w14:textId="77777777" w:rsidR="0062768B" w:rsidRDefault="0062768B">
            <w:pPr>
              <w:widowControl/>
              <w:adjustRightInd/>
              <w:spacing w:line="240" w:lineRule="exact"/>
              <w:textAlignment w:val="auto"/>
              <w:rPr>
                <w:rFonts w:ascii="Arial" w:eastAsia="仿宋" w:hAnsi="Arial" w:cs="Arial"/>
                <w:sz w:val="21"/>
                <w:szCs w:val="21"/>
              </w:rPr>
            </w:pPr>
          </w:p>
        </w:tc>
        <w:tc>
          <w:tcPr>
            <w:tcW w:w="793" w:type="dxa"/>
            <w:shd w:val="clear" w:color="auto" w:fill="auto"/>
            <w:noWrap/>
            <w:vAlign w:val="center"/>
          </w:tcPr>
          <w:p w14:paraId="6867A5D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0.8</w:t>
            </w:r>
          </w:p>
        </w:tc>
      </w:tr>
      <w:tr w:rsidR="0062768B" w14:paraId="2E926304" w14:textId="77777777">
        <w:trPr>
          <w:cantSplit/>
          <w:jc w:val="center"/>
        </w:trPr>
        <w:tc>
          <w:tcPr>
            <w:tcW w:w="994" w:type="dxa"/>
            <w:vMerge/>
            <w:shd w:val="clear" w:color="auto" w:fill="auto"/>
            <w:vAlign w:val="center"/>
          </w:tcPr>
          <w:p w14:paraId="6505D678"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shd w:val="clear" w:color="auto" w:fill="auto"/>
            <w:noWrap/>
            <w:vAlign w:val="center"/>
          </w:tcPr>
          <w:p w14:paraId="2C01B03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其他商服用地</w:t>
            </w:r>
          </w:p>
        </w:tc>
        <w:tc>
          <w:tcPr>
            <w:tcW w:w="4536" w:type="dxa"/>
            <w:shd w:val="clear" w:color="auto" w:fill="auto"/>
            <w:noWrap/>
            <w:vAlign w:val="center"/>
          </w:tcPr>
          <w:p w14:paraId="57D1A95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指上述用地以外的其他商业、服务业用地。</w:t>
            </w:r>
          </w:p>
        </w:tc>
        <w:tc>
          <w:tcPr>
            <w:tcW w:w="1134" w:type="dxa"/>
            <w:vMerge/>
            <w:shd w:val="clear" w:color="auto" w:fill="auto"/>
            <w:vAlign w:val="center"/>
          </w:tcPr>
          <w:p w14:paraId="215A180B" w14:textId="77777777" w:rsidR="0062768B" w:rsidRDefault="0062768B">
            <w:pPr>
              <w:widowControl/>
              <w:adjustRightInd/>
              <w:spacing w:line="240" w:lineRule="exact"/>
              <w:textAlignment w:val="auto"/>
              <w:rPr>
                <w:rFonts w:ascii="Arial" w:eastAsia="仿宋" w:hAnsi="Arial" w:cs="Arial"/>
                <w:sz w:val="21"/>
                <w:szCs w:val="21"/>
              </w:rPr>
            </w:pPr>
          </w:p>
        </w:tc>
        <w:tc>
          <w:tcPr>
            <w:tcW w:w="793" w:type="dxa"/>
            <w:shd w:val="clear" w:color="auto" w:fill="auto"/>
            <w:noWrap/>
            <w:vAlign w:val="center"/>
          </w:tcPr>
          <w:p w14:paraId="185922A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0.8</w:t>
            </w:r>
          </w:p>
        </w:tc>
      </w:tr>
      <w:tr w:rsidR="0062768B" w14:paraId="1828A2BA" w14:textId="77777777">
        <w:trPr>
          <w:cantSplit/>
          <w:jc w:val="center"/>
        </w:trPr>
        <w:tc>
          <w:tcPr>
            <w:tcW w:w="994" w:type="dxa"/>
            <w:vMerge/>
            <w:shd w:val="clear" w:color="auto" w:fill="auto"/>
            <w:noWrap/>
            <w:vAlign w:val="center"/>
          </w:tcPr>
          <w:p w14:paraId="40ED52D7"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shd w:val="clear" w:color="auto" w:fill="auto"/>
            <w:noWrap/>
            <w:vAlign w:val="center"/>
          </w:tcPr>
          <w:p w14:paraId="6B8FD96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商务金融用地</w:t>
            </w:r>
          </w:p>
        </w:tc>
        <w:tc>
          <w:tcPr>
            <w:tcW w:w="4536" w:type="dxa"/>
            <w:shd w:val="clear" w:color="auto" w:fill="auto"/>
            <w:noWrap/>
            <w:vAlign w:val="center"/>
          </w:tcPr>
          <w:p w14:paraId="0893E8F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指商务服务用地</w:t>
            </w:r>
            <w:r>
              <w:rPr>
                <w:rFonts w:ascii="Arial" w:eastAsia="仿宋" w:hAnsi="Arial" w:cs="Arial"/>
                <w:sz w:val="21"/>
                <w:szCs w:val="21"/>
              </w:rPr>
              <w:t>,</w:t>
            </w:r>
            <w:r>
              <w:rPr>
                <w:rFonts w:ascii="Arial" w:eastAsia="仿宋" w:hAnsi="Arial" w:cs="Arial"/>
                <w:sz w:val="21"/>
                <w:szCs w:val="21"/>
              </w:rPr>
              <w:t>以及经营性的办公场所用地</w:t>
            </w:r>
            <w:r>
              <w:rPr>
                <w:rFonts w:ascii="Arial" w:eastAsia="仿宋" w:hAnsi="Arial" w:cs="Arial"/>
                <w:sz w:val="21"/>
                <w:szCs w:val="21"/>
              </w:rPr>
              <w:t>,</w:t>
            </w:r>
            <w:r>
              <w:rPr>
                <w:rFonts w:ascii="Arial" w:eastAsia="仿宋" w:hAnsi="Arial" w:cs="Arial"/>
                <w:sz w:val="21"/>
                <w:szCs w:val="21"/>
              </w:rPr>
              <w:t>包括写字楼、商业性办公场所、金融活动场所和企业厂区外独立的办公场所</w:t>
            </w:r>
            <w:r>
              <w:rPr>
                <w:rFonts w:ascii="Arial" w:eastAsia="仿宋" w:hAnsi="Arial" w:cs="Arial"/>
                <w:sz w:val="21"/>
                <w:szCs w:val="21"/>
              </w:rPr>
              <w:t>;</w:t>
            </w:r>
            <w:r>
              <w:rPr>
                <w:rFonts w:ascii="Arial" w:eastAsia="仿宋" w:hAnsi="Arial" w:cs="Arial"/>
                <w:sz w:val="21"/>
                <w:szCs w:val="21"/>
              </w:rPr>
              <w:t>信息网络服务、信息技术服务、电子商务服务、广告传媒等用地。</w:t>
            </w:r>
          </w:p>
        </w:tc>
        <w:tc>
          <w:tcPr>
            <w:tcW w:w="1134" w:type="dxa"/>
            <w:shd w:val="clear" w:color="auto" w:fill="auto"/>
            <w:noWrap/>
            <w:vAlign w:val="center"/>
          </w:tcPr>
          <w:p w14:paraId="2D5DD79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办公类</w:t>
            </w:r>
          </w:p>
        </w:tc>
        <w:tc>
          <w:tcPr>
            <w:tcW w:w="793" w:type="dxa"/>
            <w:shd w:val="clear" w:color="auto" w:fill="auto"/>
            <w:noWrap/>
            <w:vAlign w:val="center"/>
          </w:tcPr>
          <w:p w14:paraId="0424F07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w:t>
            </w:r>
          </w:p>
        </w:tc>
      </w:tr>
    </w:tbl>
    <w:p w14:paraId="69F76939"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依据上表，估价对象商业用途修正系数为</w:t>
      </w:r>
      <w:r>
        <w:rPr>
          <w:rFonts w:ascii="Arial" w:eastAsia="仿宋" w:hAnsi="Arial" w:cs="Arial"/>
          <w:sz w:val="28"/>
          <w:szCs w:val="28"/>
        </w:rPr>
        <w:t>0.8</w:t>
      </w:r>
      <w:r>
        <w:rPr>
          <w:rFonts w:ascii="Arial" w:eastAsia="仿宋" w:hAnsi="Arial" w:cs="Arial"/>
          <w:sz w:val="28"/>
          <w:szCs w:val="28"/>
        </w:rPr>
        <w:t>。</w:t>
      </w:r>
    </w:p>
    <w:p w14:paraId="538C9DA0" w14:textId="77777777" w:rsidR="0062768B" w:rsidRDefault="00136729">
      <w:pPr>
        <w:adjustRightInd/>
        <w:spacing w:line="360" w:lineRule="auto"/>
        <w:ind w:firstLineChars="200" w:firstLine="560"/>
        <w:rPr>
          <w:rFonts w:ascii="Arial" w:eastAsia="仿宋" w:hAnsi="Arial" w:cs="Arial"/>
          <w:sz w:val="28"/>
          <w:szCs w:val="28"/>
        </w:rPr>
      </w:pPr>
      <w:r>
        <w:rPr>
          <w:rFonts w:ascii="Arial" w:eastAsia="仿宋" w:hAnsi="Arial" w:cs="Arial"/>
          <w:sz w:val="28"/>
          <w:szCs w:val="28"/>
        </w:rPr>
        <w:t>C.</w:t>
      </w:r>
      <w:r>
        <w:rPr>
          <w:rFonts w:ascii="Arial" w:eastAsia="仿宋" w:hAnsi="Arial" w:cs="Arial"/>
          <w:sz w:val="28"/>
          <w:szCs w:val="28"/>
        </w:rPr>
        <w:t>期日修正系数的确定</w:t>
      </w:r>
    </w:p>
    <w:p w14:paraId="5487EEDF" w14:textId="77777777" w:rsidR="0062768B" w:rsidRDefault="00136729">
      <w:pPr>
        <w:spacing w:line="360" w:lineRule="auto"/>
        <w:ind w:firstLineChars="200" w:firstLine="560"/>
        <w:jc w:val="both"/>
        <w:rPr>
          <w:rFonts w:ascii="Arial" w:eastAsia="仿宋" w:hAnsi="Arial" w:cs="Arial"/>
          <w:sz w:val="28"/>
          <w:szCs w:val="28"/>
        </w:rPr>
      </w:pPr>
      <w:r>
        <w:rPr>
          <w:rFonts w:ascii="Arial" w:eastAsia="仿宋" w:hAnsi="Arial" w:cs="Arial"/>
          <w:sz w:val="28"/>
          <w:szCs w:val="28"/>
        </w:rPr>
        <w:t>《北京市出让国有建设用地使用权基准地价更新成果（二〇二一年）》规定，基准地价期日修正系数必须以北京市地价动态监测成果公布的地价增值率为准。</w:t>
      </w:r>
    </w:p>
    <w:p w14:paraId="7DE3C27D" w14:textId="77777777" w:rsidR="0062768B" w:rsidRDefault="00136729">
      <w:pPr>
        <w:spacing w:line="360" w:lineRule="auto"/>
        <w:ind w:firstLineChars="200" w:firstLine="560"/>
        <w:rPr>
          <w:rFonts w:ascii="Arial" w:eastAsia="仿宋" w:hAnsi="Arial" w:cs="Arial"/>
          <w:sz w:val="28"/>
          <w:szCs w:val="28"/>
        </w:rPr>
      </w:pPr>
      <w:r>
        <w:rPr>
          <w:rFonts w:ascii="Arial" w:eastAsia="仿宋" w:hAnsi="Arial" w:cs="Arial"/>
          <w:sz w:val="28"/>
          <w:szCs w:val="28"/>
        </w:rPr>
        <w:t>北京市基准地价更新成果的基准日为</w:t>
      </w:r>
      <w:r>
        <w:rPr>
          <w:rFonts w:ascii="Arial" w:eastAsia="仿宋" w:hAnsi="Arial" w:cs="Arial"/>
          <w:sz w:val="28"/>
          <w:szCs w:val="28"/>
        </w:rPr>
        <w:t>2021</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日，本次评估的</w:t>
      </w:r>
      <w:r>
        <w:rPr>
          <w:rFonts w:ascii="Arial" w:eastAsia="仿宋" w:hAnsi="Arial" w:cs="Arial"/>
          <w:sz w:val="28"/>
          <w:szCs w:val="28"/>
        </w:rPr>
        <w:lastRenderedPageBreak/>
        <w:t>估价期日为</w:t>
      </w:r>
      <w:r w:rsidR="00550FB0">
        <w:rPr>
          <w:rFonts w:ascii="Arial" w:eastAsia="仿宋" w:hAnsi="Arial" w:cs="Arial"/>
          <w:sz w:val="28"/>
          <w:szCs w:val="28"/>
        </w:rPr>
        <w:t>2023</w:t>
      </w:r>
      <w:r w:rsidR="00550FB0">
        <w:rPr>
          <w:rFonts w:ascii="Arial" w:eastAsia="仿宋" w:hAnsi="Arial" w:cs="Arial"/>
          <w:sz w:val="28"/>
          <w:szCs w:val="28"/>
        </w:rPr>
        <w:t>年</w:t>
      </w:r>
      <w:r w:rsidR="00550FB0">
        <w:rPr>
          <w:rFonts w:ascii="Arial" w:eastAsia="仿宋" w:hAnsi="Arial" w:cs="Arial"/>
          <w:sz w:val="28"/>
          <w:szCs w:val="28"/>
        </w:rPr>
        <w:t>6</w:t>
      </w:r>
      <w:r w:rsidR="00550FB0">
        <w:rPr>
          <w:rFonts w:ascii="Arial" w:eastAsia="仿宋" w:hAnsi="Arial" w:cs="Arial"/>
          <w:sz w:val="28"/>
          <w:szCs w:val="28"/>
        </w:rPr>
        <w:t>月</w:t>
      </w:r>
      <w:r w:rsidR="00550FB0">
        <w:rPr>
          <w:rFonts w:ascii="Arial" w:eastAsia="仿宋" w:hAnsi="Arial" w:cs="Arial"/>
          <w:sz w:val="28"/>
          <w:szCs w:val="28"/>
        </w:rPr>
        <w:t>20</w:t>
      </w:r>
      <w:r w:rsidR="00550FB0">
        <w:rPr>
          <w:rFonts w:ascii="Arial" w:eastAsia="仿宋" w:hAnsi="Arial" w:cs="Arial"/>
          <w:sz w:val="28"/>
          <w:szCs w:val="28"/>
        </w:rPr>
        <w:t>日</w:t>
      </w:r>
      <w:r>
        <w:rPr>
          <w:rFonts w:ascii="Arial" w:eastAsia="仿宋" w:hAnsi="Arial" w:cs="Arial"/>
          <w:sz w:val="28"/>
          <w:szCs w:val="28"/>
        </w:rPr>
        <w:t>，熟地价期日修正以北京市地价动态监测成果公布的地价增长率为准：</w:t>
      </w:r>
    </w:p>
    <w:p w14:paraId="25A941AE" w14:textId="77777777" w:rsidR="0062768B" w:rsidRDefault="00136729">
      <w:pPr>
        <w:spacing w:line="240" w:lineRule="auto"/>
        <w:jc w:val="center"/>
        <w:rPr>
          <w:rFonts w:ascii="Arial" w:eastAsia="仿宋" w:hAnsi="Arial" w:cs="Arial"/>
          <w:bCs/>
          <w:sz w:val="28"/>
          <w:szCs w:val="28"/>
        </w:rPr>
      </w:pPr>
      <w:r>
        <w:rPr>
          <w:rFonts w:ascii="Arial" w:eastAsia="仿宋" w:hAnsi="Arial" w:cs="Arial"/>
          <w:bCs/>
          <w:sz w:val="28"/>
          <w:szCs w:val="28"/>
        </w:rPr>
        <w:t>北京市地价增长率（商业类）</w:t>
      </w:r>
    </w:p>
    <w:p w14:paraId="694964E2" w14:textId="77777777" w:rsidR="0062768B" w:rsidRDefault="00136729">
      <w:pPr>
        <w:adjustRightInd/>
        <w:spacing w:line="240" w:lineRule="auto"/>
        <w:jc w:val="right"/>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62768B" w14:paraId="5BB3799D" w14:textId="77777777">
        <w:trPr>
          <w:cantSplit/>
          <w:jc w:val="center"/>
        </w:trPr>
        <w:tc>
          <w:tcPr>
            <w:tcW w:w="1859" w:type="dxa"/>
            <w:tcBorders>
              <w:tl2br w:val="single" w:sz="4" w:space="0" w:color="auto"/>
            </w:tcBorders>
            <w:shd w:val="clear" w:color="auto" w:fill="auto"/>
            <w:vAlign w:val="center"/>
          </w:tcPr>
          <w:p w14:paraId="3FB0268A" w14:textId="77777777" w:rsidR="0062768B" w:rsidRDefault="00136729">
            <w:pPr>
              <w:tabs>
                <w:tab w:val="left" w:pos="2160"/>
              </w:tabs>
              <w:spacing w:line="240" w:lineRule="exact"/>
              <w:ind w:firstLineChars="450" w:firstLine="945"/>
              <w:jc w:val="right"/>
              <w:rPr>
                <w:rFonts w:ascii="Arial" w:eastAsia="仿宋" w:hAnsi="Arial" w:cs="Arial"/>
                <w:sz w:val="21"/>
                <w:szCs w:val="21"/>
              </w:rPr>
            </w:pPr>
            <w:r>
              <w:rPr>
                <w:rFonts w:ascii="Arial" w:eastAsia="仿宋" w:hAnsi="Arial" w:cs="Arial"/>
                <w:sz w:val="21"/>
                <w:szCs w:val="21"/>
              </w:rPr>
              <w:t>季度</w:t>
            </w:r>
          </w:p>
          <w:p w14:paraId="63C3604F"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年度</w:t>
            </w:r>
          </w:p>
        </w:tc>
        <w:tc>
          <w:tcPr>
            <w:tcW w:w="1860" w:type="dxa"/>
            <w:shd w:val="clear" w:color="auto" w:fill="auto"/>
            <w:vAlign w:val="center"/>
          </w:tcPr>
          <w:p w14:paraId="5952B148"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季度</w:t>
            </w:r>
          </w:p>
        </w:tc>
        <w:tc>
          <w:tcPr>
            <w:tcW w:w="1860" w:type="dxa"/>
            <w:shd w:val="clear" w:color="auto" w:fill="auto"/>
            <w:vAlign w:val="center"/>
          </w:tcPr>
          <w:p w14:paraId="5467F74A"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季度</w:t>
            </w:r>
          </w:p>
        </w:tc>
        <w:tc>
          <w:tcPr>
            <w:tcW w:w="1860" w:type="dxa"/>
            <w:shd w:val="clear" w:color="auto" w:fill="auto"/>
            <w:vAlign w:val="center"/>
          </w:tcPr>
          <w:p w14:paraId="3386AD72"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sz w:val="21"/>
                <w:szCs w:val="21"/>
              </w:rPr>
              <w:t>季度</w:t>
            </w:r>
          </w:p>
        </w:tc>
        <w:tc>
          <w:tcPr>
            <w:tcW w:w="1860" w:type="dxa"/>
            <w:shd w:val="clear" w:color="auto" w:fill="auto"/>
            <w:vAlign w:val="center"/>
          </w:tcPr>
          <w:p w14:paraId="50B8C6E7"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sz w:val="21"/>
                <w:szCs w:val="21"/>
              </w:rPr>
              <w:t>季度</w:t>
            </w:r>
          </w:p>
        </w:tc>
      </w:tr>
      <w:tr w:rsidR="0062768B" w14:paraId="414A811F" w14:textId="77777777">
        <w:trPr>
          <w:cantSplit/>
          <w:jc w:val="center"/>
        </w:trPr>
        <w:tc>
          <w:tcPr>
            <w:tcW w:w="1859" w:type="dxa"/>
            <w:shd w:val="clear" w:color="auto" w:fill="auto"/>
            <w:vAlign w:val="center"/>
          </w:tcPr>
          <w:p w14:paraId="0F4D52E1"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2021</w:t>
            </w:r>
          </w:p>
        </w:tc>
        <w:tc>
          <w:tcPr>
            <w:tcW w:w="1860" w:type="dxa"/>
            <w:shd w:val="clear" w:color="auto" w:fill="auto"/>
            <w:vAlign w:val="center"/>
          </w:tcPr>
          <w:p w14:paraId="24714939"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0.35</w:t>
            </w:r>
          </w:p>
        </w:tc>
        <w:tc>
          <w:tcPr>
            <w:tcW w:w="1860" w:type="dxa"/>
            <w:shd w:val="clear" w:color="auto" w:fill="auto"/>
            <w:vAlign w:val="center"/>
          </w:tcPr>
          <w:p w14:paraId="2912CE20"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0.55</w:t>
            </w:r>
          </w:p>
        </w:tc>
        <w:tc>
          <w:tcPr>
            <w:tcW w:w="1860" w:type="dxa"/>
            <w:shd w:val="clear" w:color="auto" w:fill="auto"/>
            <w:vAlign w:val="center"/>
          </w:tcPr>
          <w:p w14:paraId="517A60DD"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0.47</w:t>
            </w:r>
          </w:p>
        </w:tc>
        <w:tc>
          <w:tcPr>
            <w:tcW w:w="1860" w:type="dxa"/>
            <w:shd w:val="clear" w:color="auto" w:fill="auto"/>
            <w:vAlign w:val="center"/>
          </w:tcPr>
          <w:p w14:paraId="5EE2E3D0"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0.58</w:t>
            </w:r>
          </w:p>
        </w:tc>
      </w:tr>
      <w:tr w:rsidR="0062768B" w14:paraId="10D0E7DB" w14:textId="77777777">
        <w:trPr>
          <w:cantSplit/>
          <w:jc w:val="center"/>
        </w:trPr>
        <w:tc>
          <w:tcPr>
            <w:tcW w:w="1859" w:type="dxa"/>
            <w:shd w:val="clear" w:color="auto" w:fill="auto"/>
            <w:vAlign w:val="center"/>
          </w:tcPr>
          <w:p w14:paraId="624864F1"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2022</w:t>
            </w:r>
          </w:p>
        </w:tc>
        <w:tc>
          <w:tcPr>
            <w:tcW w:w="1860" w:type="dxa"/>
            <w:shd w:val="clear" w:color="auto" w:fill="auto"/>
            <w:vAlign w:val="center"/>
          </w:tcPr>
          <w:p w14:paraId="0E5553DC"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0.60</w:t>
            </w:r>
          </w:p>
        </w:tc>
        <w:tc>
          <w:tcPr>
            <w:tcW w:w="1860" w:type="dxa"/>
            <w:shd w:val="clear" w:color="auto" w:fill="auto"/>
            <w:vAlign w:val="center"/>
          </w:tcPr>
          <w:p w14:paraId="7A7EDE62"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-0.11</w:t>
            </w:r>
          </w:p>
        </w:tc>
        <w:tc>
          <w:tcPr>
            <w:tcW w:w="1860" w:type="dxa"/>
            <w:shd w:val="clear" w:color="auto" w:fill="auto"/>
            <w:vAlign w:val="center"/>
          </w:tcPr>
          <w:p w14:paraId="70265008"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0.30</w:t>
            </w:r>
          </w:p>
        </w:tc>
        <w:tc>
          <w:tcPr>
            <w:tcW w:w="1860" w:type="dxa"/>
            <w:shd w:val="clear" w:color="auto" w:fill="auto"/>
            <w:vAlign w:val="center"/>
          </w:tcPr>
          <w:p w14:paraId="08D93B9F"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0.45</w:t>
            </w:r>
          </w:p>
        </w:tc>
      </w:tr>
      <w:tr w:rsidR="0062768B" w14:paraId="526D868C" w14:textId="77777777">
        <w:trPr>
          <w:cantSplit/>
          <w:jc w:val="center"/>
        </w:trPr>
        <w:tc>
          <w:tcPr>
            <w:tcW w:w="1859" w:type="dxa"/>
            <w:shd w:val="clear" w:color="auto" w:fill="auto"/>
            <w:vAlign w:val="center"/>
          </w:tcPr>
          <w:p w14:paraId="395B6CAA"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2023</w:t>
            </w:r>
          </w:p>
        </w:tc>
        <w:tc>
          <w:tcPr>
            <w:tcW w:w="1860" w:type="dxa"/>
            <w:shd w:val="clear" w:color="auto" w:fill="auto"/>
            <w:vAlign w:val="center"/>
          </w:tcPr>
          <w:p w14:paraId="036480C4"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0.55</w:t>
            </w:r>
          </w:p>
        </w:tc>
        <w:tc>
          <w:tcPr>
            <w:tcW w:w="1860" w:type="dxa"/>
            <w:shd w:val="clear" w:color="auto" w:fill="auto"/>
            <w:vAlign w:val="center"/>
          </w:tcPr>
          <w:p w14:paraId="41AC8BDC"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w:t>
            </w:r>
          </w:p>
        </w:tc>
        <w:tc>
          <w:tcPr>
            <w:tcW w:w="1860" w:type="dxa"/>
            <w:shd w:val="clear" w:color="auto" w:fill="auto"/>
            <w:vAlign w:val="center"/>
          </w:tcPr>
          <w:p w14:paraId="137E5AA8"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w:t>
            </w:r>
          </w:p>
        </w:tc>
        <w:tc>
          <w:tcPr>
            <w:tcW w:w="1860" w:type="dxa"/>
            <w:shd w:val="clear" w:color="auto" w:fill="auto"/>
            <w:vAlign w:val="center"/>
          </w:tcPr>
          <w:p w14:paraId="71688970"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w:t>
            </w:r>
          </w:p>
        </w:tc>
      </w:tr>
    </w:tbl>
    <w:p w14:paraId="4ECF8240"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则有：</w:t>
      </w:r>
    </w:p>
    <w:p w14:paraId="09C49F7B"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期日修正系数＝（</w:t>
      </w:r>
      <w:r>
        <w:rPr>
          <w:rFonts w:ascii="Arial" w:eastAsia="仿宋" w:hAnsi="Arial" w:cs="Arial"/>
          <w:sz w:val="28"/>
          <w:szCs w:val="28"/>
        </w:rPr>
        <w:t>1+0.35%</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1+0.55%</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1+0.47%</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1+0.58%</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1+0.60%</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1-0.11%</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1+0.30%</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1+0.45%</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1+0.55%</w:t>
      </w:r>
      <w:r>
        <w:rPr>
          <w:rFonts w:ascii="Arial" w:eastAsia="仿宋" w:hAnsi="Arial" w:cs="Arial"/>
          <w:sz w:val="28"/>
          <w:szCs w:val="28"/>
        </w:rPr>
        <w:t>）</w:t>
      </w:r>
      <w:r>
        <w:rPr>
          <w:rFonts w:ascii="Arial" w:eastAsia="仿宋" w:hAnsi="Arial" w:cs="Arial"/>
          <w:sz w:val="28"/>
          <w:szCs w:val="28"/>
        </w:rPr>
        <w:t>=1.0380</w:t>
      </w:r>
    </w:p>
    <w:p w14:paraId="5726D712" w14:textId="77777777" w:rsidR="0062768B" w:rsidRDefault="00136729">
      <w:pPr>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D.</w:t>
      </w:r>
      <w:r>
        <w:rPr>
          <w:rFonts w:ascii="Arial" w:eastAsia="仿宋" w:hAnsi="Arial" w:cs="Arial"/>
          <w:sz w:val="28"/>
          <w:szCs w:val="28"/>
        </w:rPr>
        <w:t>年期修正系数的确定</w:t>
      </w:r>
    </w:p>
    <w:p w14:paraId="0815BFE2" w14:textId="77777777" w:rsidR="0062768B" w:rsidRDefault="00136729">
      <w:pPr>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年期修正系数＝（</w:t>
      </w:r>
      <w:r>
        <w:rPr>
          <w:rFonts w:ascii="Arial" w:eastAsia="仿宋" w:hAnsi="Arial" w:cs="Arial"/>
          <w:sz w:val="28"/>
          <w:szCs w:val="28"/>
        </w:rPr>
        <w:t>1-1÷</w:t>
      </w:r>
      <w:r>
        <w:rPr>
          <w:rFonts w:ascii="Arial" w:eastAsia="仿宋" w:hAnsi="Arial" w:cs="Arial"/>
          <w:sz w:val="28"/>
          <w:szCs w:val="28"/>
        </w:rPr>
        <w:t>（</w:t>
      </w:r>
      <w:r>
        <w:rPr>
          <w:rFonts w:ascii="Arial" w:eastAsia="仿宋" w:hAnsi="Arial" w:cs="Arial"/>
          <w:sz w:val="28"/>
          <w:szCs w:val="28"/>
        </w:rPr>
        <w:t>1</w:t>
      </w:r>
      <w:r>
        <w:rPr>
          <w:rFonts w:ascii="Arial" w:eastAsia="仿宋" w:hAnsi="Arial" w:cs="Arial"/>
          <w:sz w:val="28"/>
          <w:szCs w:val="28"/>
        </w:rPr>
        <w:t>＋</w:t>
      </w:r>
      <w:r>
        <w:rPr>
          <w:rFonts w:ascii="Arial" w:eastAsia="仿宋" w:hAnsi="Arial" w:cs="Arial"/>
          <w:sz w:val="28"/>
          <w:szCs w:val="28"/>
        </w:rPr>
        <w:t>r</w:t>
      </w:r>
      <w:r>
        <w:rPr>
          <w:rFonts w:ascii="Arial" w:eastAsia="仿宋" w:hAnsi="Arial" w:cs="Arial"/>
          <w:sz w:val="28"/>
          <w:szCs w:val="28"/>
        </w:rPr>
        <w:t>）</w:t>
      </w:r>
      <w:r>
        <w:rPr>
          <w:rFonts w:ascii="Arial" w:eastAsia="仿宋" w:hAnsi="Arial" w:cs="Arial"/>
          <w:sz w:val="28"/>
          <w:szCs w:val="28"/>
          <w:vertAlign w:val="superscript"/>
        </w:rPr>
        <w:t>n</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1-1÷</w:t>
      </w:r>
      <w:r>
        <w:rPr>
          <w:rFonts w:ascii="Arial" w:eastAsia="仿宋" w:hAnsi="Arial" w:cs="Arial"/>
          <w:sz w:val="28"/>
          <w:szCs w:val="28"/>
        </w:rPr>
        <w:t>（</w:t>
      </w:r>
      <w:r>
        <w:rPr>
          <w:rFonts w:ascii="Arial" w:eastAsia="仿宋" w:hAnsi="Arial" w:cs="Arial"/>
          <w:sz w:val="28"/>
          <w:szCs w:val="28"/>
        </w:rPr>
        <w:t>1</w:t>
      </w:r>
      <w:r>
        <w:rPr>
          <w:rFonts w:ascii="Arial" w:eastAsia="仿宋" w:hAnsi="Arial" w:cs="Arial"/>
          <w:sz w:val="28"/>
          <w:szCs w:val="28"/>
        </w:rPr>
        <w:t>＋</w:t>
      </w:r>
      <w:r>
        <w:rPr>
          <w:rFonts w:ascii="Arial" w:eastAsia="仿宋" w:hAnsi="Arial" w:cs="Arial"/>
          <w:sz w:val="28"/>
          <w:szCs w:val="28"/>
        </w:rPr>
        <w:t>r</w:t>
      </w:r>
      <w:r>
        <w:rPr>
          <w:rFonts w:ascii="Arial" w:eastAsia="仿宋" w:hAnsi="Arial" w:cs="Arial"/>
          <w:sz w:val="28"/>
          <w:szCs w:val="28"/>
        </w:rPr>
        <w:t>）</w:t>
      </w:r>
      <w:r>
        <w:rPr>
          <w:rFonts w:ascii="Arial" w:eastAsia="仿宋" w:hAnsi="Arial" w:cs="Arial"/>
          <w:sz w:val="28"/>
          <w:szCs w:val="28"/>
          <w:vertAlign w:val="superscript"/>
        </w:rPr>
        <w:t>N</w:t>
      </w:r>
      <w:r>
        <w:rPr>
          <w:rFonts w:ascii="Arial" w:eastAsia="仿宋" w:hAnsi="Arial" w:cs="Arial"/>
          <w:sz w:val="28"/>
          <w:szCs w:val="28"/>
        </w:rPr>
        <w:t>）</w:t>
      </w:r>
    </w:p>
    <w:p w14:paraId="456EFB9F" w14:textId="77777777" w:rsidR="0062768B" w:rsidRDefault="00136729">
      <w:pPr>
        <w:autoSpaceDE w:val="0"/>
        <w:autoSpaceDN w:val="0"/>
        <w:snapToGrid w:val="0"/>
        <w:spacing w:line="300" w:lineRule="auto"/>
        <w:ind w:firstLineChars="200" w:firstLine="560"/>
        <w:textAlignment w:val="auto"/>
        <w:rPr>
          <w:rFonts w:ascii="Arial" w:eastAsia="仿宋" w:hAnsi="Arial" w:cs="Arial"/>
          <w:sz w:val="28"/>
          <w:szCs w:val="28"/>
        </w:rPr>
      </w:pPr>
      <w:r>
        <w:rPr>
          <w:rFonts w:ascii="Arial" w:eastAsia="仿宋" w:hAnsi="Arial" w:cs="Arial"/>
          <w:sz w:val="28"/>
          <w:szCs w:val="28"/>
        </w:rPr>
        <w:t>其中：</w:t>
      </w:r>
      <w:r>
        <w:rPr>
          <w:rFonts w:ascii="Arial" w:eastAsia="仿宋" w:hAnsi="Arial" w:cs="Arial"/>
          <w:sz w:val="28"/>
          <w:szCs w:val="28"/>
        </w:rPr>
        <w:t>r</w:t>
      </w:r>
      <w:proofErr w:type="gramStart"/>
      <w:r>
        <w:rPr>
          <w:rFonts w:ascii="Arial" w:eastAsia="仿宋" w:hAnsi="Arial" w:cs="Arial"/>
          <w:sz w:val="28"/>
          <w:szCs w:val="28"/>
        </w:rPr>
        <w:t>—</w:t>
      </w:r>
      <w:r>
        <w:rPr>
          <w:rFonts w:ascii="Arial" w:eastAsia="仿宋" w:hAnsi="Arial" w:cs="Arial"/>
          <w:sz w:val="28"/>
          <w:szCs w:val="28"/>
        </w:rPr>
        <w:t>土地</w:t>
      </w:r>
      <w:proofErr w:type="gramEnd"/>
      <w:r>
        <w:rPr>
          <w:rFonts w:ascii="Arial" w:eastAsia="仿宋" w:hAnsi="Arial" w:cs="Arial"/>
          <w:sz w:val="28"/>
          <w:szCs w:val="28"/>
        </w:rPr>
        <w:t>还原率</w:t>
      </w:r>
    </w:p>
    <w:p w14:paraId="4DB7D748" w14:textId="77777777" w:rsidR="0062768B" w:rsidRDefault="00136729">
      <w:pPr>
        <w:autoSpaceDE w:val="0"/>
        <w:autoSpaceDN w:val="0"/>
        <w:snapToGrid w:val="0"/>
        <w:spacing w:line="300" w:lineRule="auto"/>
        <w:ind w:firstLineChars="500" w:firstLine="1400"/>
        <w:textAlignment w:val="auto"/>
        <w:rPr>
          <w:rFonts w:ascii="Arial" w:eastAsia="仿宋" w:hAnsi="Arial" w:cs="Arial"/>
          <w:sz w:val="28"/>
          <w:szCs w:val="28"/>
        </w:rPr>
      </w:pPr>
      <w:r>
        <w:rPr>
          <w:rFonts w:ascii="Arial" w:eastAsia="仿宋" w:hAnsi="Arial" w:cs="Arial"/>
          <w:sz w:val="28"/>
          <w:szCs w:val="28"/>
        </w:rPr>
        <w:t>n—</w:t>
      </w:r>
      <w:r>
        <w:rPr>
          <w:rFonts w:ascii="Arial" w:eastAsia="仿宋" w:hAnsi="Arial" w:cs="Arial"/>
          <w:sz w:val="28"/>
          <w:szCs w:val="28"/>
        </w:rPr>
        <w:t>宗地剩余土地使用年限</w:t>
      </w:r>
    </w:p>
    <w:p w14:paraId="20CABACD" w14:textId="77777777" w:rsidR="0062768B" w:rsidRDefault="00136729">
      <w:pPr>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sz w:val="28"/>
          <w:szCs w:val="28"/>
        </w:rPr>
        <w:t>基准地价规定的相应用途土地使用年限</w:t>
      </w:r>
    </w:p>
    <w:p w14:paraId="1C6D158E"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商业、办公、居住、工业、公共服务用途的土地还原率原则上按同期中国人民银行公布的一年</w:t>
      </w:r>
      <w:proofErr w:type="gramStart"/>
      <w:r>
        <w:rPr>
          <w:rFonts w:ascii="Arial" w:eastAsia="仿宋" w:hAnsi="Arial" w:cs="Arial"/>
          <w:sz w:val="28"/>
          <w:szCs w:val="28"/>
        </w:rPr>
        <w:t>期贷</w:t>
      </w:r>
      <w:proofErr w:type="gramEnd"/>
      <w:r>
        <w:rPr>
          <w:rFonts w:ascii="Arial" w:eastAsia="仿宋" w:hAnsi="Arial" w:cs="Arial"/>
          <w:sz w:val="28"/>
          <w:szCs w:val="28"/>
        </w:rPr>
        <w:t>款利率分别上浮</w:t>
      </w:r>
      <w:r>
        <w:rPr>
          <w:rFonts w:ascii="Arial" w:eastAsia="仿宋" w:hAnsi="Arial" w:cs="Arial"/>
          <w:sz w:val="28"/>
          <w:szCs w:val="28"/>
        </w:rPr>
        <w:t>25</w:t>
      </w:r>
      <w:r>
        <w:rPr>
          <w:rFonts w:ascii="Arial" w:eastAsia="仿宋" w:hAnsi="Arial" w:cs="Arial"/>
          <w:sz w:val="28"/>
          <w:szCs w:val="28"/>
        </w:rPr>
        <w:t>％、</w:t>
      </w:r>
      <w:r>
        <w:rPr>
          <w:rFonts w:ascii="Arial" w:eastAsia="仿宋" w:hAnsi="Arial" w:cs="Arial"/>
          <w:sz w:val="28"/>
          <w:szCs w:val="28"/>
        </w:rPr>
        <w:t>20</w:t>
      </w:r>
      <w:r>
        <w:rPr>
          <w:rFonts w:ascii="Arial" w:eastAsia="仿宋" w:hAnsi="Arial" w:cs="Arial"/>
          <w:sz w:val="28"/>
          <w:szCs w:val="28"/>
        </w:rPr>
        <w:t>％、</w:t>
      </w:r>
      <w:r>
        <w:rPr>
          <w:rFonts w:ascii="Arial" w:eastAsia="仿宋" w:hAnsi="Arial" w:cs="Arial"/>
          <w:sz w:val="28"/>
          <w:szCs w:val="28"/>
        </w:rPr>
        <w:t>15</w:t>
      </w:r>
      <w:r>
        <w:rPr>
          <w:rFonts w:ascii="Arial" w:eastAsia="仿宋" w:hAnsi="Arial" w:cs="Arial"/>
          <w:sz w:val="28"/>
          <w:szCs w:val="28"/>
        </w:rPr>
        <w:t>％、</w:t>
      </w:r>
      <w:r>
        <w:rPr>
          <w:rFonts w:ascii="Arial" w:eastAsia="仿宋" w:hAnsi="Arial" w:cs="Arial"/>
          <w:sz w:val="28"/>
          <w:szCs w:val="28"/>
        </w:rPr>
        <w:t>10</w:t>
      </w:r>
      <w:r>
        <w:rPr>
          <w:rFonts w:ascii="Arial" w:eastAsia="仿宋" w:hAnsi="Arial" w:cs="Arial"/>
          <w:sz w:val="28"/>
          <w:szCs w:val="28"/>
        </w:rPr>
        <w:t>％、</w:t>
      </w:r>
      <w:r>
        <w:rPr>
          <w:rFonts w:ascii="Arial" w:eastAsia="仿宋" w:hAnsi="Arial" w:cs="Arial"/>
          <w:sz w:val="28"/>
          <w:szCs w:val="28"/>
        </w:rPr>
        <w:t>15</w:t>
      </w:r>
      <w:r>
        <w:rPr>
          <w:rFonts w:ascii="Arial" w:eastAsia="仿宋" w:hAnsi="Arial" w:cs="Arial"/>
          <w:sz w:val="28"/>
          <w:szCs w:val="28"/>
        </w:rPr>
        <w:t>％确定，且须分别不低于</w:t>
      </w:r>
      <w:r>
        <w:rPr>
          <w:rFonts w:ascii="Arial" w:eastAsia="仿宋" w:hAnsi="Arial" w:cs="Arial"/>
          <w:sz w:val="28"/>
          <w:szCs w:val="28"/>
        </w:rPr>
        <w:t>5.5</w:t>
      </w:r>
      <w:r>
        <w:rPr>
          <w:rFonts w:ascii="Arial" w:eastAsia="仿宋" w:hAnsi="Arial" w:cs="Arial"/>
          <w:sz w:val="28"/>
          <w:szCs w:val="28"/>
        </w:rPr>
        <w:t>％、</w:t>
      </w:r>
      <w:r>
        <w:rPr>
          <w:rFonts w:ascii="Arial" w:eastAsia="仿宋" w:hAnsi="Arial" w:cs="Arial"/>
          <w:sz w:val="28"/>
          <w:szCs w:val="28"/>
        </w:rPr>
        <w:t>5.5</w:t>
      </w:r>
      <w:r>
        <w:rPr>
          <w:rFonts w:ascii="Arial" w:eastAsia="仿宋" w:hAnsi="Arial" w:cs="Arial"/>
          <w:sz w:val="28"/>
          <w:szCs w:val="28"/>
        </w:rPr>
        <w:t>％、</w:t>
      </w:r>
      <w:r>
        <w:rPr>
          <w:rFonts w:ascii="Arial" w:eastAsia="仿宋" w:hAnsi="Arial" w:cs="Arial"/>
          <w:sz w:val="28"/>
          <w:szCs w:val="28"/>
        </w:rPr>
        <w:t>5</w:t>
      </w:r>
      <w:r>
        <w:rPr>
          <w:rFonts w:ascii="Arial" w:eastAsia="仿宋" w:hAnsi="Arial" w:cs="Arial"/>
          <w:sz w:val="28"/>
          <w:szCs w:val="28"/>
        </w:rPr>
        <w:t>％、</w:t>
      </w:r>
      <w:r>
        <w:rPr>
          <w:rFonts w:ascii="Arial" w:eastAsia="仿宋" w:hAnsi="Arial" w:cs="Arial"/>
          <w:sz w:val="28"/>
          <w:szCs w:val="28"/>
        </w:rPr>
        <w:t>5</w:t>
      </w:r>
      <w:r>
        <w:rPr>
          <w:rFonts w:ascii="Arial" w:eastAsia="仿宋" w:hAnsi="Arial" w:cs="Arial"/>
          <w:sz w:val="28"/>
          <w:szCs w:val="28"/>
        </w:rPr>
        <w:t>％、</w:t>
      </w:r>
      <w:r>
        <w:rPr>
          <w:rFonts w:ascii="Arial" w:eastAsia="仿宋" w:hAnsi="Arial" w:cs="Arial"/>
          <w:sz w:val="28"/>
          <w:szCs w:val="28"/>
        </w:rPr>
        <w:t>5</w:t>
      </w:r>
      <w:r>
        <w:rPr>
          <w:rFonts w:ascii="Arial" w:eastAsia="仿宋" w:hAnsi="Arial" w:cs="Arial"/>
          <w:sz w:val="28"/>
          <w:szCs w:val="28"/>
        </w:rPr>
        <w:t>％，不高于</w:t>
      </w:r>
      <w:r>
        <w:rPr>
          <w:rFonts w:ascii="Arial" w:eastAsia="仿宋" w:hAnsi="Arial" w:cs="Arial"/>
          <w:sz w:val="28"/>
          <w:szCs w:val="28"/>
        </w:rPr>
        <w:t>6.5</w:t>
      </w:r>
      <w:r>
        <w:rPr>
          <w:rFonts w:ascii="Arial" w:eastAsia="仿宋" w:hAnsi="Arial" w:cs="Arial"/>
          <w:sz w:val="28"/>
          <w:szCs w:val="28"/>
        </w:rPr>
        <w:t>％、</w:t>
      </w:r>
      <w:r>
        <w:rPr>
          <w:rFonts w:ascii="Arial" w:eastAsia="仿宋" w:hAnsi="Arial" w:cs="Arial"/>
          <w:sz w:val="28"/>
          <w:szCs w:val="28"/>
        </w:rPr>
        <w:t>6.5</w:t>
      </w:r>
      <w:r>
        <w:rPr>
          <w:rFonts w:ascii="Arial" w:eastAsia="仿宋" w:hAnsi="Arial" w:cs="Arial"/>
          <w:sz w:val="28"/>
          <w:szCs w:val="28"/>
        </w:rPr>
        <w:t>％、</w:t>
      </w:r>
      <w:r>
        <w:rPr>
          <w:rFonts w:ascii="Arial" w:eastAsia="仿宋" w:hAnsi="Arial" w:cs="Arial"/>
          <w:sz w:val="28"/>
          <w:szCs w:val="28"/>
        </w:rPr>
        <w:t>6</w:t>
      </w:r>
      <w:r>
        <w:rPr>
          <w:rFonts w:ascii="Arial" w:eastAsia="仿宋" w:hAnsi="Arial" w:cs="Arial"/>
          <w:sz w:val="28"/>
          <w:szCs w:val="28"/>
        </w:rPr>
        <w:t>％、</w:t>
      </w:r>
      <w:r>
        <w:rPr>
          <w:rFonts w:ascii="Arial" w:eastAsia="仿宋" w:hAnsi="Arial" w:cs="Arial"/>
          <w:sz w:val="28"/>
          <w:szCs w:val="28"/>
        </w:rPr>
        <w:t>6</w:t>
      </w:r>
      <w:r>
        <w:rPr>
          <w:rFonts w:ascii="Arial" w:eastAsia="仿宋" w:hAnsi="Arial" w:cs="Arial"/>
          <w:sz w:val="28"/>
          <w:szCs w:val="28"/>
        </w:rPr>
        <w:t>％、</w:t>
      </w:r>
      <w:r>
        <w:rPr>
          <w:rFonts w:ascii="Arial" w:eastAsia="仿宋" w:hAnsi="Arial" w:cs="Arial"/>
          <w:sz w:val="28"/>
          <w:szCs w:val="28"/>
        </w:rPr>
        <w:t>6</w:t>
      </w:r>
      <w:r>
        <w:rPr>
          <w:rFonts w:ascii="Arial" w:eastAsia="仿宋" w:hAnsi="Arial" w:cs="Arial"/>
          <w:sz w:val="28"/>
          <w:szCs w:val="28"/>
        </w:rPr>
        <w:t>％。估价对象用途为商业，现行一年</w:t>
      </w:r>
      <w:proofErr w:type="gramStart"/>
      <w:r>
        <w:rPr>
          <w:rFonts w:ascii="Arial" w:eastAsia="仿宋" w:hAnsi="Arial" w:cs="Arial"/>
          <w:sz w:val="28"/>
          <w:szCs w:val="28"/>
        </w:rPr>
        <w:t>期贷</w:t>
      </w:r>
      <w:proofErr w:type="gramEnd"/>
      <w:r>
        <w:rPr>
          <w:rFonts w:ascii="Arial" w:eastAsia="仿宋" w:hAnsi="Arial" w:cs="Arial"/>
          <w:sz w:val="28"/>
          <w:szCs w:val="28"/>
        </w:rPr>
        <w:t>款利率（</w:t>
      </w:r>
      <w:r>
        <w:rPr>
          <w:rFonts w:ascii="Arial" w:eastAsia="仿宋" w:hAnsi="Arial" w:cs="Arial"/>
          <w:sz w:val="28"/>
          <w:szCs w:val="28"/>
        </w:rPr>
        <w:t>2015</w:t>
      </w:r>
      <w:r>
        <w:rPr>
          <w:rFonts w:ascii="Arial" w:eastAsia="仿宋" w:hAnsi="Arial" w:cs="Arial"/>
          <w:sz w:val="28"/>
          <w:szCs w:val="28"/>
        </w:rPr>
        <w:t>年</w:t>
      </w:r>
      <w:r>
        <w:rPr>
          <w:rFonts w:ascii="Arial" w:eastAsia="仿宋" w:hAnsi="Arial" w:cs="Arial"/>
          <w:sz w:val="28"/>
          <w:szCs w:val="28"/>
        </w:rPr>
        <w:t>10</w:t>
      </w:r>
      <w:r>
        <w:rPr>
          <w:rFonts w:ascii="Arial" w:eastAsia="仿宋" w:hAnsi="Arial" w:cs="Arial"/>
          <w:sz w:val="28"/>
          <w:szCs w:val="28"/>
        </w:rPr>
        <w:t>月</w:t>
      </w:r>
      <w:r>
        <w:rPr>
          <w:rFonts w:ascii="Arial" w:eastAsia="仿宋" w:hAnsi="Arial" w:cs="Arial"/>
          <w:sz w:val="28"/>
          <w:szCs w:val="28"/>
        </w:rPr>
        <w:t>24</w:t>
      </w:r>
      <w:r>
        <w:rPr>
          <w:rFonts w:ascii="Arial" w:eastAsia="仿宋" w:hAnsi="Arial" w:cs="Arial"/>
          <w:sz w:val="28"/>
          <w:szCs w:val="28"/>
        </w:rPr>
        <w:t>日公布）为</w:t>
      </w:r>
      <w:r>
        <w:rPr>
          <w:rFonts w:ascii="Arial" w:eastAsia="仿宋" w:hAnsi="Arial" w:cs="Arial"/>
          <w:sz w:val="28"/>
          <w:szCs w:val="28"/>
        </w:rPr>
        <w:t>4.35%</w:t>
      </w:r>
      <w:r>
        <w:rPr>
          <w:rFonts w:ascii="Arial" w:eastAsia="仿宋" w:hAnsi="Arial" w:cs="Arial"/>
          <w:sz w:val="28"/>
          <w:szCs w:val="28"/>
        </w:rPr>
        <w:t>，按照上述利率计算得出的土地还原率为</w:t>
      </w:r>
      <w:r>
        <w:rPr>
          <w:rFonts w:ascii="Arial" w:eastAsia="仿宋" w:hAnsi="Arial" w:cs="Arial"/>
          <w:sz w:val="28"/>
          <w:szCs w:val="28"/>
        </w:rPr>
        <w:t>5.5%</w:t>
      </w:r>
      <w:r>
        <w:rPr>
          <w:rFonts w:ascii="Arial" w:eastAsia="仿宋" w:hAnsi="Arial" w:cs="Arial"/>
          <w:sz w:val="28"/>
          <w:szCs w:val="28"/>
        </w:rPr>
        <w:t>，低于所要求的</w:t>
      </w:r>
      <w:proofErr w:type="gramStart"/>
      <w:r>
        <w:rPr>
          <w:rFonts w:ascii="Arial" w:eastAsia="仿宋" w:hAnsi="Arial" w:cs="Arial"/>
          <w:sz w:val="28"/>
          <w:szCs w:val="28"/>
        </w:rPr>
        <w:t>的</w:t>
      </w:r>
      <w:proofErr w:type="gramEnd"/>
      <w:r>
        <w:rPr>
          <w:rFonts w:ascii="Arial" w:eastAsia="仿宋" w:hAnsi="Arial" w:cs="Arial"/>
          <w:sz w:val="28"/>
          <w:szCs w:val="28"/>
        </w:rPr>
        <w:t>最低值。故土地还原率取</w:t>
      </w:r>
      <w:r>
        <w:rPr>
          <w:rFonts w:ascii="Arial" w:eastAsia="仿宋" w:hAnsi="Arial" w:cs="Arial" w:hint="eastAsia"/>
          <w:sz w:val="28"/>
          <w:szCs w:val="28"/>
        </w:rPr>
        <w:t>商业</w:t>
      </w:r>
      <w:r>
        <w:rPr>
          <w:rFonts w:ascii="Arial" w:eastAsia="仿宋" w:hAnsi="Arial" w:cs="Arial"/>
          <w:sz w:val="28"/>
          <w:szCs w:val="28"/>
        </w:rPr>
        <w:t>用途最低值</w:t>
      </w:r>
      <w:r>
        <w:rPr>
          <w:rFonts w:ascii="Arial" w:eastAsia="仿宋" w:hAnsi="Arial" w:cs="Arial"/>
          <w:sz w:val="28"/>
          <w:szCs w:val="28"/>
        </w:rPr>
        <w:t>5.5%</w:t>
      </w:r>
      <w:r>
        <w:rPr>
          <w:rFonts w:ascii="Arial" w:eastAsia="仿宋" w:hAnsi="Arial" w:cs="Arial"/>
          <w:sz w:val="28"/>
          <w:szCs w:val="28"/>
        </w:rPr>
        <w:t>。</w:t>
      </w:r>
    </w:p>
    <w:p w14:paraId="1FE09C37"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估价对象剩余土地使用年限为</w:t>
      </w:r>
      <w:r>
        <w:rPr>
          <w:rFonts w:ascii="Arial" w:eastAsia="仿宋" w:hAnsi="Arial" w:cs="Arial"/>
          <w:sz w:val="28"/>
          <w:szCs w:val="28"/>
        </w:rPr>
        <w:t>40</w:t>
      </w:r>
      <w:r>
        <w:rPr>
          <w:rFonts w:ascii="Arial" w:eastAsia="仿宋" w:hAnsi="Arial" w:cs="Arial"/>
          <w:sz w:val="28"/>
          <w:szCs w:val="28"/>
        </w:rPr>
        <w:t>年，商业用途法定用途最高出让年限为</w:t>
      </w:r>
      <w:r>
        <w:rPr>
          <w:rFonts w:ascii="Arial" w:eastAsia="仿宋" w:hAnsi="Arial" w:cs="Arial"/>
          <w:sz w:val="28"/>
          <w:szCs w:val="28"/>
        </w:rPr>
        <w:t>40</w:t>
      </w:r>
      <w:r>
        <w:rPr>
          <w:rFonts w:ascii="Arial" w:eastAsia="仿宋" w:hAnsi="Arial" w:cs="Arial"/>
          <w:sz w:val="28"/>
          <w:szCs w:val="28"/>
        </w:rPr>
        <w:t>年，故不做修正。</w:t>
      </w:r>
    </w:p>
    <w:p w14:paraId="06D5A33B" w14:textId="77777777" w:rsidR="0062768B" w:rsidRDefault="00136729">
      <w:pPr>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E.</w:t>
      </w:r>
      <w:r>
        <w:rPr>
          <w:rFonts w:ascii="Arial" w:eastAsia="仿宋" w:hAnsi="Arial" w:cs="Arial"/>
          <w:sz w:val="28"/>
          <w:szCs w:val="28"/>
        </w:rPr>
        <w:t>容积率修正系数的确定</w:t>
      </w:r>
    </w:p>
    <w:p w14:paraId="4CE3B938"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依据《北京市基准地价容积率修正系数表（商业类）》（详见下表）。</w:t>
      </w:r>
    </w:p>
    <w:p w14:paraId="38D78103" w14:textId="77777777" w:rsidR="004532BF" w:rsidRDefault="004532BF">
      <w:pPr>
        <w:adjustRightInd/>
        <w:snapToGrid w:val="0"/>
        <w:spacing w:line="300" w:lineRule="auto"/>
        <w:ind w:firstLineChars="200" w:firstLine="560"/>
        <w:jc w:val="center"/>
        <w:rPr>
          <w:rFonts w:ascii="Arial" w:eastAsia="仿宋" w:hAnsi="Arial" w:cs="Arial"/>
          <w:bCs/>
          <w:sz w:val="28"/>
          <w:szCs w:val="28"/>
        </w:rPr>
      </w:pPr>
    </w:p>
    <w:p w14:paraId="5EF2CCD8" w14:textId="77777777" w:rsidR="004532BF" w:rsidRDefault="004532BF">
      <w:pPr>
        <w:adjustRightInd/>
        <w:snapToGrid w:val="0"/>
        <w:spacing w:line="300" w:lineRule="auto"/>
        <w:ind w:firstLineChars="200" w:firstLine="560"/>
        <w:jc w:val="center"/>
        <w:rPr>
          <w:rFonts w:ascii="Arial" w:eastAsia="仿宋" w:hAnsi="Arial" w:cs="Arial"/>
          <w:bCs/>
          <w:sz w:val="28"/>
          <w:szCs w:val="28"/>
        </w:rPr>
      </w:pPr>
    </w:p>
    <w:p w14:paraId="33C918B7" w14:textId="77777777" w:rsidR="004532BF" w:rsidRDefault="004532BF">
      <w:pPr>
        <w:adjustRightInd/>
        <w:snapToGrid w:val="0"/>
        <w:spacing w:line="300" w:lineRule="auto"/>
        <w:ind w:firstLineChars="200" w:firstLine="560"/>
        <w:jc w:val="center"/>
        <w:rPr>
          <w:rFonts w:ascii="Arial" w:eastAsia="仿宋" w:hAnsi="Arial" w:cs="Arial"/>
          <w:bCs/>
          <w:sz w:val="28"/>
          <w:szCs w:val="28"/>
        </w:rPr>
      </w:pPr>
    </w:p>
    <w:p w14:paraId="57456851" w14:textId="23A95FB3" w:rsidR="0062768B" w:rsidRDefault="00136729">
      <w:pPr>
        <w:adjustRightInd/>
        <w:snapToGrid w:val="0"/>
        <w:spacing w:line="300" w:lineRule="auto"/>
        <w:ind w:firstLineChars="200" w:firstLine="560"/>
        <w:jc w:val="center"/>
        <w:rPr>
          <w:rFonts w:ascii="Arial" w:eastAsia="仿宋" w:hAnsi="Arial" w:cs="Arial"/>
          <w:sz w:val="28"/>
          <w:szCs w:val="28"/>
        </w:rPr>
      </w:pPr>
      <w:r>
        <w:rPr>
          <w:rFonts w:ascii="Arial" w:eastAsia="仿宋" w:hAnsi="Arial" w:cs="Arial"/>
          <w:bCs/>
          <w:sz w:val="28"/>
          <w:szCs w:val="28"/>
        </w:rPr>
        <w:t>北京市基准地价容积率修正系数表（商业）</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79"/>
        <w:gridCol w:w="1098"/>
        <w:gridCol w:w="1253"/>
        <w:gridCol w:w="1253"/>
        <w:gridCol w:w="1179"/>
        <w:gridCol w:w="979"/>
        <w:gridCol w:w="1179"/>
        <w:gridCol w:w="1179"/>
      </w:tblGrid>
      <w:tr w:rsidR="0062768B" w14:paraId="087DF9E6" w14:textId="77777777">
        <w:trPr>
          <w:cantSplit/>
          <w:tblHeader/>
          <w:jc w:val="center"/>
        </w:trPr>
        <w:tc>
          <w:tcPr>
            <w:tcW w:w="1179" w:type="dxa"/>
            <w:shd w:val="clear" w:color="auto" w:fill="auto"/>
            <w:noWrap/>
            <w:vAlign w:val="center"/>
          </w:tcPr>
          <w:p w14:paraId="1CBFD68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lastRenderedPageBreak/>
              <w:t>容积率</w:t>
            </w:r>
          </w:p>
        </w:tc>
        <w:tc>
          <w:tcPr>
            <w:tcW w:w="1098" w:type="dxa"/>
            <w:shd w:val="clear" w:color="auto" w:fill="auto"/>
            <w:noWrap/>
            <w:vAlign w:val="center"/>
          </w:tcPr>
          <w:p w14:paraId="0694B5A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1-2</w:t>
            </w:r>
            <w:r>
              <w:rPr>
                <w:rFonts w:ascii="Arial" w:eastAsia="仿宋" w:hAnsi="Arial" w:cs="Arial"/>
                <w:sz w:val="20"/>
              </w:rPr>
              <w:t>级</w:t>
            </w:r>
          </w:p>
        </w:tc>
        <w:tc>
          <w:tcPr>
            <w:tcW w:w="1253" w:type="dxa"/>
            <w:shd w:val="clear" w:color="auto" w:fill="auto"/>
            <w:vAlign w:val="center"/>
          </w:tcPr>
          <w:p w14:paraId="1208C61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3-7</w:t>
            </w:r>
            <w:r>
              <w:rPr>
                <w:rFonts w:ascii="Arial" w:eastAsia="仿宋" w:hAnsi="Arial" w:cs="Arial"/>
                <w:sz w:val="20"/>
              </w:rPr>
              <w:t>级</w:t>
            </w:r>
          </w:p>
        </w:tc>
        <w:tc>
          <w:tcPr>
            <w:tcW w:w="1253" w:type="dxa"/>
            <w:shd w:val="clear" w:color="auto" w:fill="auto"/>
            <w:vAlign w:val="center"/>
          </w:tcPr>
          <w:p w14:paraId="75A5449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8-12</w:t>
            </w:r>
            <w:r>
              <w:rPr>
                <w:rFonts w:ascii="Arial" w:eastAsia="仿宋" w:hAnsi="Arial" w:cs="Arial"/>
                <w:sz w:val="20"/>
              </w:rPr>
              <w:t>级</w:t>
            </w:r>
          </w:p>
        </w:tc>
        <w:tc>
          <w:tcPr>
            <w:tcW w:w="1179" w:type="dxa"/>
            <w:shd w:val="clear" w:color="auto" w:fill="auto"/>
            <w:noWrap/>
            <w:vAlign w:val="center"/>
          </w:tcPr>
          <w:p w14:paraId="6044361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容积率</w:t>
            </w:r>
          </w:p>
        </w:tc>
        <w:tc>
          <w:tcPr>
            <w:tcW w:w="979" w:type="dxa"/>
            <w:shd w:val="clear" w:color="auto" w:fill="auto"/>
            <w:noWrap/>
            <w:vAlign w:val="center"/>
          </w:tcPr>
          <w:p w14:paraId="33DBA18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1-2</w:t>
            </w:r>
            <w:r>
              <w:rPr>
                <w:rFonts w:ascii="Arial" w:eastAsia="仿宋" w:hAnsi="Arial" w:cs="Arial"/>
                <w:sz w:val="20"/>
              </w:rPr>
              <w:t>级</w:t>
            </w:r>
          </w:p>
        </w:tc>
        <w:tc>
          <w:tcPr>
            <w:tcW w:w="1179" w:type="dxa"/>
            <w:shd w:val="clear" w:color="auto" w:fill="auto"/>
            <w:vAlign w:val="center"/>
          </w:tcPr>
          <w:p w14:paraId="0BD00F4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3-7</w:t>
            </w:r>
            <w:r>
              <w:rPr>
                <w:rFonts w:ascii="Arial" w:eastAsia="仿宋" w:hAnsi="Arial" w:cs="Arial"/>
                <w:sz w:val="20"/>
              </w:rPr>
              <w:t>级</w:t>
            </w:r>
          </w:p>
        </w:tc>
        <w:tc>
          <w:tcPr>
            <w:tcW w:w="1179" w:type="dxa"/>
            <w:shd w:val="clear" w:color="auto" w:fill="auto"/>
            <w:vAlign w:val="center"/>
          </w:tcPr>
          <w:p w14:paraId="47E71E3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8-12</w:t>
            </w:r>
            <w:r>
              <w:rPr>
                <w:rFonts w:ascii="Arial" w:eastAsia="仿宋" w:hAnsi="Arial" w:cs="Arial"/>
                <w:sz w:val="20"/>
              </w:rPr>
              <w:t>级</w:t>
            </w:r>
          </w:p>
        </w:tc>
      </w:tr>
      <w:tr w:rsidR="0062768B" w14:paraId="214F69ED" w14:textId="77777777">
        <w:trPr>
          <w:cantSplit/>
          <w:jc w:val="center"/>
        </w:trPr>
        <w:tc>
          <w:tcPr>
            <w:tcW w:w="1179" w:type="dxa"/>
            <w:shd w:val="clear" w:color="auto" w:fill="auto"/>
            <w:noWrap/>
            <w:vAlign w:val="center"/>
          </w:tcPr>
          <w:p w14:paraId="63E8939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1.0 </w:t>
            </w:r>
          </w:p>
        </w:tc>
        <w:tc>
          <w:tcPr>
            <w:tcW w:w="1098" w:type="dxa"/>
            <w:shd w:val="clear" w:color="auto" w:fill="auto"/>
            <w:noWrap/>
            <w:vAlign w:val="center"/>
          </w:tcPr>
          <w:p w14:paraId="6C72FA0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1.2574</w:t>
            </w:r>
          </w:p>
        </w:tc>
        <w:tc>
          <w:tcPr>
            <w:tcW w:w="1253" w:type="dxa"/>
            <w:shd w:val="clear" w:color="auto" w:fill="auto"/>
            <w:noWrap/>
            <w:vAlign w:val="center"/>
          </w:tcPr>
          <w:p w14:paraId="11EF714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1.2299</w:t>
            </w:r>
          </w:p>
        </w:tc>
        <w:tc>
          <w:tcPr>
            <w:tcW w:w="1253" w:type="dxa"/>
            <w:shd w:val="clear" w:color="auto" w:fill="auto"/>
            <w:noWrap/>
            <w:vAlign w:val="center"/>
          </w:tcPr>
          <w:p w14:paraId="29DA9A2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1.2333</w:t>
            </w:r>
          </w:p>
        </w:tc>
        <w:tc>
          <w:tcPr>
            <w:tcW w:w="1179" w:type="dxa"/>
            <w:shd w:val="clear" w:color="auto" w:fill="auto"/>
            <w:vAlign w:val="center"/>
          </w:tcPr>
          <w:p w14:paraId="425965D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5.5 </w:t>
            </w:r>
          </w:p>
        </w:tc>
        <w:tc>
          <w:tcPr>
            <w:tcW w:w="979" w:type="dxa"/>
            <w:shd w:val="clear" w:color="auto" w:fill="auto"/>
            <w:noWrap/>
            <w:vAlign w:val="center"/>
          </w:tcPr>
          <w:p w14:paraId="7AA503D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0.9498</w:t>
            </w:r>
          </w:p>
        </w:tc>
        <w:tc>
          <w:tcPr>
            <w:tcW w:w="1179" w:type="dxa"/>
            <w:shd w:val="clear" w:color="auto" w:fill="auto"/>
            <w:noWrap/>
            <w:vAlign w:val="center"/>
          </w:tcPr>
          <w:p w14:paraId="2790DF9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0.8963</w:t>
            </w:r>
          </w:p>
        </w:tc>
        <w:tc>
          <w:tcPr>
            <w:tcW w:w="1179" w:type="dxa"/>
            <w:shd w:val="clear" w:color="auto" w:fill="auto"/>
            <w:noWrap/>
            <w:vAlign w:val="center"/>
          </w:tcPr>
          <w:p w14:paraId="7BDE7C3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0.7883</w:t>
            </w:r>
          </w:p>
        </w:tc>
      </w:tr>
      <w:tr w:rsidR="0062768B" w14:paraId="4457E0B8" w14:textId="77777777">
        <w:trPr>
          <w:cantSplit/>
          <w:jc w:val="center"/>
        </w:trPr>
        <w:tc>
          <w:tcPr>
            <w:tcW w:w="1179" w:type="dxa"/>
            <w:shd w:val="clear" w:color="auto" w:fill="auto"/>
            <w:noWrap/>
            <w:vAlign w:val="center"/>
          </w:tcPr>
          <w:p w14:paraId="7E9F61F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1.1 </w:t>
            </w:r>
          </w:p>
        </w:tc>
        <w:tc>
          <w:tcPr>
            <w:tcW w:w="1098" w:type="dxa"/>
            <w:shd w:val="clear" w:color="auto" w:fill="auto"/>
            <w:noWrap/>
            <w:vAlign w:val="center"/>
          </w:tcPr>
          <w:p w14:paraId="437E3BC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1.2284</w:t>
            </w:r>
          </w:p>
        </w:tc>
        <w:tc>
          <w:tcPr>
            <w:tcW w:w="1253" w:type="dxa"/>
            <w:shd w:val="clear" w:color="auto" w:fill="auto"/>
            <w:noWrap/>
            <w:vAlign w:val="center"/>
          </w:tcPr>
          <w:p w14:paraId="5CC78B9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1.1985</w:t>
            </w:r>
          </w:p>
        </w:tc>
        <w:tc>
          <w:tcPr>
            <w:tcW w:w="1253" w:type="dxa"/>
            <w:shd w:val="clear" w:color="auto" w:fill="auto"/>
            <w:noWrap/>
            <w:vAlign w:val="center"/>
          </w:tcPr>
          <w:p w14:paraId="6E4230C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1.1899</w:t>
            </w:r>
          </w:p>
        </w:tc>
        <w:tc>
          <w:tcPr>
            <w:tcW w:w="1179" w:type="dxa"/>
            <w:shd w:val="clear" w:color="auto" w:fill="auto"/>
            <w:vAlign w:val="center"/>
          </w:tcPr>
          <w:p w14:paraId="7C576E0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5.6 </w:t>
            </w:r>
          </w:p>
        </w:tc>
        <w:tc>
          <w:tcPr>
            <w:tcW w:w="979" w:type="dxa"/>
            <w:shd w:val="clear" w:color="auto" w:fill="auto"/>
            <w:noWrap/>
            <w:vAlign w:val="center"/>
          </w:tcPr>
          <w:p w14:paraId="41260ED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0.948</w:t>
            </w:r>
          </w:p>
        </w:tc>
        <w:tc>
          <w:tcPr>
            <w:tcW w:w="1179" w:type="dxa"/>
            <w:shd w:val="clear" w:color="auto" w:fill="auto"/>
            <w:noWrap/>
            <w:vAlign w:val="center"/>
          </w:tcPr>
          <w:p w14:paraId="6C141C6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0.8939</w:t>
            </w:r>
          </w:p>
        </w:tc>
        <w:tc>
          <w:tcPr>
            <w:tcW w:w="1179" w:type="dxa"/>
            <w:shd w:val="clear" w:color="auto" w:fill="auto"/>
            <w:noWrap/>
            <w:vAlign w:val="center"/>
          </w:tcPr>
          <w:p w14:paraId="5A92948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0.7847</w:t>
            </w:r>
          </w:p>
        </w:tc>
      </w:tr>
      <w:tr w:rsidR="0062768B" w14:paraId="077B785A" w14:textId="77777777">
        <w:trPr>
          <w:cantSplit/>
          <w:jc w:val="center"/>
        </w:trPr>
        <w:tc>
          <w:tcPr>
            <w:tcW w:w="1179" w:type="dxa"/>
            <w:shd w:val="clear" w:color="auto" w:fill="auto"/>
            <w:noWrap/>
            <w:vAlign w:val="center"/>
          </w:tcPr>
          <w:p w14:paraId="7A54D41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1.2 </w:t>
            </w:r>
          </w:p>
        </w:tc>
        <w:tc>
          <w:tcPr>
            <w:tcW w:w="1098" w:type="dxa"/>
            <w:shd w:val="clear" w:color="auto" w:fill="auto"/>
            <w:noWrap/>
            <w:vAlign w:val="center"/>
          </w:tcPr>
          <w:p w14:paraId="2359BA7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1.2031</w:t>
            </w:r>
          </w:p>
        </w:tc>
        <w:tc>
          <w:tcPr>
            <w:tcW w:w="1253" w:type="dxa"/>
            <w:shd w:val="clear" w:color="auto" w:fill="auto"/>
            <w:noWrap/>
            <w:vAlign w:val="center"/>
          </w:tcPr>
          <w:p w14:paraId="4452688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1.1711</w:t>
            </w:r>
          </w:p>
        </w:tc>
        <w:tc>
          <w:tcPr>
            <w:tcW w:w="1253" w:type="dxa"/>
            <w:shd w:val="clear" w:color="auto" w:fill="auto"/>
            <w:noWrap/>
            <w:vAlign w:val="center"/>
          </w:tcPr>
          <w:p w14:paraId="2880D6F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1.1528</w:t>
            </w:r>
          </w:p>
        </w:tc>
        <w:tc>
          <w:tcPr>
            <w:tcW w:w="1179" w:type="dxa"/>
            <w:shd w:val="clear" w:color="auto" w:fill="auto"/>
            <w:vAlign w:val="center"/>
          </w:tcPr>
          <w:p w14:paraId="71C385F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5.7 </w:t>
            </w:r>
          </w:p>
        </w:tc>
        <w:tc>
          <w:tcPr>
            <w:tcW w:w="979" w:type="dxa"/>
            <w:shd w:val="clear" w:color="auto" w:fill="auto"/>
            <w:noWrap/>
            <w:vAlign w:val="center"/>
          </w:tcPr>
          <w:p w14:paraId="74F826F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0.9462</w:t>
            </w:r>
          </w:p>
        </w:tc>
        <w:tc>
          <w:tcPr>
            <w:tcW w:w="1179" w:type="dxa"/>
            <w:shd w:val="clear" w:color="auto" w:fill="auto"/>
            <w:noWrap/>
            <w:vAlign w:val="center"/>
          </w:tcPr>
          <w:p w14:paraId="6EFB5C2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0.8915</w:t>
            </w:r>
          </w:p>
        </w:tc>
        <w:tc>
          <w:tcPr>
            <w:tcW w:w="1179" w:type="dxa"/>
            <w:shd w:val="clear" w:color="auto" w:fill="auto"/>
            <w:noWrap/>
            <w:vAlign w:val="center"/>
          </w:tcPr>
          <w:p w14:paraId="3C0ADAD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0.7811</w:t>
            </w:r>
          </w:p>
        </w:tc>
      </w:tr>
      <w:tr w:rsidR="0062768B" w14:paraId="3A02C6A1" w14:textId="77777777">
        <w:trPr>
          <w:cantSplit/>
          <w:jc w:val="center"/>
        </w:trPr>
        <w:tc>
          <w:tcPr>
            <w:tcW w:w="1179" w:type="dxa"/>
            <w:shd w:val="clear" w:color="auto" w:fill="auto"/>
            <w:noWrap/>
            <w:vAlign w:val="center"/>
          </w:tcPr>
          <w:p w14:paraId="26C4D84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1.3 </w:t>
            </w:r>
          </w:p>
        </w:tc>
        <w:tc>
          <w:tcPr>
            <w:tcW w:w="1098" w:type="dxa"/>
            <w:shd w:val="clear" w:color="auto" w:fill="auto"/>
            <w:noWrap/>
            <w:vAlign w:val="center"/>
          </w:tcPr>
          <w:p w14:paraId="68AA15D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1.1811</w:t>
            </w:r>
          </w:p>
        </w:tc>
        <w:tc>
          <w:tcPr>
            <w:tcW w:w="1253" w:type="dxa"/>
            <w:shd w:val="clear" w:color="auto" w:fill="auto"/>
            <w:noWrap/>
            <w:vAlign w:val="center"/>
          </w:tcPr>
          <w:p w14:paraId="601521E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1.1472</w:t>
            </w:r>
          </w:p>
        </w:tc>
        <w:tc>
          <w:tcPr>
            <w:tcW w:w="1253" w:type="dxa"/>
            <w:shd w:val="clear" w:color="auto" w:fill="auto"/>
            <w:noWrap/>
            <w:vAlign w:val="center"/>
          </w:tcPr>
          <w:p w14:paraId="25C2E00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1.1214</w:t>
            </w:r>
          </w:p>
        </w:tc>
        <w:tc>
          <w:tcPr>
            <w:tcW w:w="1179" w:type="dxa"/>
            <w:shd w:val="clear" w:color="auto" w:fill="auto"/>
            <w:vAlign w:val="center"/>
          </w:tcPr>
          <w:p w14:paraId="401A4EF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5.8 </w:t>
            </w:r>
          </w:p>
        </w:tc>
        <w:tc>
          <w:tcPr>
            <w:tcW w:w="979" w:type="dxa"/>
            <w:shd w:val="clear" w:color="auto" w:fill="auto"/>
            <w:noWrap/>
            <w:vAlign w:val="center"/>
          </w:tcPr>
          <w:p w14:paraId="4C53C6A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0.9445</w:t>
            </w:r>
          </w:p>
        </w:tc>
        <w:tc>
          <w:tcPr>
            <w:tcW w:w="1179" w:type="dxa"/>
            <w:shd w:val="clear" w:color="auto" w:fill="auto"/>
            <w:noWrap/>
            <w:vAlign w:val="center"/>
          </w:tcPr>
          <w:p w14:paraId="44F7B5C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0.8892</w:t>
            </w:r>
          </w:p>
        </w:tc>
        <w:tc>
          <w:tcPr>
            <w:tcW w:w="1179" w:type="dxa"/>
            <w:shd w:val="clear" w:color="auto" w:fill="auto"/>
            <w:noWrap/>
            <w:vAlign w:val="center"/>
          </w:tcPr>
          <w:p w14:paraId="6E04677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0.7776</w:t>
            </w:r>
          </w:p>
        </w:tc>
      </w:tr>
      <w:tr w:rsidR="0062768B" w14:paraId="39405622" w14:textId="77777777">
        <w:trPr>
          <w:cantSplit/>
          <w:jc w:val="center"/>
        </w:trPr>
        <w:tc>
          <w:tcPr>
            <w:tcW w:w="1179" w:type="dxa"/>
            <w:shd w:val="clear" w:color="auto" w:fill="auto"/>
            <w:noWrap/>
            <w:vAlign w:val="center"/>
          </w:tcPr>
          <w:p w14:paraId="178AEC8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1.4 </w:t>
            </w:r>
          </w:p>
        </w:tc>
        <w:tc>
          <w:tcPr>
            <w:tcW w:w="1098" w:type="dxa"/>
            <w:shd w:val="clear" w:color="auto" w:fill="auto"/>
            <w:noWrap/>
            <w:vAlign w:val="center"/>
          </w:tcPr>
          <w:p w14:paraId="47A0A8F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1.162</w:t>
            </w:r>
          </w:p>
        </w:tc>
        <w:tc>
          <w:tcPr>
            <w:tcW w:w="1253" w:type="dxa"/>
            <w:shd w:val="clear" w:color="auto" w:fill="auto"/>
            <w:noWrap/>
            <w:vAlign w:val="center"/>
          </w:tcPr>
          <w:p w14:paraId="797E24B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1.1265</w:t>
            </w:r>
          </w:p>
        </w:tc>
        <w:tc>
          <w:tcPr>
            <w:tcW w:w="1253" w:type="dxa"/>
            <w:shd w:val="clear" w:color="auto" w:fill="auto"/>
            <w:noWrap/>
            <w:vAlign w:val="center"/>
          </w:tcPr>
          <w:p w14:paraId="7752F09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1.0948</w:t>
            </w:r>
          </w:p>
        </w:tc>
        <w:tc>
          <w:tcPr>
            <w:tcW w:w="1179" w:type="dxa"/>
            <w:shd w:val="clear" w:color="auto" w:fill="auto"/>
            <w:vAlign w:val="center"/>
          </w:tcPr>
          <w:p w14:paraId="43E4E3F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5.9 </w:t>
            </w:r>
          </w:p>
        </w:tc>
        <w:tc>
          <w:tcPr>
            <w:tcW w:w="979" w:type="dxa"/>
            <w:shd w:val="clear" w:color="auto" w:fill="auto"/>
            <w:noWrap/>
            <w:vAlign w:val="center"/>
          </w:tcPr>
          <w:p w14:paraId="3F095D9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0.9428</w:t>
            </w:r>
          </w:p>
        </w:tc>
        <w:tc>
          <w:tcPr>
            <w:tcW w:w="1179" w:type="dxa"/>
            <w:shd w:val="clear" w:color="auto" w:fill="auto"/>
            <w:noWrap/>
            <w:vAlign w:val="center"/>
          </w:tcPr>
          <w:p w14:paraId="6558E0F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0.8869</w:t>
            </w:r>
          </w:p>
        </w:tc>
        <w:tc>
          <w:tcPr>
            <w:tcW w:w="1179" w:type="dxa"/>
            <w:shd w:val="clear" w:color="auto" w:fill="auto"/>
            <w:noWrap/>
            <w:vAlign w:val="center"/>
          </w:tcPr>
          <w:p w14:paraId="1DBB65E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0.7741</w:t>
            </w:r>
          </w:p>
        </w:tc>
      </w:tr>
      <w:tr w:rsidR="0062768B" w14:paraId="11F0168B" w14:textId="77777777">
        <w:trPr>
          <w:cantSplit/>
          <w:jc w:val="center"/>
        </w:trPr>
        <w:tc>
          <w:tcPr>
            <w:tcW w:w="1179" w:type="dxa"/>
            <w:shd w:val="clear" w:color="auto" w:fill="auto"/>
            <w:noWrap/>
            <w:vAlign w:val="center"/>
          </w:tcPr>
          <w:p w14:paraId="743537A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1.5 </w:t>
            </w:r>
          </w:p>
        </w:tc>
        <w:tc>
          <w:tcPr>
            <w:tcW w:w="1098" w:type="dxa"/>
            <w:shd w:val="clear" w:color="auto" w:fill="auto"/>
            <w:noWrap/>
            <w:vAlign w:val="center"/>
          </w:tcPr>
          <w:p w14:paraId="38A60C8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1.1453</w:t>
            </w:r>
          </w:p>
        </w:tc>
        <w:tc>
          <w:tcPr>
            <w:tcW w:w="1253" w:type="dxa"/>
            <w:shd w:val="clear" w:color="auto" w:fill="auto"/>
            <w:noWrap/>
            <w:vAlign w:val="center"/>
          </w:tcPr>
          <w:p w14:paraId="553BED9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1.1084</w:t>
            </w:r>
          </w:p>
        </w:tc>
        <w:tc>
          <w:tcPr>
            <w:tcW w:w="1253" w:type="dxa"/>
            <w:shd w:val="clear" w:color="auto" w:fill="auto"/>
            <w:noWrap/>
            <w:vAlign w:val="center"/>
          </w:tcPr>
          <w:p w14:paraId="7715889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1.0725</w:t>
            </w:r>
          </w:p>
        </w:tc>
        <w:tc>
          <w:tcPr>
            <w:tcW w:w="1179" w:type="dxa"/>
            <w:shd w:val="clear" w:color="auto" w:fill="auto"/>
            <w:vAlign w:val="center"/>
          </w:tcPr>
          <w:p w14:paraId="1025526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6.0 </w:t>
            </w:r>
          </w:p>
        </w:tc>
        <w:tc>
          <w:tcPr>
            <w:tcW w:w="979" w:type="dxa"/>
            <w:shd w:val="clear" w:color="auto" w:fill="auto"/>
            <w:noWrap/>
            <w:vAlign w:val="center"/>
          </w:tcPr>
          <w:p w14:paraId="02D6517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0.9411</w:t>
            </w:r>
          </w:p>
        </w:tc>
        <w:tc>
          <w:tcPr>
            <w:tcW w:w="1179" w:type="dxa"/>
            <w:shd w:val="clear" w:color="auto" w:fill="auto"/>
            <w:noWrap/>
            <w:vAlign w:val="center"/>
          </w:tcPr>
          <w:p w14:paraId="73012B1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0.8846</w:t>
            </w:r>
          </w:p>
        </w:tc>
        <w:tc>
          <w:tcPr>
            <w:tcW w:w="1179" w:type="dxa"/>
            <w:shd w:val="clear" w:color="auto" w:fill="auto"/>
            <w:noWrap/>
            <w:vAlign w:val="center"/>
          </w:tcPr>
          <w:p w14:paraId="0EDEBC7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0.7707</w:t>
            </w:r>
          </w:p>
        </w:tc>
      </w:tr>
      <w:tr w:rsidR="0062768B" w14:paraId="6D1051D4" w14:textId="77777777">
        <w:trPr>
          <w:cantSplit/>
          <w:jc w:val="center"/>
        </w:trPr>
        <w:tc>
          <w:tcPr>
            <w:tcW w:w="1179" w:type="dxa"/>
            <w:shd w:val="clear" w:color="auto" w:fill="auto"/>
            <w:noWrap/>
            <w:vAlign w:val="center"/>
          </w:tcPr>
          <w:p w14:paraId="429D7DA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1.6 </w:t>
            </w:r>
          </w:p>
        </w:tc>
        <w:tc>
          <w:tcPr>
            <w:tcW w:w="1098" w:type="dxa"/>
            <w:shd w:val="clear" w:color="auto" w:fill="auto"/>
            <w:noWrap/>
            <w:vAlign w:val="center"/>
          </w:tcPr>
          <w:p w14:paraId="2EEA617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1.1306</w:t>
            </w:r>
          </w:p>
        </w:tc>
        <w:tc>
          <w:tcPr>
            <w:tcW w:w="1253" w:type="dxa"/>
            <w:shd w:val="clear" w:color="auto" w:fill="auto"/>
            <w:noWrap/>
            <w:vAlign w:val="center"/>
          </w:tcPr>
          <w:p w14:paraId="70AAA88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1.0924</w:t>
            </w:r>
          </w:p>
        </w:tc>
        <w:tc>
          <w:tcPr>
            <w:tcW w:w="1253" w:type="dxa"/>
            <w:shd w:val="clear" w:color="auto" w:fill="auto"/>
            <w:noWrap/>
            <w:vAlign w:val="center"/>
          </w:tcPr>
          <w:p w14:paraId="5E0F9AF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1.0538</w:t>
            </w:r>
          </w:p>
        </w:tc>
        <w:tc>
          <w:tcPr>
            <w:tcW w:w="1179" w:type="dxa"/>
            <w:shd w:val="clear" w:color="auto" w:fill="auto"/>
            <w:vAlign w:val="center"/>
          </w:tcPr>
          <w:p w14:paraId="17B87C1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6.1 </w:t>
            </w:r>
          </w:p>
        </w:tc>
        <w:tc>
          <w:tcPr>
            <w:tcW w:w="979" w:type="dxa"/>
            <w:shd w:val="clear" w:color="auto" w:fill="auto"/>
            <w:noWrap/>
            <w:vAlign w:val="center"/>
          </w:tcPr>
          <w:p w14:paraId="1B7DB5C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0.9394</w:t>
            </w:r>
          </w:p>
        </w:tc>
        <w:tc>
          <w:tcPr>
            <w:tcW w:w="1179" w:type="dxa"/>
            <w:shd w:val="clear" w:color="auto" w:fill="auto"/>
            <w:noWrap/>
            <w:vAlign w:val="center"/>
          </w:tcPr>
          <w:p w14:paraId="40B3864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0.8823</w:t>
            </w:r>
          </w:p>
        </w:tc>
        <w:tc>
          <w:tcPr>
            <w:tcW w:w="1179" w:type="dxa"/>
            <w:shd w:val="clear" w:color="auto" w:fill="auto"/>
            <w:noWrap/>
            <w:vAlign w:val="center"/>
          </w:tcPr>
          <w:p w14:paraId="4234579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0.7673</w:t>
            </w:r>
          </w:p>
        </w:tc>
      </w:tr>
      <w:tr w:rsidR="0062768B" w14:paraId="4423B9F1" w14:textId="77777777">
        <w:trPr>
          <w:cantSplit/>
          <w:jc w:val="center"/>
        </w:trPr>
        <w:tc>
          <w:tcPr>
            <w:tcW w:w="1179" w:type="dxa"/>
            <w:shd w:val="clear" w:color="auto" w:fill="auto"/>
            <w:noWrap/>
            <w:vAlign w:val="center"/>
          </w:tcPr>
          <w:p w14:paraId="2620316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1.7 </w:t>
            </w:r>
          </w:p>
        </w:tc>
        <w:tc>
          <w:tcPr>
            <w:tcW w:w="1098" w:type="dxa"/>
            <w:shd w:val="clear" w:color="auto" w:fill="auto"/>
            <w:noWrap/>
            <w:vAlign w:val="center"/>
          </w:tcPr>
          <w:p w14:paraId="3C13C17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1.1176</w:t>
            </w:r>
          </w:p>
        </w:tc>
        <w:tc>
          <w:tcPr>
            <w:tcW w:w="1253" w:type="dxa"/>
            <w:shd w:val="clear" w:color="auto" w:fill="auto"/>
            <w:noWrap/>
            <w:vAlign w:val="center"/>
          </w:tcPr>
          <w:p w14:paraId="5CF0C60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1.0783</w:t>
            </w:r>
          </w:p>
        </w:tc>
        <w:tc>
          <w:tcPr>
            <w:tcW w:w="1253" w:type="dxa"/>
            <w:shd w:val="clear" w:color="auto" w:fill="auto"/>
            <w:noWrap/>
            <w:vAlign w:val="center"/>
          </w:tcPr>
          <w:p w14:paraId="1BEA847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1.0379</w:t>
            </w:r>
          </w:p>
        </w:tc>
        <w:tc>
          <w:tcPr>
            <w:tcW w:w="1179" w:type="dxa"/>
            <w:shd w:val="clear" w:color="auto" w:fill="auto"/>
            <w:vAlign w:val="center"/>
          </w:tcPr>
          <w:p w14:paraId="0EE8955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6.2 </w:t>
            </w:r>
          </w:p>
        </w:tc>
        <w:tc>
          <w:tcPr>
            <w:tcW w:w="979" w:type="dxa"/>
            <w:shd w:val="clear" w:color="auto" w:fill="auto"/>
            <w:noWrap/>
            <w:vAlign w:val="center"/>
          </w:tcPr>
          <w:p w14:paraId="0BB6B2E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0.9377</w:t>
            </w:r>
          </w:p>
        </w:tc>
        <w:tc>
          <w:tcPr>
            <w:tcW w:w="1179" w:type="dxa"/>
            <w:shd w:val="clear" w:color="auto" w:fill="auto"/>
            <w:noWrap/>
            <w:vAlign w:val="center"/>
          </w:tcPr>
          <w:p w14:paraId="7AF92E0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w:t>
            </w:r>
          </w:p>
        </w:tc>
        <w:tc>
          <w:tcPr>
            <w:tcW w:w="1179" w:type="dxa"/>
            <w:shd w:val="clear" w:color="auto" w:fill="auto"/>
            <w:noWrap/>
            <w:vAlign w:val="center"/>
          </w:tcPr>
          <w:p w14:paraId="446725D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0.764</w:t>
            </w:r>
          </w:p>
        </w:tc>
      </w:tr>
      <w:tr w:rsidR="0062768B" w14:paraId="1154F989" w14:textId="77777777">
        <w:trPr>
          <w:cantSplit/>
          <w:jc w:val="center"/>
        </w:trPr>
        <w:tc>
          <w:tcPr>
            <w:tcW w:w="1179" w:type="dxa"/>
            <w:shd w:val="clear" w:color="auto" w:fill="auto"/>
            <w:noWrap/>
            <w:vAlign w:val="center"/>
          </w:tcPr>
          <w:p w14:paraId="29A130A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1.8 </w:t>
            </w:r>
          </w:p>
        </w:tc>
        <w:tc>
          <w:tcPr>
            <w:tcW w:w="1098" w:type="dxa"/>
            <w:shd w:val="clear" w:color="auto" w:fill="auto"/>
            <w:noWrap/>
            <w:vAlign w:val="center"/>
          </w:tcPr>
          <w:p w14:paraId="27D4A2A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1.1058</w:t>
            </w:r>
          </w:p>
        </w:tc>
        <w:tc>
          <w:tcPr>
            <w:tcW w:w="1253" w:type="dxa"/>
            <w:shd w:val="clear" w:color="auto" w:fill="auto"/>
            <w:noWrap/>
            <w:vAlign w:val="center"/>
          </w:tcPr>
          <w:p w14:paraId="236FCF2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1.0654</w:t>
            </w:r>
          </w:p>
        </w:tc>
        <w:tc>
          <w:tcPr>
            <w:tcW w:w="1253" w:type="dxa"/>
            <w:shd w:val="clear" w:color="auto" w:fill="auto"/>
            <w:noWrap/>
            <w:vAlign w:val="center"/>
          </w:tcPr>
          <w:p w14:paraId="136B151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1.0241</w:t>
            </w:r>
          </w:p>
        </w:tc>
        <w:tc>
          <w:tcPr>
            <w:tcW w:w="1179" w:type="dxa"/>
            <w:shd w:val="clear" w:color="auto" w:fill="auto"/>
            <w:vAlign w:val="center"/>
          </w:tcPr>
          <w:p w14:paraId="0E15BC6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6.3 </w:t>
            </w:r>
          </w:p>
        </w:tc>
        <w:tc>
          <w:tcPr>
            <w:tcW w:w="979" w:type="dxa"/>
            <w:shd w:val="clear" w:color="auto" w:fill="auto"/>
            <w:noWrap/>
            <w:vAlign w:val="center"/>
          </w:tcPr>
          <w:p w14:paraId="72E8633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0.9361</w:t>
            </w:r>
          </w:p>
        </w:tc>
        <w:tc>
          <w:tcPr>
            <w:tcW w:w="1179" w:type="dxa"/>
            <w:shd w:val="clear" w:color="auto" w:fill="auto"/>
            <w:noWrap/>
            <w:vAlign w:val="center"/>
          </w:tcPr>
          <w:p w14:paraId="583466D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0.8778</w:t>
            </w:r>
          </w:p>
        </w:tc>
        <w:tc>
          <w:tcPr>
            <w:tcW w:w="1179" w:type="dxa"/>
            <w:shd w:val="clear" w:color="auto" w:fill="auto"/>
            <w:noWrap/>
            <w:vAlign w:val="center"/>
          </w:tcPr>
          <w:p w14:paraId="6D592E6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0.7607</w:t>
            </w:r>
          </w:p>
        </w:tc>
      </w:tr>
      <w:tr w:rsidR="0062768B" w14:paraId="3AADFAE4" w14:textId="77777777">
        <w:trPr>
          <w:cantSplit/>
          <w:jc w:val="center"/>
        </w:trPr>
        <w:tc>
          <w:tcPr>
            <w:tcW w:w="1179" w:type="dxa"/>
            <w:shd w:val="clear" w:color="auto" w:fill="auto"/>
            <w:noWrap/>
            <w:vAlign w:val="center"/>
          </w:tcPr>
          <w:p w14:paraId="03F5BC8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1.9 </w:t>
            </w:r>
          </w:p>
        </w:tc>
        <w:tc>
          <w:tcPr>
            <w:tcW w:w="1098" w:type="dxa"/>
            <w:shd w:val="clear" w:color="auto" w:fill="auto"/>
            <w:noWrap/>
            <w:vAlign w:val="center"/>
          </w:tcPr>
          <w:p w14:paraId="054E9D5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1.0949</w:t>
            </w:r>
          </w:p>
        </w:tc>
        <w:tc>
          <w:tcPr>
            <w:tcW w:w="1253" w:type="dxa"/>
            <w:shd w:val="clear" w:color="auto" w:fill="auto"/>
            <w:noWrap/>
            <w:vAlign w:val="center"/>
          </w:tcPr>
          <w:p w14:paraId="33F7476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1.0537</w:t>
            </w:r>
          </w:p>
        </w:tc>
        <w:tc>
          <w:tcPr>
            <w:tcW w:w="1253" w:type="dxa"/>
            <w:shd w:val="clear" w:color="auto" w:fill="auto"/>
            <w:noWrap/>
            <w:vAlign w:val="center"/>
          </w:tcPr>
          <w:p w14:paraId="307B461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1.0117</w:t>
            </w:r>
          </w:p>
        </w:tc>
        <w:tc>
          <w:tcPr>
            <w:tcW w:w="1179" w:type="dxa"/>
            <w:shd w:val="clear" w:color="auto" w:fill="auto"/>
            <w:vAlign w:val="center"/>
          </w:tcPr>
          <w:p w14:paraId="043C83A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6.4 </w:t>
            </w:r>
          </w:p>
        </w:tc>
        <w:tc>
          <w:tcPr>
            <w:tcW w:w="979" w:type="dxa"/>
            <w:shd w:val="clear" w:color="auto" w:fill="auto"/>
            <w:noWrap/>
            <w:vAlign w:val="center"/>
          </w:tcPr>
          <w:p w14:paraId="20933FF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0.9345</w:t>
            </w:r>
          </w:p>
        </w:tc>
        <w:tc>
          <w:tcPr>
            <w:tcW w:w="1179" w:type="dxa"/>
            <w:shd w:val="clear" w:color="auto" w:fill="auto"/>
            <w:noWrap/>
            <w:vAlign w:val="center"/>
          </w:tcPr>
          <w:p w14:paraId="4C0A87B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0.8756</w:t>
            </w:r>
          </w:p>
        </w:tc>
        <w:tc>
          <w:tcPr>
            <w:tcW w:w="1179" w:type="dxa"/>
            <w:shd w:val="clear" w:color="auto" w:fill="auto"/>
            <w:noWrap/>
            <w:vAlign w:val="center"/>
          </w:tcPr>
          <w:p w14:paraId="4B05DAF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0.7575</w:t>
            </w:r>
          </w:p>
        </w:tc>
      </w:tr>
      <w:tr w:rsidR="0062768B" w14:paraId="60282BC0" w14:textId="77777777">
        <w:trPr>
          <w:cantSplit/>
          <w:jc w:val="center"/>
        </w:trPr>
        <w:tc>
          <w:tcPr>
            <w:tcW w:w="1179" w:type="dxa"/>
            <w:shd w:val="clear" w:color="auto" w:fill="auto"/>
            <w:noWrap/>
            <w:vAlign w:val="center"/>
          </w:tcPr>
          <w:p w14:paraId="3F7EC96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2.0 </w:t>
            </w:r>
          </w:p>
        </w:tc>
        <w:tc>
          <w:tcPr>
            <w:tcW w:w="1098" w:type="dxa"/>
            <w:shd w:val="clear" w:color="auto" w:fill="auto"/>
            <w:noWrap/>
            <w:vAlign w:val="center"/>
          </w:tcPr>
          <w:p w14:paraId="7E0166A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1.0847</w:t>
            </w:r>
          </w:p>
        </w:tc>
        <w:tc>
          <w:tcPr>
            <w:tcW w:w="1253" w:type="dxa"/>
            <w:shd w:val="clear" w:color="auto" w:fill="auto"/>
            <w:noWrap/>
            <w:vAlign w:val="center"/>
          </w:tcPr>
          <w:p w14:paraId="16CD217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1.0427</w:t>
            </w:r>
          </w:p>
        </w:tc>
        <w:tc>
          <w:tcPr>
            <w:tcW w:w="1253" w:type="dxa"/>
            <w:shd w:val="clear" w:color="auto" w:fill="auto"/>
            <w:noWrap/>
            <w:vAlign w:val="center"/>
          </w:tcPr>
          <w:p w14:paraId="568A910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w:t>
            </w:r>
          </w:p>
        </w:tc>
        <w:tc>
          <w:tcPr>
            <w:tcW w:w="1179" w:type="dxa"/>
            <w:shd w:val="clear" w:color="auto" w:fill="auto"/>
            <w:vAlign w:val="center"/>
          </w:tcPr>
          <w:p w14:paraId="1CEB74F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6.5 </w:t>
            </w:r>
          </w:p>
        </w:tc>
        <w:tc>
          <w:tcPr>
            <w:tcW w:w="979" w:type="dxa"/>
            <w:shd w:val="clear" w:color="auto" w:fill="auto"/>
            <w:noWrap/>
            <w:vAlign w:val="center"/>
          </w:tcPr>
          <w:p w14:paraId="0FF402E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0.9329</w:t>
            </w:r>
          </w:p>
        </w:tc>
        <w:tc>
          <w:tcPr>
            <w:tcW w:w="1179" w:type="dxa"/>
            <w:shd w:val="clear" w:color="auto" w:fill="auto"/>
            <w:noWrap/>
            <w:vAlign w:val="center"/>
          </w:tcPr>
          <w:p w14:paraId="1F1F139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0.8734</w:t>
            </w:r>
          </w:p>
        </w:tc>
        <w:tc>
          <w:tcPr>
            <w:tcW w:w="1179" w:type="dxa"/>
            <w:shd w:val="clear" w:color="auto" w:fill="auto"/>
            <w:noWrap/>
            <w:vAlign w:val="center"/>
          </w:tcPr>
          <w:p w14:paraId="063FFF0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0.7543</w:t>
            </w:r>
          </w:p>
        </w:tc>
      </w:tr>
      <w:tr w:rsidR="0062768B" w14:paraId="33F6A1C8" w14:textId="77777777">
        <w:trPr>
          <w:cantSplit/>
          <w:jc w:val="center"/>
        </w:trPr>
        <w:tc>
          <w:tcPr>
            <w:tcW w:w="1179" w:type="dxa"/>
            <w:shd w:val="clear" w:color="auto" w:fill="auto"/>
            <w:noWrap/>
            <w:vAlign w:val="center"/>
          </w:tcPr>
          <w:p w14:paraId="00234E0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2.1 </w:t>
            </w:r>
          </w:p>
        </w:tc>
        <w:tc>
          <w:tcPr>
            <w:tcW w:w="1098" w:type="dxa"/>
            <w:shd w:val="clear" w:color="auto" w:fill="auto"/>
            <w:noWrap/>
            <w:vAlign w:val="center"/>
          </w:tcPr>
          <w:p w14:paraId="65751DE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1.0749</w:t>
            </w:r>
          </w:p>
        </w:tc>
        <w:tc>
          <w:tcPr>
            <w:tcW w:w="1253" w:type="dxa"/>
            <w:shd w:val="clear" w:color="auto" w:fill="auto"/>
            <w:noWrap/>
            <w:vAlign w:val="center"/>
          </w:tcPr>
          <w:p w14:paraId="590861E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1.0328</w:t>
            </w:r>
          </w:p>
        </w:tc>
        <w:tc>
          <w:tcPr>
            <w:tcW w:w="1253" w:type="dxa"/>
            <w:shd w:val="clear" w:color="auto" w:fill="auto"/>
            <w:noWrap/>
            <w:vAlign w:val="center"/>
          </w:tcPr>
          <w:p w14:paraId="31A104B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0.9882</w:t>
            </w:r>
          </w:p>
        </w:tc>
        <w:tc>
          <w:tcPr>
            <w:tcW w:w="1179" w:type="dxa"/>
            <w:shd w:val="clear" w:color="auto" w:fill="auto"/>
            <w:vAlign w:val="center"/>
          </w:tcPr>
          <w:p w14:paraId="093E5E2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6.6 </w:t>
            </w:r>
          </w:p>
        </w:tc>
        <w:tc>
          <w:tcPr>
            <w:tcW w:w="979" w:type="dxa"/>
            <w:shd w:val="clear" w:color="auto" w:fill="auto"/>
            <w:noWrap/>
            <w:vAlign w:val="center"/>
          </w:tcPr>
          <w:p w14:paraId="38AF0C8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0.9313</w:t>
            </w:r>
          </w:p>
        </w:tc>
        <w:tc>
          <w:tcPr>
            <w:tcW w:w="1179" w:type="dxa"/>
            <w:shd w:val="clear" w:color="auto" w:fill="auto"/>
            <w:noWrap/>
            <w:vAlign w:val="center"/>
          </w:tcPr>
          <w:p w14:paraId="2E809BB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0.8712</w:t>
            </w:r>
          </w:p>
        </w:tc>
        <w:tc>
          <w:tcPr>
            <w:tcW w:w="1179" w:type="dxa"/>
            <w:shd w:val="clear" w:color="auto" w:fill="auto"/>
            <w:noWrap/>
            <w:vAlign w:val="center"/>
          </w:tcPr>
          <w:p w14:paraId="16E395C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0.7512</w:t>
            </w:r>
          </w:p>
        </w:tc>
      </w:tr>
      <w:tr w:rsidR="0062768B" w14:paraId="41927B7E" w14:textId="77777777">
        <w:trPr>
          <w:cantSplit/>
          <w:jc w:val="center"/>
        </w:trPr>
        <w:tc>
          <w:tcPr>
            <w:tcW w:w="1179" w:type="dxa"/>
            <w:shd w:val="clear" w:color="auto" w:fill="auto"/>
            <w:noWrap/>
            <w:vAlign w:val="center"/>
          </w:tcPr>
          <w:p w14:paraId="17A9340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2.2 </w:t>
            </w:r>
          </w:p>
        </w:tc>
        <w:tc>
          <w:tcPr>
            <w:tcW w:w="1098" w:type="dxa"/>
            <w:shd w:val="clear" w:color="auto" w:fill="auto"/>
            <w:noWrap/>
            <w:vAlign w:val="center"/>
          </w:tcPr>
          <w:p w14:paraId="513C9C4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1.0663</w:t>
            </w:r>
          </w:p>
        </w:tc>
        <w:tc>
          <w:tcPr>
            <w:tcW w:w="1253" w:type="dxa"/>
            <w:shd w:val="clear" w:color="auto" w:fill="auto"/>
            <w:noWrap/>
            <w:vAlign w:val="center"/>
          </w:tcPr>
          <w:p w14:paraId="1D43ECB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1.0237</w:t>
            </w:r>
          </w:p>
        </w:tc>
        <w:tc>
          <w:tcPr>
            <w:tcW w:w="1253" w:type="dxa"/>
            <w:shd w:val="clear" w:color="auto" w:fill="auto"/>
            <w:noWrap/>
            <w:vAlign w:val="center"/>
          </w:tcPr>
          <w:p w14:paraId="51DD06A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0.9768</w:t>
            </w:r>
          </w:p>
        </w:tc>
        <w:tc>
          <w:tcPr>
            <w:tcW w:w="1179" w:type="dxa"/>
            <w:shd w:val="clear" w:color="auto" w:fill="auto"/>
            <w:vAlign w:val="center"/>
          </w:tcPr>
          <w:p w14:paraId="27558DF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6.7 </w:t>
            </w:r>
          </w:p>
        </w:tc>
        <w:tc>
          <w:tcPr>
            <w:tcW w:w="979" w:type="dxa"/>
            <w:shd w:val="clear" w:color="auto" w:fill="auto"/>
            <w:noWrap/>
            <w:vAlign w:val="center"/>
          </w:tcPr>
          <w:p w14:paraId="1833E6E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0.9297</w:t>
            </w:r>
          </w:p>
        </w:tc>
        <w:tc>
          <w:tcPr>
            <w:tcW w:w="1179" w:type="dxa"/>
            <w:shd w:val="clear" w:color="auto" w:fill="auto"/>
            <w:noWrap/>
            <w:vAlign w:val="center"/>
          </w:tcPr>
          <w:p w14:paraId="1A2E82F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0.869</w:t>
            </w:r>
          </w:p>
        </w:tc>
        <w:tc>
          <w:tcPr>
            <w:tcW w:w="1179" w:type="dxa"/>
            <w:shd w:val="clear" w:color="auto" w:fill="auto"/>
            <w:noWrap/>
            <w:vAlign w:val="center"/>
          </w:tcPr>
          <w:p w14:paraId="0562FD0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0.7481</w:t>
            </w:r>
          </w:p>
        </w:tc>
      </w:tr>
      <w:tr w:rsidR="0062768B" w14:paraId="4956778C" w14:textId="77777777">
        <w:trPr>
          <w:cantSplit/>
          <w:jc w:val="center"/>
        </w:trPr>
        <w:tc>
          <w:tcPr>
            <w:tcW w:w="1179" w:type="dxa"/>
            <w:shd w:val="clear" w:color="auto" w:fill="auto"/>
            <w:noWrap/>
            <w:vAlign w:val="center"/>
          </w:tcPr>
          <w:p w14:paraId="2B986B3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2.3 </w:t>
            </w:r>
          </w:p>
        </w:tc>
        <w:tc>
          <w:tcPr>
            <w:tcW w:w="1098" w:type="dxa"/>
            <w:shd w:val="clear" w:color="auto" w:fill="auto"/>
            <w:noWrap/>
            <w:vAlign w:val="center"/>
          </w:tcPr>
          <w:p w14:paraId="1155D9A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1.0584</w:t>
            </w:r>
          </w:p>
        </w:tc>
        <w:tc>
          <w:tcPr>
            <w:tcW w:w="1253" w:type="dxa"/>
            <w:shd w:val="clear" w:color="auto" w:fill="auto"/>
            <w:noWrap/>
            <w:vAlign w:val="center"/>
          </w:tcPr>
          <w:p w14:paraId="258C7A4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1.0152</w:t>
            </w:r>
          </w:p>
        </w:tc>
        <w:tc>
          <w:tcPr>
            <w:tcW w:w="1253" w:type="dxa"/>
            <w:shd w:val="clear" w:color="auto" w:fill="auto"/>
            <w:noWrap/>
            <w:vAlign w:val="center"/>
          </w:tcPr>
          <w:p w14:paraId="193B7A4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0.9661</w:t>
            </w:r>
          </w:p>
        </w:tc>
        <w:tc>
          <w:tcPr>
            <w:tcW w:w="1179" w:type="dxa"/>
            <w:shd w:val="clear" w:color="auto" w:fill="auto"/>
            <w:vAlign w:val="center"/>
          </w:tcPr>
          <w:p w14:paraId="19CF3ED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6.8 </w:t>
            </w:r>
          </w:p>
        </w:tc>
        <w:tc>
          <w:tcPr>
            <w:tcW w:w="979" w:type="dxa"/>
            <w:shd w:val="clear" w:color="auto" w:fill="auto"/>
            <w:noWrap/>
            <w:vAlign w:val="center"/>
          </w:tcPr>
          <w:p w14:paraId="3EAA0B9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0.9282</w:t>
            </w:r>
          </w:p>
        </w:tc>
        <w:tc>
          <w:tcPr>
            <w:tcW w:w="1179" w:type="dxa"/>
            <w:shd w:val="clear" w:color="auto" w:fill="auto"/>
            <w:noWrap/>
            <w:vAlign w:val="center"/>
          </w:tcPr>
          <w:p w14:paraId="1C8C02D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0.8669</w:t>
            </w:r>
          </w:p>
        </w:tc>
        <w:tc>
          <w:tcPr>
            <w:tcW w:w="1179" w:type="dxa"/>
            <w:shd w:val="clear" w:color="auto" w:fill="auto"/>
            <w:noWrap/>
            <w:vAlign w:val="center"/>
          </w:tcPr>
          <w:p w14:paraId="4254C6A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0.7451</w:t>
            </w:r>
          </w:p>
        </w:tc>
      </w:tr>
      <w:tr w:rsidR="0062768B" w14:paraId="23B14AAE" w14:textId="77777777">
        <w:trPr>
          <w:cantSplit/>
          <w:jc w:val="center"/>
        </w:trPr>
        <w:tc>
          <w:tcPr>
            <w:tcW w:w="1179" w:type="dxa"/>
            <w:shd w:val="clear" w:color="auto" w:fill="auto"/>
            <w:noWrap/>
            <w:vAlign w:val="center"/>
          </w:tcPr>
          <w:p w14:paraId="1534FF2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2.4 </w:t>
            </w:r>
          </w:p>
        </w:tc>
        <w:tc>
          <w:tcPr>
            <w:tcW w:w="1098" w:type="dxa"/>
            <w:shd w:val="clear" w:color="auto" w:fill="auto"/>
            <w:noWrap/>
            <w:vAlign w:val="center"/>
          </w:tcPr>
          <w:p w14:paraId="2D2CD44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1.0512</w:t>
            </w:r>
          </w:p>
        </w:tc>
        <w:tc>
          <w:tcPr>
            <w:tcW w:w="1253" w:type="dxa"/>
            <w:shd w:val="clear" w:color="auto" w:fill="auto"/>
            <w:noWrap/>
            <w:vAlign w:val="center"/>
          </w:tcPr>
          <w:p w14:paraId="2BD89D9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1.0074</w:t>
            </w:r>
          </w:p>
        </w:tc>
        <w:tc>
          <w:tcPr>
            <w:tcW w:w="1253" w:type="dxa"/>
            <w:shd w:val="clear" w:color="auto" w:fill="auto"/>
            <w:noWrap/>
            <w:vAlign w:val="center"/>
          </w:tcPr>
          <w:p w14:paraId="3022254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0.9558</w:t>
            </w:r>
          </w:p>
        </w:tc>
        <w:tc>
          <w:tcPr>
            <w:tcW w:w="1179" w:type="dxa"/>
            <w:shd w:val="clear" w:color="auto" w:fill="auto"/>
            <w:vAlign w:val="center"/>
          </w:tcPr>
          <w:p w14:paraId="28FD384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6.9 </w:t>
            </w:r>
          </w:p>
        </w:tc>
        <w:tc>
          <w:tcPr>
            <w:tcW w:w="979" w:type="dxa"/>
            <w:shd w:val="clear" w:color="auto" w:fill="auto"/>
            <w:noWrap/>
            <w:vAlign w:val="center"/>
          </w:tcPr>
          <w:p w14:paraId="15652F6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0.9267</w:t>
            </w:r>
          </w:p>
        </w:tc>
        <w:tc>
          <w:tcPr>
            <w:tcW w:w="1179" w:type="dxa"/>
            <w:shd w:val="clear" w:color="auto" w:fill="auto"/>
            <w:noWrap/>
            <w:vAlign w:val="center"/>
          </w:tcPr>
          <w:p w14:paraId="65D81E9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0.8648</w:t>
            </w:r>
          </w:p>
        </w:tc>
        <w:tc>
          <w:tcPr>
            <w:tcW w:w="1179" w:type="dxa"/>
            <w:shd w:val="clear" w:color="auto" w:fill="auto"/>
            <w:noWrap/>
            <w:vAlign w:val="center"/>
          </w:tcPr>
          <w:p w14:paraId="2F1A6C1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0.7421</w:t>
            </w:r>
          </w:p>
        </w:tc>
      </w:tr>
      <w:tr w:rsidR="0062768B" w14:paraId="266AC2EE" w14:textId="77777777">
        <w:trPr>
          <w:cantSplit/>
          <w:jc w:val="center"/>
        </w:trPr>
        <w:tc>
          <w:tcPr>
            <w:tcW w:w="1179" w:type="dxa"/>
            <w:shd w:val="clear" w:color="auto" w:fill="auto"/>
            <w:noWrap/>
            <w:vAlign w:val="center"/>
          </w:tcPr>
          <w:p w14:paraId="638AC20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2.5 </w:t>
            </w:r>
          </w:p>
        </w:tc>
        <w:tc>
          <w:tcPr>
            <w:tcW w:w="1098" w:type="dxa"/>
            <w:shd w:val="clear" w:color="auto" w:fill="auto"/>
            <w:noWrap/>
            <w:vAlign w:val="center"/>
          </w:tcPr>
          <w:p w14:paraId="5D41CDE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1.0445</w:t>
            </w:r>
          </w:p>
        </w:tc>
        <w:tc>
          <w:tcPr>
            <w:tcW w:w="1253" w:type="dxa"/>
            <w:shd w:val="clear" w:color="auto" w:fill="auto"/>
            <w:noWrap/>
            <w:vAlign w:val="center"/>
          </w:tcPr>
          <w:p w14:paraId="4084BE1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w:t>
            </w:r>
          </w:p>
        </w:tc>
        <w:tc>
          <w:tcPr>
            <w:tcW w:w="1253" w:type="dxa"/>
            <w:shd w:val="clear" w:color="auto" w:fill="auto"/>
            <w:noWrap/>
            <w:vAlign w:val="center"/>
          </w:tcPr>
          <w:p w14:paraId="3F7DEB9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0.9462</w:t>
            </w:r>
          </w:p>
        </w:tc>
        <w:tc>
          <w:tcPr>
            <w:tcW w:w="1179" w:type="dxa"/>
            <w:shd w:val="clear" w:color="auto" w:fill="auto"/>
            <w:vAlign w:val="center"/>
          </w:tcPr>
          <w:p w14:paraId="5CC3311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7.0 </w:t>
            </w:r>
          </w:p>
        </w:tc>
        <w:tc>
          <w:tcPr>
            <w:tcW w:w="979" w:type="dxa"/>
            <w:shd w:val="clear" w:color="auto" w:fill="auto"/>
            <w:noWrap/>
            <w:vAlign w:val="center"/>
          </w:tcPr>
          <w:p w14:paraId="473FB65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0.9252</w:t>
            </w:r>
          </w:p>
        </w:tc>
        <w:tc>
          <w:tcPr>
            <w:tcW w:w="1179" w:type="dxa"/>
            <w:shd w:val="clear" w:color="auto" w:fill="auto"/>
            <w:noWrap/>
            <w:vAlign w:val="center"/>
          </w:tcPr>
          <w:p w14:paraId="724235A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0.8627</w:t>
            </w:r>
          </w:p>
        </w:tc>
        <w:tc>
          <w:tcPr>
            <w:tcW w:w="1179" w:type="dxa"/>
            <w:shd w:val="clear" w:color="auto" w:fill="auto"/>
            <w:noWrap/>
            <w:vAlign w:val="center"/>
          </w:tcPr>
          <w:p w14:paraId="7110A3D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0.7392</w:t>
            </w:r>
          </w:p>
        </w:tc>
      </w:tr>
      <w:tr w:rsidR="0062768B" w14:paraId="43EBB263" w14:textId="77777777">
        <w:trPr>
          <w:cantSplit/>
          <w:jc w:val="center"/>
        </w:trPr>
        <w:tc>
          <w:tcPr>
            <w:tcW w:w="1179" w:type="dxa"/>
            <w:shd w:val="clear" w:color="auto" w:fill="auto"/>
            <w:noWrap/>
            <w:vAlign w:val="center"/>
          </w:tcPr>
          <w:p w14:paraId="68C4EB1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2.6 </w:t>
            </w:r>
          </w:p>
        </w:tc>
        <w:tc>
          <w:tcPr>
            <w:tcW w:w="1098" w:type="dxa"/>
            <w:shd w:val="clear" w:color="auto" w:fill="auto"/>
            <w:noWrap/>
            <w:vAlign w:val="center"/>
          </w:tcPr>
          <w:p w14:paraId="657CC2C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1.0386</w:t>
            </w:r>
          </w:p>
        </w:tc>
        <w:tc>
          <w:tcPr>
            <w:tcW w:w="1253" w:type="dxa"/>
            <w:shd w:val="clear" w:color="auto" w:fill="auto"/>
            <w:noWrap/>
            <w:vAlign w:val="center"/>
          </w:tcPr>
          <w:p w14:paraId="7E482C5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0.9935</w:t>
            </w:r>
          </w:p>
        </w:tc>
        <w:tc>
          <w:tcPr>
            <w:tcW w:w="1253" w:type="dxa"/>
            <w:shd w:val="clear" w:color="auto" w:fill="auto"/>
            <w:noWrap/>
            <w:vAlign w:val="center"/>
          </w:tcPr>
          <w:p w14:paraId="31D9273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0.9371</w:t>
            </w:r>
          </w:p>
        </w:tc>
        <w:tc>
          <w:tcPr>
            <w:tcW w:w="1179" w:type="dxa"/>
            <w:shd w:val="clear" w:color="auto" w:fill="auto"/>
            <w:vAlign w:val="center"/>
          </w:tcPr>
          <w:p w14:paraId="72C1881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7.1 </w:t>
            </w:r>
          </w:p>
        </w:tc>
        <w:tc>
          <w:tcPr>
            <w:tcW w:w="979" w:type="dxa"/>
            <w:shd w:val="clear" w:color="auto" w:fill="auto"/>
            <w:noWrap/>
            <w:vAlign w:val="center"/>
          </w:tcPr>
          <w:p w14:paraId="058F063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0.9237</w:t>
            </w:r>
          </w:p>
        </w:tc>
        <w:tc>
          <w:tcPr>
            <w:tcW w:w="1179" w:type="dxa"/>
            <w:shd w:val="clear" w:color="auto" w:fill="auto"/>
            <w:noWrap/>
            <w:vAlign w:val="center"/>
          </w:tcPr>
          <w:p w14:paraId="5AEF465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0.8606</w:t>
            </w:r>
          </w:p>
        </w:tc>
        <w:tc>
          <w:tcPr>
            <w:tcW w:w="1179" w:type="dxa"/>
            <w:shd w:val="clear" w:color="auto" w:fill="auto"/>
            <w:noWrap/>
            <w:vAlign w:val="center"/>
          </w:tcPr>
          <w:p w14:paraId="286BA02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0.7363</w:t>
            </w:r>
          </w:p>
        </w:tc>
      </w:tr>
      <w:tr w:rsidR="0062768B" w14:paraId="3A37FF08" w14:textId="77777777">
        <w:trPr>
          <w:cantSplit/>
          <w:jc w:val="center"/>
        </w:trPr>
        <w:tc>
          <w:tcPr>
            <w:tcW w:w="1179" w:type="dxa"/>
            <w:shd w:val="clear" w:color="auto" w:fill="auto"/>
            <w:noWrap/>
            <w:vAlign w:val="center"/>
          </w:tcPr>
          <w:p w14:paraId="44275EF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2.7 </w:t>
            </w:r>
          </w:p>
        </w:tc>
        <w:tc>
          <w:tcPr>
            <w:tcW w:w="1098" w:type="dxa"/>
            <w:shd w:val="clear" w:color="auto" w:fill="auto"/>
            <w:noWrap/>
            <w:vAlign w:val="center"/>
          </w:tcPr>
          <w:p w14:paraId="35735C9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1.0332</w:t>
            </w:r>
          </w:p>
        </w:tc>
        <w:tc>
          <w:tcPr>
            <w:tcW w:w="1253" w:type="dxa"/>
            <w:shd w:val="clear" w:color="auto" w:fill="auto"/>
            <w:noWrap/>
            <w:vAlign w:val="center"/>
          </w:tcPr>
          <w:p w14:paraId="25B3B01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0.9877</w:t>
            </w:r>
          </w:p>
        </w:tc>
        <w:tc>
          <w:tcPr>
            <w:tcW w:w="1253" w:type="dxa"/>
            <w:shd w:val="clear" w:color="auto" w:fill="auto"/>
            <w:noWrap/>
            <w:vAlign w:val="center"/>
          </w:tcPr>
          <w:p w14:paraId="79768A9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0.9286</w:t>
            </w:r>
          </w:p>
        </w:tc>
        <w:tc>
          <w:tcPr>
            <w:tcW w:w="1179" w:type="dxa"/>
            <w:shd w:val="clear" w:color="auto" w:fill="auto"/>
            <w:vAlign w:val="center"/>
          </w:tcPr>
          <w:p w14:paraId="53B08E5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7.2 </w:t>
            </w:r>
          </w:p>
        </w:tc>
        <w:tc>
          <w:tcPr>
            <w:tcW w:w="979" w:type="dxa"/>
            <w:shd w:val="clear" w:color="auto" w:fill="auto"/>
            <w:noWrap/>
            <w:vAlign w:val="center"/>
          </w:tcPr>
          <w:p w14:paraId="3751694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0.9222</w:t>
            </w:r>
          </w:p>
        </w:tc>
        <w:tc>
          <w:tcPr>
            <w:tcW w:w="1179" w:type="dxa"/>
            <w:shd w:val="clear" w:color="auto" w:fill="auto"/>
            <w:noWrap/>
            <w:vAlign w:val="center"/>
          </w:tcPr>
          <w:p w14:paraId="493FF80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0.8585</w:t>
            </w:r>
          </w:p>
        </w:tc>
        <w:tc>
          <w:tcPr>
            <w:tcW w:w="1179" w:type="dxa"/>
            <w:shd w:val="clear" w:color="auto" w:fill="auto"/>
            <w:noWrap/>
            <w:vAlign w:val="center"/>
          </w:tcPr>
          <w:p w14:paraId="361AB90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0.7335</w:t>
            </w:r>
          </w:p>
        </w:tc>
      </w:tr>
      <w:tr w:rsidR="0062768B" w14:paraId="563066FF" w14:textId="77777777">
        <w:trPr>
          <w:cantSplit/>
          <w:jc w:val="center"/>
        </w:trPr>
        <w:tc>
          <w:tcPr>
            <w:tcW w:w="1179" w:type="dxa"/>
            <w:shd w:val="clear" w:color="auto" w:fill="auto"/>
            <w:noWrap/>
            <w:vAlign w:val="center"/>
          </w:tcPr>
          <w:p w14:paraId="113F9B1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2.8 </w:t>
            </w:r>
          </w:p>
        </w:tc>
        <w:tc>
          <w:tcPr>
            <w:tcW w:w="1098" w:type="dxa"/>
            <w:shd w:val="clear" w:color="auto" w:fill="auto"/>
            <w:noWrap/>
            <w:vAlign w:val="center"/>
          </w:tcPr>
          <w:p w14:paraId="502CA7C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1.0282</w:t>
            </w:r>
          </w:p>
        </w:tc>
        <w:tc>
          <w:tcPr>
            <w:tcW w:w="1253" w:type="dxa"/>
            <w:shd w:val="clear" w:color="auto" w:fill="auto"/>
            <w:noWrap/>
            <w:vAlign w:val="center"/>
          </w:tcPr>
          <w:p w14:paraId="5C2C630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0.9826</w:t>
            </w:r>
          </w:p>
        </w:tc>
        <w:tc>
          <w:tcPr>
            <w:tcW w:w="1253" w:type="dxa"/>
            <w:shd w:val="clear" w:color="auto" w:fill="auto"/>
            <w:noWrap/>
            <w:vAlign w:val="center"/>
          </w:tcPr>
          <w:p w14:paraId="2DDF6A5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0.9207</w:t>
            </w:r>
          </w:p>
        </w:tc>
        <w:tc>
          <w:tcPr>
            <w:tcW w:w="1179" w:type="dxa"/>
            <w:shd w:val="clear" w:color="auto" w:fill="auto"/>
            <w:vAlign w:val="center"/>
          </w:tcPr>
          <w:p w14:paraId="6F0070C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7.3 </w:t>
            </w:r>
          </w:p>
        </w:tc>
        <w:tc>
          <w:tcPr>
            <w:tcW w:w="979" w:type="dxa"/>
            <w:shd w:val="clear" w:color="auto" w:fill="auto"/>
            <w:noWrap/>
            <w:vAlign w:val="center"/>
          </w:tcPr>
          <w:p w14:paraId="7EF3CAA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0.9207</w:t>
            </w:r>
          </w:p>
        </w:tc>
        <w:tc>
          <w:tcPr>
            <w:tcW w:w="1179" w:type="dxa"/>
            <w:shd w:val="clear" w:color="auto" w:fill="auto"/>
            <w:noWrap/>
            <w:vAlign w:val="center"/>
          </w:tcPr>
          <w:p w14:paraId="69B2376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0.8565</w:t>
            </w:r>
          </w:p>
        </w:tc>
        <w:tc>
          <w:tcPr>
            <w:tcW w:w="1179" w:type="dxa"/>
            <w:shd w:val="clear" w:color="auto" w:fill="auto"/>
            <w:noWrap/>
            <w:vAlign w:val="center"/>
          </w:tcPr>
          <w:p w14:paraId="7504DA1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0.7307</w:t>
            </w:r>
          </w:p>
        </w:tc>
      </w:tr>
      <w:tr w:rsidR="0062768B" w14:paraId="0F41F7A9" w14:textId="77777777">
        <w:trPr>
          <w:cantSplit/>
          <w:jc w:val="center"/>
        </w:trPr>
        <w:tc>
          <w:tcPr>
            <w:tcW w:w="1179" w:type="dxa"/>
            <w:shd w:val="clear" w:color="auto" w:fill="auto"/>
            <w:noWrap/>
            <w:vAlign w:val="center"/>
          </w:tcPr>
          <w:p w14:paraId="19EC242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2.9 </w:t>
            </w:r>
          </w:p>
        </w:tc>
        <w:tc>
          <w:tcPr>
            <w:tcW w:w="1098" w:type="dxa"/>
            <w:shd w:val="clear" w:color="auto" w:fill="auto"/>
            <w:noWrap/>
            <w:vAlign w:val="center"/>
          </w:tcPr>
          <w:p w14:paraId="1334762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1.0235</w:t>
            </w:r>
          </w:p>
        </w:tc>
        <w:tc>
          <w:tcPr>
            <w:tcW w:w="1253" w:type="dxa"/>
            <w:shd w:val="clear" w:color="auto" w:fill="auto"/>
            <w:noWrap/>
            <w:vAlign w:val="center"/>
          </w:tcPr>
          <w:p w14:paraId="5EA5FC5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0.9777</w:t>
            </w:r>
          </w:p>
        </w:tc>
        <w:tc>
          <w:tcPr>
            <w:tcW w:w="1253" w:type="dxa"/>
            <w:shd w:val="clear" w:color="auto" w:fill="auto"/>
            <w:noWrap/>
            <w:vAlign w:val="center"/>
          </w:tcPr>
          <w:p w14:paraId="20CEF36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0.9133</w:t>
            </w:r>
          </w:p>
        </w:tc>
        <w:tc>
          <w:tcPr>
            <w:tcW w:w="1179" w:type="dxa"/>
            <w:shd w:val="clear" w:color="auto" w:fill="auto"/>
            <w:vAlign w:val="center"/>
          </w:tcPr>
          <w:p w14:paraId="3E5C365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7.4 </w:t>
            </w:r>
          </w:p>
        </w:tc>
        <w:tc>
          <w:tcPr>
            <w:tcW w:w="979" w:type="dxa"/>
            <w:shd w:val="clear" w:color="auto" w:fill="auto"/>
            <w:noWrap/>
            <w:vAlign w:val="center"/>
          </w:tcPr>
          <w:p w14:paraId="729DA0D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0.9193</w:t>
            </w:r>
          </w:p>
        </w:tc>
        <w:tc>
          <w:tcPr>
            <w:tcW w:w="1179" w:type="dxa"/>
            <w:shd w:val="clear" w:color="auto" w:fill="auto"/>
            <w:noWrap/>
            <w:vAlign w:val="center"/>
          </w:tcPr>
          <w:p w14:paraId="24302DE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0.8545</w:t>
            </w:r>
          </w:p>
        </w:tc>
        <w:tc>
          <w:tcPr>
            <w:tcW w:w="1179" w:type="dxa"/>
            <w:shd w:val="clear" w:color="auto" w:fill="auto"/>
            <w:noWrap/>
            <w:vAlign w:val="center"/>
          </w:tcPr>
          <w:p w14:paraId="675DA9A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0.728</w:t>
            </w:r>
          </w:p>
        </w:tc>
      </w:tr>
      <w:tr w:rsidR="0062768B" w14:paraId="697ECD9A" w14:textId="77777777">
        <w:trPr>
          <w:cantSplit/>
          <w:jc w:val="center"/>
        </w:trPr>
        <w:tc>
          <w:tcPr>
            <w:tcW w:w="1179" w:type="dxa"/>
            <w:shd w:val="clear" w:color="auto" w:fill="auto"/>
            <w:noWrap/>
            <w:vAlign w:val="center"/>
          </w:tcPr>
          <w:p w14:paraId="70C6C44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3.0 </w:t>
            </w:r>
          </w:p>
        </w:tc>
        <w:tc>
          <w:tcPr>
            <w:tcW w:w="1098" w:type="dxa"/>
            <w:shd w:val="clear" w:color="auto" w:fill="auto"/>
            <w:noWrap/>
            <w:vAlign w:val="center"/>
          </w:tcPr>
          <w:p w14:paraId="1464558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1.0191</w:t>
            </w:r>
          </w:p>
        </w:tc>
        <w:tc>
          <w:tcPr>
            <w:tcW w:w="1253" w:type="dxa"/>
            <w:shd w:val="clear" w:color="auto" w:fill="auto"/>
            <w:noWrap/>
            <w:vAlign w:val="center"/>
          </w:tcPr>
          <w:p w14:paraId="6832A49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0.973</w:t>
            </w:r>
          </w:p>
        </w:tc>
        <w:tc>
          <w:tcPr>
            <w:tcW w:w="1253" w:type="dxa"/>
            <w:shd w:val="clear" w:color="auto" w:fill="auto"/>
            <w:noWrap/>
            <w:vAlign w:val="center"/>
          </w:tcPr>
          <w:p w14:paraId="79E2032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0.9063</w:t>
            </w:r>
          </w:p>
        </w:tc>
        <w:tc>
          <w:tcPr>
            <w:tcW w:w="1179" w:type="dxa"/>
            <w:shd w:val="clear" w:color="auto" w:fill="auto"/>
            <w:vAlign w:val="center"/>
          </w:tcPr>
          <w:p w14:paraId="6EA10E5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7.5 </w:t>
            </w:r>
          </w:p>
        </w:tc>
        <w:tc>
          <w:tcPr>
            <w:tcW w:w="979" w:type="dxa"/>
            <w:shd w:val="clear" w:color="auto" w:fill="auto"/>
            <w:noWrap/>
            <w:vAlign w:val="center"/>
          </w:tcPr>
          <w:p w14:paraId="33B031F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0.9179</w:t>
            </w:r>
          </w:p>
        </w:tc>
        <w:tc>
          <w:tcPr>
            <w:tcW w:w="1179" w:type="dxa"/>
            <w:shd w:val="clear" w:color="auto" w:fill="auto"/>
            <w:noWrap/>
            <w:vAlign w:val="center"/>
          </w:tcPr>
          <w:p w14:paraId="0978BAA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0.8525</w:t>
            </w:r>
          </w:p>
        </w:tc>
        <w:tc>
          <w:tcPr>
            <w:tcW w:w="1179" w:type="dxa"/>
            <w:shd w:val="clear" w:color="auto" w:fill="auto"/>
            <w:noWrap/>
            <w:vAlign w:val="center"/>
          </w:tcPr>
          <w:p w14:paraId="779D52C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0.7253</w:t>
            </w:r>
          </w:p>
        </w:tc>
      </w:tr>
      <w:tr w:rsidR="0062768B" w14:paraId="20E9CC90" w14:textId="77777777">
        <w:trPr>
          <w:cantSplit/>
          <w:jc w:val="center"/>
        </w:trPr>
        <w:tc>
          <w:tcPr>
            <w:tcW w:w="1179" w:type="dxa"/>
            <w:shd w:val="clear" w:color="auto" w:fill="auto"/>
            <w:noWrap/>
            <w:vAlign w:val="center"/>
          </w:tcPr>
          <w:p w14:paraId="40A2774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3.1 </w:t>
            </w:r>
          </w:p>
        </w:tc>
        <w:tc>
          <w:tcPr>
            <w:tcW w:w="1098" w:type="dxa"/>
            <w:shd w:val="clear" w:color="auto" w:fill="auto"/>
            <w:noWrap/>
            <w:vAlign w:val="center"/>
          </w:tcPr>
          <w:p w14:paraId="33C6623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1.0149</w:t>
            </w:r>
          </w:p>
        </w:tc>
        <w:tc>
          <w:tcPr>
            <w:tcW w:w="1253" w:type="dxa"/>
            <w:shd w:val="clear" w:color="auto" w:fill="auto"/>
            <w:noWrap/>
            <w:vAlign w:val="center"/>
          </w:tcPr>
          <w:p w14:paraId="5CB3A5A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0.9684</w:t>
            </w:r>
          </w:p>
        </w:tc>
        <w:tc>
          <w:tcPr>
            <w:tcW w:w="1253" w:type="dxa"/>
            <w:shd w:val="clear" w:color="auto" w:fill="auto"/>
            <w:noWrap/>
            <w:vAlign w:val="center"/>
          </w:tcPr>
          <w:p w14:paraId="72E6322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0.8996</w:t>
            </w:r>
          </w:p>
        </w:tc>
        <w:tc>
          <w:tcPr>
            <w:tcW w:w="1179" w:type="dxa"/>
            <w:shd w:val="clear" w:color="auto" w:fill="auto"/>
            <w:vAlign w:val="center"/>
          </w:tcPr>
          <w:p w14:paraId="041E2CF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7.6</w:t>
            </w:r>
          </w:p>
        </w:tc>
        <w:tc>
          <w:tcPr>
            <w:tcW w:w="979" w:type="dxa"/>
            <w:shd w:val="clear" w:color="auto" w:fill="auto"/>
            <w:noWrap/>
            <w:vAlign w:val="center"/>
          </w:tcPr>
          <w:p w14:paraId="14B0389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0.9165</w:t>
            </w:r>
          </w:p>
        </w:tc>
        <w:tc>
          <w:tcPr>
            <w:tcW w:w="1179" w:type="dxa"/>
            <w:shd w:val="clear" w:color="auto" w:fill="auto"/>
            <w:noWrap/>
            <w:vAlign w:val="center"/>
          </w:tcPr>
          <w:p w14:paraId="477763B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0.8505</w:t>
            </w:r>
          </w:p>
        </w:tc>
        <w:tc>
          <w:tcPr>
            <w:tcW w:w="1179" w:type="dxa"/>
            <w:shd w:val="clear" w:color="auto" w:fill="auto"/>
            <w:noWrap/>
            <w:vAlign w:val="center"/>
          </w:tcPr>
          <w:p w14:paraId="4A39A7D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0.7226</w:t>
            </w:r>
          </w:p>
        </w:tc>
      </w:tr>
      <w:tr w:rsidR="0062768B" w14:paraId="693AAE33" w14:textId="77777777">
        <w:trPr>
          <w:cantSplit/>
          <w:jc w:val="center"/>
        </w:trPr>
        <w:tc>
          <w:tcPr>
            <w:tcW w:w="1179" w:type="dxa"/>
            <w:shd w:val="clear" w:color="auto" w:fill="auto"/>
            <w:noWrap/>
            <w:vAlign w:val="center"/>
          </w:tcPr>
          <w:p w14:paraId="44596CC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3.2 </w:t>
            </w:r>
          </w:p>
        </w:tc>
        <w:tc>
          <w:tcPr>
            <w:tcW w:w="1098" w:type="dxa"/>
            <w:shd w:val="clear" w:color="auto" w:fill="auto"/>
            <w:noWrap/>
            <w:vAlign w:val="center"/>
          </w:tcPr>
          <w:p w14:paraId="35AEFE8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1.0109</w:t>
            </w:r>
          </w:p>
        </w:tc>
        <w:tc>
          <w:tcPr>
            <w:tcW w:w="1253" w:type="dxa"/>
            <w:shd w:val="clear" w:color="auto" w:fill="auto"/>
            <w:noWrap/>
            <w:vAlign w:val="center"/>
          </w:tcPr>
          <w:p w14:paraId="1567AB5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0.964</w:t>
            </w:r>
          </w:p>
        </w:tc>
        <w:tc>
          <w:tcPr>
            <w:tcW w:w="1253" w:type="dxa"/>
            <w:shd w:val="clear" w:color="auto" w:fill="auto"/>
            <w:noWrap/>
            <w:vAlign w:val="center"/>
          </w:tcPr>
          <w:p w14:paraId="452596E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0.8932</w:t>
            </w:r>
          </w:p>
        </w:tc>
        <w:tc>
          <w:tcPr>
            <w:tcW w:w="1179" w:type="dxa"/>
            <w:shd w:val="clear" w:color="auto" w:fill="auto"/>
            <w:vAlign w:val="center"/>
          </w:tcPr>
          <w:p w14:paraId="4E1A00E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7.7 </w:t>
            </w:r>
          </w:p>
        </w:tc>
        <w:tc>
          <w:tcPr>
            <w:tcW w:w="979" w:type="dxa"/>
            <w:shd w:val="clear" w:color="auto" w:fill="auto"/>
            <w:noWrap/>
            <w:vAlign w:val="center"/>
          </w:tcPr>
          <w:p w14:paraId="56A10BC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0.9151</w:t>
            </w:r>
          </w:p>
        </w:tc>
        <w:tc>
          <w:tcPr>
            <w:tcW w:w="1179" w:type="dxa"/>
            <w:shd w:val="clear" w:color="auto" w:fill="auto"/>
            <w:noWrap/>
            <w:vAlign w:val="center"/>
          </w:tcPr>
          <w:p w14:paraId="7B4DF98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0.8485</w:t>
            </w:r>
          </w:p>
        </w:tc>
        <w:tc>
          <w:tcPr>
            <w:tcW w:w="1179" w:type="dxa"/>
            <w:shd w:val="clear" w:color="auto" w:fill="auto"/>
            <w:noWrap/>
            <w:vAlign w:val="center"/>
          </w:tcPr>
          <w:p w14:paraId="7969C1B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0.72</w:t>
            </w:r>
          </w:p>
        </w:tc>
      </w:tr>
      <w:tr w:rsidR="0062768B" w14:paraId="4E097CCC" w14:textId="77777777">
        <w:trPr>
          <w:cantSplit/>
          <w:jc w:val="center"/>
        </w:trPr>
        <w:tc>
          <w:tcPr>
            <w:tcW w:w="1179" w:type="dxa"/>
            <w:shd w:val="clear" w:color="auto" w:fill="auto"/>
            <w:noWrap/>
            <w:vAlign w:val="center"/>
          </w:tcPr>
          <w:p w14:paraId="0B39D77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3.3 </w:t>
            </w:r>
          </w:p>
        </w:tc>
        <w:tc>
          <w:tcPr>
            <w:tcW w:w="1098" w:type="dxa"/>
            <w:shd w:val="clear" w:color="auto" w:fill="auto"/>
            <w:noWrap/>
            <w:vAlign w:val="center"/>
          </w:tcPr>
          <w:p w14:paraId="450A8F4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1.0071</w:t>
            </w:r>
          </w:p>
        </w:tc>
        <w:tc>
          <w:tcPr>
            <w:tcW w:w="1253" w:type="dxa"/>
            <w:shd w:val="clear" w:color="auto" w:fill="auto"/>
            <w:noWrap/>
            <w:vAlign w:val="center"/>
          </w:tcPr>
          <w:p w14:paraId="4128258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0.9598</w:t>
            </w:r>
          </w:p>
        </w:tc>
        <w:tc>
          <w:tcPr>
            <w:tcW w:w="1253" w:type="dxa"/>
            <w:shd w:val="clear" w:color="auto" w:fill="auto"/>
            <w:noWrap/>
            <w:vAlign w:val="center"/>
          </w:tcPr>
          <w:p w14:paraId="3C33D05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0.8871</w:t>
            </w:r>
          </w:p>
        </w:tc>
        <w:tc>
          <w:tcPr>
            <w:tcW w:w="1179" w:type="dxa"/>
            <w:shd w:val="clear" w:color="auto" w:fill="auto"/>
            <w:vAlign w:val="center"/>
          </w:tcPr>
          <w:p w14:paraId="2ACC1A2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7.8 </w:t>
            </w:r>
          </w:p>
        </w:tc>
        <w:tc>
          <w:tcPr>
            <w:tcW w:w="979" w:type="dxa"/>
            <w:shd w:val="clear" w:color="auto" w:fill="auto"/>
            <w:noWrap/>
            <w:vAlign w:val="center"/>
          </w:tcPr>
          <w:p w14:paraId="7313483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0.9137</w:t>
            </w:r>
          </w:p>
        </w:tc>
        <w:tc>
          <w:tcPr>
            <w:tcW w:w="1179" w:type="dxa"/>
            <w:shd w:val="clear" w:color="auto" w:fill="auto"/>
            <w:noWrap/>
            <w:vAlign w:val="center"/>
          </w:tcPr>
          <w:p w14:paraId="45C74DB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0.8466</w:t>
            </w:r>
          </w:p>
        </w:tc>
        <w:tc>
          <w:tcPr>
            <w:tcW w:w="1179" w:type="dxa"/>
            <w:shd w:val="clear" w:color="auto" w:fill="auto"/>
            <w:noWrap/>
            <w:vAlign w:val="center"/>
          </w:tcPr>
          <w:p w14:paraId="09FD1B3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0.7174</w:t>
            </w:r>
          </w:p>
        </w:tc>
      </w:tr>
      <w:tr w:rsidR="0062768B" w14:paraId="409F8482" w14:textId="77777777">
        <w:trPr>
          <w:cantSplit/>
          <w:jc w:val="center"/>
        </w:trPr>
        <w:tc>
          <w:tcPr>
            <w:tcW w:w="1179" w:type="dxa"/>
            <w:shd w:val="clear" w:color="auto" w:fill="auto"/>
            <w:noWrap/>
            <w:vAlign w:val="center"/>
          </w:tcPr>
          <w:p w14:paraId="5D056EF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3.4 </w:t>
            </w:r>
          </w:p>
        </w:tc>
        <w:tc>
          <w:tcPr>
            <w:tcW w:w="1098" w:type="dxa"/>
            <w:shd w:val="clear" w:color="auto" w:fill="auto"/>
            <w:noWrap/>
            <w:vAlign w:val="center"/>
          </w:tcPr>
          <w:p w14:paraId="347E867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1.0035</w:t>
            </w:r>
          </w:p>
        </w:tc>
        <w:tc>
          <w:tcPr>
            <w:tcW w:w="1253" w:type="dxa"/>
            <w:shd w:val="clear" w:color="auto" w:fill="auto"/>
            <w:noWrap/>
            <w:vAlign w:val="center"/>
          </w:tcPr>
          <w:p w14:paraId="74F97EC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0.9558</w:t>
            </w:r>
          </w:p>
        </w:tc>
        <w:tc>
          <w:tcPr>
            <w:tcW w:w="1253" w:type="dxa"/>
            <w:shd w:val="clear" w:color="auto" w:fill="auto"/>
            <w:noWrap/>
            <w:vAlign w:val="center"/>
          </w:tcPr>
          <w:p w14:paraId="2281D30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0.8812</w:t>
            </w:r>
          </w:p>
        </w:tc>
        <w:tc>
          <w:tcPr>
            <w:tcW w:w="1179" w:type="dxa"/>
            <w:shd w:val="clear" w:color="auto" w:fill="auto"/>
            <w:vAlign w:val="center"/>
          </w:tcPr>
          <w:p w14:paraId="69890CC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7.9 </w:t>
            </w:r>
          </w:p>
        </w:tc>
        <w:tc>
          <w:tcPr>
            <w:tcW w:w="979" w:type="dxa"/>
            <w:shd w:val="clear" w:color="auto" w:fill="auto"/>
            <w:noWrap/>
            <w:vAlign w:val="center"/>
          </w:tcPr>
          <w:p w14:paraId="49BD183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0.9123</w:t>
            </w:r>
          </w:p>
        </w:tc>
        <w:tc>
          <w:tcPr>
            <w:tcW w:w="1179" w:type="dxa"/>
            <w:shd w:val="clear" w:color="auto" w:fill="auto"/>
            <w:noWrap/>
            <w:vAlign w:val="center"/>
          </w:tcPr>
          <w:p w14:paraId="76561C7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0.8447</w:t>
            </w:r>
          </w:p>
        </w:tc>
        <w:tc>
          <w:tcPr>
            <w:tcW w:w="1179" w:type="dxa"/>
            <w:shd w:val="clear" w:color="auto" w:fill="auto"/>
            <w:noWrap/>
            <w:vAlign w:val="center"/>
          </w:tcPr>
          <w:p w14:paraId="608DF29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0.7148</w:t>
            </w:r>
          </w:p>
        </w:tc>
      </w:tr>
      <w:tr w:rsidR="0062768B" w14:paraId="48C2AAEC" w14:textId="77777777">
        <w:trPr>
          <w:cantSplit/>
          <w:jc w:val="center"/>
        </w:trPr>
        <w:tc>
          <w:tcPr>
            <w:tcW w:w="1179" w:type="dxa"/>
            <w:shd w:val="clear" w:color="auto" w:fill="auto"/>
            <w:noWrap/>
            <w:vAlign w:val="center"/>
          </w:tcPr>
          <w:p w14:paraId="42AB554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3.5 </w:t>
            </w:r>
          </w:p>
        </w:tc>
        <w:tc>
          <w:tcPr>
            <w:tcW w:w="1098" w:type="dxa"/>
            <w:shd w:val="clear" w:color="auto" w:fill="auto"/>
            <w:noWrap/>
            <w:vAlign w:val="center"/>
          </w:tcPr>
          <w:p w14:paraId="41F36DC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w:t>
            </w:r>
          </w:p>
        </w:tc>
        <w:tc>
          <w:tcPr>
            <w:tcW w:w="1253" w:type="dxa"/>
            <w:shd w:val="clear" w:color="auto" w:fill="auto"/>
            <w:noWrap/>
            <w:vAlign w:val="center"/>
          </w:tcPr>
          <w:p w14:paraId="32C6E46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0.952</w:t>
            </w:r>
          </w:p>
        </w:tc>
        <w:tc>
          <w:tcPr>
            <w:tcW w:w="1253" w:type="dxa"/>
            <w:shd w:val="clear" w:color="auto" w:fill="auto"/>
            <w:noWrap/>
            <w:vAlign w:val="center"/>
          </w:tcPr>
          <w:p w14:paraId="133501F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0.8755</w:t>
            </w:r>
          </w:p>
        </w:tc>
        <w:tc>
          <w:tcPr>
            <w:tcW w:w="1179" w:type="dxa"/>
            <w:shd w:val="clear" w:color="auto" w:fill="auto"/>
            <w:vAlign w:val="center"/>
          </w:tcPr>
          <w:p w14:paraId="7399EDB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8.0 </w:t>
            </w:r>
          </w:p>
        </w:tc>
        <w:tc>
          <w:tcPr>
            <w:tcW w:w="979" w:type="dxa"/>
            <w:shd w:val="clear" w:color="auto" w:fill="auto"/>
            <w:noWrap/>
            <w:vAlign w:val="center"/>
          </w:tcPr>
          <w:p w14:paraId="7341AF7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0.9109</w:t>
            </w:r>
          </w:p>
        </w:tc>
        <w:tc>
          <w:tcPr>
            <w:tcW w:w="1179" w:type="dxa"/>
            <w:shd w:val="clear" w:color="auto" w:fill="auto"/>
            <w:noWrap/>
            <w:vAlign w:val="center"/>
          </w:tcPr>
          <w:p w14:paraId="39F6542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0.8428</w:t>
            </w:r>
          </w:p>
        </w:tc>
        <w:tc>
          <w:tcPr>
            <w:tcW w:w="1179" w:type="dxa"/>
            <w:shd w:val="clear" w:color="auto" w:fill="auto"/>
            <w:noWrap/>
            <w:vAlign w:val="center"/>
          </w:tcPr>
          <w:p w14:paraId="3A07653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0.7123</w:t>
            </w:r>
          </w:p>
        </w:tc>
      </w:tr>
      <w:tr w:rsidR="0062768B" w14:paraId="6F92E1D5" w14:textId="77777777">
        <w:trPr>
          <w:cantSplit/>
          <w:jc w:val="center"/>
        </w:trPr>
        <w:tc>
          <w:tcPr>
            <w:tcW w:w="1179" w:type="dxa"/>
            <w:shd w:val="clear" w:color="auto" w:fill="auto"/>
            <w:noWrap/>
            <w:vAlign w:val="center"/>
          </w:tcPr>
          <w:p w14:paraId="6F24058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3.6 </w:t>
            </w:r>
          </w:p>
        </w:tc>
        <w:tc>
          <w:tcPr>
            <w:tcW w:w="1098" w:type="dxa"/>
            <w:shd w:val="clear" w:color="auto" w:fill="auto"/>
            <w:noWrap/>
            <w:vAlign w:val="center"/>
          </w:tcPr>
          <w:p w14:paraId="53F6396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0.9966</w:t>
            </w:r>
          </w:p>
        </w:tc>
        <w:tc>
          <w:tcPr>
            <w:tcW w:w="1253" w:type="dxa"/>
            <w:shd w:val="clear" w:color="auto" w:fill="auto"/>
            <w:noWrap/>
            <w:vAlign w:val="center"/>
          </w:tcPr>
          <w:p w14:paraId="280436F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0.9484</w:t>
            </w:r>
          </w:p>
        </w:tc>
        <w:tc>
          <w:tcPr>
            <w:tcW w:w="1253" w:type="dxa"/>
            <w:shd w:val="clear" w:color="auto" w:fill="auto"/>
            <w:noWrap/>
            <w:vAlign w:val="center"/>
          </w:tcPr>
          <w:p w14:paraId="44BCD3A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w:t>
            </w:r>
          </w:p>
        </w:tc>
        <w:tc>
          <w:tcPr>
            <w:tcW w:w="1179" w:type="dxa"/>
            <w:shd w:val="clear" w:color="auto" w:fill="auto"/>
            <w:vAlign w:val="center"/>
          </w:tcPr>
          <w:p w14:paraId="1B10A38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8.1 </w:t>
            </w:r>
          </w:p>
        </w:tc>
        <w:tc>
          <w:tcPr>
            <w:tcW w:w="979" w:type="dxa"/>
            <w:shd w:val="clear" w:color="auto" w:fill="auto"/>
            <w:noWrap/>
            <w:vAlign w:val="center"/>
          </w:tcPr>
          <w:p w14:paraId="685E678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0.9096</w:t>
            </w:r>
          </w:p>
        </w:tc>
        <w:tc>
          <w:tcPr>
            <w:tcW w:w="1179" w:type="dxa"/>
            <w:shd w:val="clear" w:color="auto" w:fill="auto"/>
            <w:noWrap/>
            <w:vAlign w:val="center"/>
          </w:tcPr>
          <w:p w14:paraId="08B69F0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0.8409</w:t>
            </w:r>
          </w:p>
        </w:tc>
        <w:tc>
          <w:tcPr>
            <w:tcW w:w="1179" w:type="dxa"/>
            <w:shd w:val="clear" w:color="auto" w:fill="auto"/>
            <w:noWrap/>
            <w:vAlign w:val="center"/>
          </w:tcPr>
          <w:p w14:paraId="61009CF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0.7098</w:t>
            </w:r>
          </w:p>
        </w:tc>
      </w:tr>
      <w:tr w:rsidR="0062768B" w14:paraId="3F9FD927" w14:textId="77777777">
        <w:trPr>
          <w:cantSplit/>
          <w:jc w:val="center"/>
        </w:trPr>
        <w:tc>
          <w:tcPr>
            <w:tcW w:w="1179" w:type="dxa"/>
            <w:shd w:val="clear" w:color="auto" w:fill="auto"/>
            <w:noWrap/>
            <w:vAlign w:val="center"/>
          </w:tcPr>
          <w:p w14:paraId="70EE9F5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3.7 </w:t>
            </w:r>
          </w:p>
        </w:tc>
        <w:tc>
          <w:tcPr>
            <w:tcW w:w="1098" w:type="dxa"/>
            <w:shd w:val="clear" w:color="auto" w:fill="auto"/>
            <w:noWrap/>
            <w:vAlign w:val="center"/>
          </w:tcPr>
          <w:p w14:paraId="0D649DB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0.9933</w:t>
            </w:r>
          </w:p>
        </w:tc>
        <w:tc>
          <w:tcPr>
            <w:tcW w:w="1253" w:type="dxa"/>
            <w:shd w:val="clear" w:color="auto" w:fill="auto"/>
            <w:noWrap/>
            <w:vAlign w:val="center"/>
          </w:tcPr>
          <w:p w14:paraId="68030A6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0.945</w:t>
            </w:r>
          </w:p>
        </w:tc>
        <w:tc>
          <w:tcPr>
            <w:tcW w:w="1253" w:type="dxa"/>
            <w:shd w:val="clear" w:color="auto" w:fill="auto"/>
            <w:noWrap/>
            <w:vAlign w:val="center"/>
          </w:tcPr>
          <w:p w14:paraId="57B2457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0.8647</w:t>
            </w:r>
          </w:p>
        </w:tc>
        <w:tc>
          <w:tcPr>
            <w:tcW w:w="1179" w:type="dxa"/>
            <w:shd w:val="clear" w:color="auto" w:fill="auto"/>
            <w:vAlign w:val="center"/>
          </w:tcPr>
          <w:p w14:paraId="6D1ED2D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8.2 </w:t>
            </w:r>
          </w:p>
        </w:tc>
        <w:tc>
          <w:tcPr>
            <w:tcW w:w="979" w:type="dxa"/>
            <w:shd w:val="clear" w:color="auto" w:fill="auto"/>
            <w:noWrap/>
            <w:vAlign w:val="center"/>
          </w:tcPr>
          <w:p w14:paraId="528B9DA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0.9083</w:t>
            </w:r>
          </w:p>
        </w:tc>
        <w:tc>
          <w:tcPr>
            <w:tcW w:w="1179" w:type="dxa"/>
            <w:shd w:val="clear" w:color="auto" w:fill="auto"/>
            <w:noWrap/>
            <w:vAlign w:val="center"/>
          </w:tcPr>
          <w:p w14:paraId="512C132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0.839</w:t>
            </w:r>
          </w:p>
        </w:tc>
        <w:tc>
          <w:tcPr>
            <w:tcW w:w="1179" w:type="dxa"/>
            <w:shd w:val="clear" w:color="auto" w:fill="auto"/>
            <w:noWrap/>
            <w:vAlign w:val="center"/>
          </w:tcPr>
          <w:p w14:paraId="22E829F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0.7073</w:t>
            </w:r>
          </w:p>
        </w:tc>
      </w:tr>
      <w:tr w:rsidR="0062768B" w14:paraId="327A63D9" w14:textId="77777777">
        <w:trPr>
          <w:cantSplit/>
          <w:jc w:val="center"/>
        </w:trPr>
        <w:tc>
          <w:tcPr>
            <w:tcW w:w="1179" w:type="dxa"/>
            <w:shd w:val="clear" w:color="auto" w:fill="auto"/>
            <w:noWrap/>
            <w:vAlign w:val="center"/>
          </w:tcPr>
          <w:p w14:paraId="725A8BE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3.8 </w:t>
            </w:r>
          </w:p>
        </w:tc>
        <w:tc>
          <w:tcPr>
            <w:tcW w:w="1098" w:type="dxa"/>
            <w:shd w:val="clear" w:color="auto" w:fill="auto"/>
            <w:noWrap/>
            <w:vAlign w:val="center"/>
          </w:tcPr>
          <w:p w14:paraId="16B500F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0.9901</w:t>
            </w:r>
          </w:p>
        </w:tc>
        <w:tc>
          <w:tcPr>
            <w:tcW w:w="1253" w:type="dxa"/>
            <w:shd w:val="clear" w:color="auto" w:fill="auto"/>
            <w:noWrap/>
            <w:vAlign w:val="center"/>
          </w:tcPr>
          <w:p w14:paraId="38F3EA6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0.9417</w:t>
            </w:r>
          </w:p>
        </w:tc>
        <w:tc>
          <w:tcPr>
            <w:tcW w:w="1253" w:type="dxa"/>
            <w:shd w:val="clear" w:color="auto" w:fill="auto"/>
            <w:noWrap/>
            <w:vAlign w:val="center"/>
          </w:tcPr>
          <w:p w14:paraId="0074ABB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0.8596</w:t>
            </w:r>
          </w:p>
        </w:tc>
        <w:tc>
          <w:tcPr>
            <w:tcW w:w="1179" w:type="dxa"/>
            <w:shd w:val="clear" w:color="auto" w:fill="auto"/>
            <w:vAlign w:val="center"/>
          </w:tcPr>
          <w:p w14:paraId="16EB6E3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8.3 </w:t>
            </w:r>
          </w:p>
        </w:tc>
        <w:tc>
          <w:tcPr>
            <w:tcW w:w="979" w:type="dxa"/>
            <w:shd w:val="clear" w:color="auto" w:fill="auto"/>
            <w:noWrap/>
            <w:vAlign w:val="center"/>
          </w:tcPr>
          <w:p w14:paraId="60EFB6F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0.907</w:t>
            </w:r>
          </w:p>
        </w:tc>
        <w:tc>
          <w:tcPr>
            <w:tcW w:w="1179" w:type="dxa"/>
            <w:shd w:val="clear" w:color="auto" w:fill="auto"/>
            <w:noWrap/>
            <w:vAlign w:val="center"/>
          </w:tcPr>
          <w:p w14:paraId="674B845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0.8372</w:t>
            </w:r>
          </w:p>
        </w:tc>
        <w:tc>
          <w:tcPr>
            <w:tcW w:w="1179" w:type="dxa"/>
            <w:shd w:val="clear" w:color="auto" w:fill="auto"/>
            <w:noWrap/>
            <w:vAlign w:val="center"/>
          </w:tcPr>
          <w:p w14:paraId="572145A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0.7049</w:t>
            </w:r>
          </w:p>
        </w:tc>
      </w:tr>
      <w:tr w:rsidR="0062768B" w14:paraId="6F5F0E5E" w14:textId="77777777">
        <w:trPr>
          <w:cantSplit/>
          <w:jc w:val="center"/>
        </w:trPr>
        <w:tc>
          <w:tcPr>
            <w:tcW w:w="1179" w:type="dxa"/>
            <w:shd w:val="clear" w:color="auto" w:fill="auto"/>
            <w:noWrap/>
            <w:vAlign w:val="center"/>
          </w:tcPr>
          <w:p w14:paraId="1C55548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3.9 </w:t>
            </w:r>
          </w:p>
        </w:tc>
        <w:tc>
          <w:tcPr>
            <w:tcW w:w="1098" w:type="dxa"/>
            <w:shd w:val="clear" w:color="auto" w:fill="auto"/>
            <w:noWrap/>
            <w:vAlign w:val="center"/>
          </w:tcPr>
          <w:p w14:paraId="10995B1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0.987</w:t>
            </w:r>
          </w:p>
        </w:tc>
        <w:tc>
          <w:tcPr>
            <w:tcW w:w="1253" w:type="dxa"/>
            <w:shd w:val="clear" w:color="auto" w:fill="auto"/>
            <w:noWrap/>
            <w:vAlign w:val="center"/>
          </w:tcPr>
          <w:p w14:paraId="6648988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0.9385</w:t>
            </w:r>
          </w:p>
        </w:tc>
        <w:tc>
          <w:tcPr>
            <w:tcW w:w="1253" w:type="dxa"/>
            <w:shd w:val="clear" w:color="auto" w:fill="auto"/>
            <w:noWrap/>
            <w:vAlign w:val="center"/>
          </w:tcPr>
          <w:p w14:paraId="0A1194E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0.8547</w:t>
            </w:r>
          </w:p>
        </w:tc>
        <w:tc>
          <w:tcPr>
            <w:tcW w:w="1179" w:type="dxa"/>
            <w:shd w:val="clear" w:color="auto" w:fill="auto"/>
            <w:vAlign w:val="center"/>
          </w:tcPr>
          <w:p w14:paraId="5F8AD59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8.4 </w:t>
            </w:r>
          </w:p>
        </w:tc>
        <w:tc>
          <w:tcPr>
            <w:tcW w:w="979" w:type="dxa"/>
            <w:shd w:val="clear" w:color="auto" w:fill="auto"/>
            <w:noWrap/>
            <w:vAlign w:val="center"/>
          </w:tcPr>
          <w:p w14:paraId="6C30A9A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0.9057</w:t>
            </w:r>
          </w:p>
        </w:tc>
        <w:tc>
          <w:tcPr>
            <w:tcW w:w="1179" w:type="dxa"/>
            <w:shd w:val="clear" w:color="auto" w:fill="auto"/>
            <w:noWrap/>
            <w:vAlign w:val="center"/>
          </w:tcPr>
          <w:p w14:paraId="21E8E3B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0.8354</w:t>
            </w:r>
          </w:p>
        </w:tc>
        <w:tc>
          <w:tcPr>
            <w:tcW w:w="1179" w:type="dxa"/>
            <w:shd w:val="clear" w:color="auto" w:fill="auto"/>
            <w:noWrap/>
            <w:vAlign w:val="center"/>
          </w:tcPr>
          <w:p w14:paraId="7E7526D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0.7025</w:t>
            </w:r>
          </w:p>
        </w:tc>
      </w:tr>
      <w:tr w:rsidR="0062768B" w14:paraId="27228874" w14:textId="77777777">
        <w:trPr>
          <w:cantSplit/>
          <w:jc w:val="center"/>
        </w:trPr>
        <w:tc>
          <w:tcPr>
            <w:tcW w:w="1179" w:type="dxa"/>
            <w:shd w:val="clear" w:color="auto" w:fill="auto"/>
            <w:noWrap/>
            <w:vAlign w:val="center"/>
          </w:tcPr>
          <w:p w14:paraId="2CB7227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4.0 </w:t>
            </w:r>
          </w:p>
        </w:tc>
        <w:tc>
          <w:tcPr>
            <w:tcW w:w="1098" w:type="dxa"/>
            <w:shd w:val="clear" w:color="auto" w:fill="auto"/>
            <w:noWrap/>
            <w:vAlign w:val="center"/>
          </w:tcPr>
          <w:p w14:paraId="08B1DB8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0.984</w:t>
            </w:r>
          </w:p>
        </w:tc>
        <w:tc>
          <w:tcPr>
            <w:tcW w:w="1253" w:type="dxa"/>
            <w:shd w:val="clear" w:color="auto" w:fill="auto"/>
            <w:noWrap/>
            <w:vAlign w:val="center"/>
          </w:tcPr>
          <w:p w14:paraId="2A3F17D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0.9354</w:t>
            </w:r>
          </w:p>
        </w:tc>
        <w:tc>
          <w:tcPr>
            <w:tcW w:w="1253" w:type="dxa"/>
            <w:shd w:val="clear" w:color="auto" w:fill="auto"/>
            <w:noWrap/>
            <w:vAlign w:val="center"/>
          </w:tcPr>
          <w:p w14:paraId="5182787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0.8499</w:t>
            </w:r>
          </w:p>
        </w:tc>
        <w:tc>
          <w:tcPr>
            <w:tcW w:w="1179" w:type="dxa"/>
            <w:shd w:val="clear" w:color="auto" w:fill="auto"/>
            <w:vAlign w:val="center"/>
          </w:tcPr>
          <w:p w14:paraId="1554FDA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8.5 </w:t>
            </w:r>
          </w:p>
        </w:tc>
        <w:tc>
          <w:tcPr>
            <w:tcW w:w="979" w:type="dxa"/>
            <w:shd w:val="clear" w:color="auto" w:fill="auto"/>
            <w:noWrap/>
            <w:vAlign w:val="center"/>
          </w:tcPr>
          <w:p w14:paraId="7894740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0.9044</w:t>
            </w:r>
          </w:p>
        </w:tc>
        <w:tc>
          <w:tcPr>
            <w:tcW w:w="1179" w:type="dxa"/>
            <w:shd w:val="clear" w:color="auto" w:fill="auto"/>
            <w:noWrap/>
            <w:vAlign w:val="center"/>
          </w:tcPr>
          <w:p w14:paraId="7234AB8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0.8336</w:t>
            </w:r>
          </w:p>
        </w:tc>
        <w:tc>
          <w:tcPr>
            <w:tcW w:w="1179" w:type="dxa"/>
            <w:shd w:val="clear" w:color="auto" w:fill="auto"/>
            <w:noWrap/>
            <w:vAlign w:val="center"/>
          </w:tcPr>
          <w:p w14:paraId="69A62D3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0.7001</w:t>
            </w:r>
          </w:p>
        </w:tc>
      </w:tr>
      <w:tr w:rsidR="0062768B" w14:paraId="184D9979" w14:textId="77777777">
        <w:trPr>
          <w:cantSplit/>
          <w:jc w:val="center"/>
        </w:trPr>
        <w:tc>
          <w:tcPr>
            <w:tcW w:w="1179" w:type="dxa"/>
            <w:shd w:val="clear" w:color="auto" w:fill="auto"/>
            <w:noWrap/>
            <w:vAlign w:val="center"/>
          </w:tcPr>
          <w:p w14:paraId="72D9975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4.1 </w:t>
            </w:r>
          </w:p>
        </w:tc>
        <w:tc>
          <w:tcPr>
            <w:tcW w:w="1098" w:type="dxa"/>
            <w:shd w:val="clear" w:color="auto" w:fill="auto"/>
            <w:noWrap/>
            <w:vAlign w:val="center"/>
          </w:tcPr>
          <w:p w14:paraId="208EDBB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0.9811</w:t>
            </w:r>
          </w:p>
        </w:tc>
        <w:tc>
          <w:tcPr>
            <w:tcW w:w="1253" w:type="dxa"/>
            <w:shd w:val="clear" w:color="auto" w:fill="auto"/>
            <w:noWrap/>
            <w:vAlign w:val="center"/>
          </w:tcPr>
          <w:p w14:paraId="238FB48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0.9324</w:t>
            </w:r>
          </w:p>
        </w:tc>
        <w:tc>
          <w:tcPr>
            <w:tcW w:w="1253" w:type="dxa"/>
            <w:shd w:val="clear" w:color="auto" w:fill="auto"/>
            <w:noWrap/>
            <w:vAlign w:val="center"/>
          </w:tcPr>
          <w:p w14:paraId="5B0C751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0.8452</w:t>
            </w:r>
          </w:p>
        </w:tc>
        <w:tc>
          <w:tcPr>
            <w:tcW w:w="1179" w:type="dxa"/>
            <w:shd w:val="clear" w:color="auto" w:fill="auto"/>
            <w:vAlign w:val="center"/>
          </w:tcPr>
          <w:p w14:paraId="07F5682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8.6 </w:t>
            </w:r>
          </w:p>
        </w:tc>
        <w:tc>
          <w:tcPr>
            <w:tcW w:w="979" w:type="dxa"/>
            <w:shd w:val="clear" w:color="auto" w:fill="auto"/>
            <w:noWrap/>
            <w:vAlign w:val="center"/>
          </w:tcPr>
          <w:p w14:paraId="6CA93D6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0.9031</w:t>
            </w:r>
          </w:p>
        </w:tc>
        <w:tc>
          <w:tcPr>
            <w:tcW w:w="1179" w:type="dxa"/>
            <w:shd w:val="clear" w:color="auto" w:fill="auto"/>
            <w:noWrap/>
            <w:vAlign w:val="center"/>
          </w:tcPr>
          <w:p w14:paraId="33A4F90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0.8318</w:t>
            </w:r>
          </w:p>
        </w:tc>
        <w:tc>
          <w:tcPr>
            <w:tcW w:w="1179" w:type="dxa"/>
            <w:shd w:val="clear" w:color="auto" w:fill="auto"/>
            <w:noWrap/>
            <w:vAlign w:val="center"/>
          </w:tcPr>
          <w:p w14:paraId="5AF230F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0.6978</w:t>
            </w:r>
          </w:p>
        </w:tc>
      </w:tr>
      <w:tr w:rsidR="0062768B" w14:paraId="54E7D324" w14:textId="77777777">
        <w:trPr>
          <w:cantSplit/>
          <w:jc w:val="center"/>
        </w:trPr>
        <w:tc>
          <w:tcPr>
            <w:tcW w:w="1179" w:type="dxa"/>
            <w:shd w:val="clear" w:color="auto" w:fill="auto"/>
            <w:noWrap/>
            <w:vAlign w:val="center"/>
          </w:tcPr>
          <w:p w14:paraId="740588B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4.2 </w:t>
            </w:r>
          </w:p>
        </w:tc>
        <w:tc>
          <w:tcPr>
            <w:tcW w:w="1098" w:type="dxa"/>
            <w:shd w:val="clear" w:color="auto" w:fill="auto"/>
            <w:noWrap/>
            <w:vAlign w:val="center"/>
          </w:tcPr>
          <w:p w14:paraId="135A41C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0.9783</w:t>
            </w:r>
          </w:p>
        </w:tc>
        <w:tc>
          <w:tcPr>
            <w:tcW w:w="1253" w:type="dxa"/>
            <w:shd w:val="clear" w:color="auto" w:fill="auto"/>
            <w:noWrap/>
            <w:vAlign w:val="center"/>
          </w:tcPr>
          <w:p w14:paraId="08992D0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0.9295</w:t>
            </w:r>
          </w:p>
        </w:tc>
        <w:tc>
          <w:tcPr>
            <w:tcW w:w="1253" w:type="dxa"/>
            <w:shd w:val="clear" w:color="auto" w:fill="auto"/>
            <w:noWrap/>
            <w:vAlign w:val="center"/>
          </w:tcPr>
          <w:p w14:paraId="7760596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0.8406</w:t>
            </w:r>
          </w:p>
        </w:tc>
        <w:tc>
          <w:tcPr>
            <w:tcW w:w="1179" w:type="dxa"/>
            <w:shd w:val="clear" w:color="auto" w:fill="auto"/>
            <w:vAlign w:val="center"/>
          </w:tcPr>
          <w:p w14:paraId="4653912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8.7 </w:t>
            </w:r>
          </w:p>
        </w:tc>
        <w:tc>
          <w:tcPr>
            <w:tcW w:w="979" w:type="dxa"/>
            <w:shd w:val="clear" w:color="auto" w:fill="auto"/>
            <w:noWrap/>
            <w:vAlign w:val="center"/>
          </w:tcPr>
          <w:p w14:paraId="0EF5387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0.9018</w:t>
            </w:r>
          </w:p>
        </w:tc>
        <w:tc>
          <w:tcPr>
            <w:tcW w:w="1179" w:type="dxa"/>
            <w:shd w:val="clear" w:color="auto" w:fill="auto"/>
            <w:noWrap/>
            <w:vAlign w:val="center"/>
          </w:tcPr>
          <w:p w14:paraId="70836A1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w:t>
            </w:r>
          </w:p>
        </w:tc>
        <w:tc>
          <w:tcPr>
            <w:tcW w:w="1179" w:type="dxa"/>
            <w:shd w:val="clear" w:color="auto" w:fill="auto"/>
            <w:noWrap/>
            <w:vAlign w:val="center"/>
          </w:tcPr>
          <w:p w14:paraId="7C89FE2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0.6955</w:t>
            </w:r>
          </w:p>
        </w:tc>
      </w:tr>
      <w:tr w:rsidR="0062768B" w14:paraId="2829898D" w14:textId="77777777">
        <w:trPr>
          <w:cantSplit/>
          <w:jc w:val="center"/>
        </w:trPr>
        <w:tc>
          <w:tcPr>
            <w:tcW w:w="1179" w:type="dxa"/>
            <w:shd w:val="clear" w:color="auto" w:fill="auto"/>
            <w:noWrap/>
            <w:vAlign w:val="center"/>
          </w:tcPr>
          <w:p w14:paraId="5C9BF61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4.3 </w:t>
            </w:r>
          </w:p>
        </w:tc>
        <w:tc>
          <w:tcPr>
            <w:tcW w:w="1098" w:type="dxa"/>
            <w:shd w:val="clear" w:color="auto" w:fill="auto"/>
            <w:noWrap/>
            <w:vAlign w:val="center"/>
          </w:tcPr>
          <w:p w14:paraId="663D1E1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0.9756</w:t>
            </w:r>
          </w:p>
        </w:tc>
        <w:tc>
          <w:tcPr>
            <w:tcW w:w="1253" w:type="dxa"/>
            <w:shd w:val="clear" w:color="auto" w:fill="auto"/>
            <w:noWrap/>
            <w:vAlign w:val="center"/>
          </w:tcPr>
          <w:p w14:paraId="51B8E9C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0.9267</w:t>
            </w:r>
          </w:p>
        </w:tc>
        <w:tc>
          <w:tcPr>
            <w:tcW w:w="1253" w:type="dxa"/>
            <w:shd w:val="clear" w:color="auto" w:fill="auto"/>
            <w:noWrap/>
            <w:vAlign w:val="center"/>
          </w:tcPr>
          <w:p w14:paraId="3DECFCF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0.8361</w:t>
            </w:r>
          </w:p>
        </w:tc>
        <w:tc>
          <w:tcPr>
            <w:tcW w:w="1179" w:type="dxa"/>
            <w:shd w:val="clear" w:color="auto" w:fill="auto"/>
            <w:vAlign w:val="center"/>
          </w:tcPr>
          <w:p w14:paraId="47B2484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8.8 </w:t>
            </w:r>
          </w:p>
        </w:tc>
        <w:tc>
          <w:tcPr>
            <w:tcW w:w="979" w:type="dxa"/>
            <w:shd w:val="clear" w:color="auto" w:fill="auto"/>
            <w:noWrap/>
            <w:vAlign w:val="center"/>
          </w:tcPr>
          <w:p w14:paraId="1D8AD75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0.9006</w:t>
            </w:r>
          </w:p>
        </w:tc>
        <w:tc>
          <w:tcPr>
            <w:tcW w:w="1179" w:type="dxa"/>
            <w:shd w:val="clear" w:color="auto" w:fill="auto"/>
            <w:noWrap/>
            <w:vAlign w:val="center"/>
          </w:tcPr>
          <w:p w14:paraId="72748D8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0.8283</w:t>
            </w:r>
          </w:p>
        </w:tc>
        <w:tc>
          <w:tcPr>
            <w:tcW w:w="1179" w:type="dxa"/>
            <w:shd w:val="clear" w:color="auto" w:fill="auto"/>
            <w:noWrap/>
            <w:vAlign w:val="center"/>
          </w:tcPr>
          <w:p w14:paraId="7C67761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0.6932</w:t>
            </w:r>
          </w:p>
        </w:tc>
      </w:tr>
      <w:tr w:rsidR="0062768B" w14:paraId="364159D0" w14:textId="77777777">
        <w:trPr>
          <w:cantSplit/>
          <w:jc w:val="center"/>
        </w:trPr>
        <w:tc>
          <w:tcPr>
            <w:tcW w:w="1179" w:type="dxa"/>
            <w:shd w:val="clear" w:color="auto" w:fill="auto"/>
            <w:noWrap/>
            <w:vAlign w:val="center"/>
          </w:tcPr>
          <w:p w14:paraId="5C8EA72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4.4 </w:t>
            </w:r>
          </w:p>
        </w:tc>
        <w:tc>
          <w:tcPr>
            <w:tcW w:w="1098" w:type="dxa"/>
            <w:shd w:val="clear" w:color="auto" w:fill="auto"/>
            <w:noWrap/>
            <w:vAlign w:val="center"/>
          </w:tcPr>
          <w:p w14:paraId="67B0A26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0.973</w:t>
            </w:r>
          </w:p>
        </w:tc>
        <w:tc>
          <w:tcPr>
            <w:tcW w:w="1253" w:type="dxa"/>
            <w:shd w:val="clear" w:color="auto" w:fill="auto"/>
            <w:noWrap/>
            <w:vAlign w:val="center"/>
          </w:tcPr>
          <w:p w14:paraId="7E53D5B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0.924</w:t>
            </w:r>
          </w:p>
        </w:tc>
        <w:tc>
          <w:tcPr>
            <w:tcW w:w="1253" w:type="dxa"/>
            <w:shd w:val="clear" w:color="auto" w:fill="auto"/>
            <w:noWrap/>
            <w:vAlign w:val="center"/>
          </w:tcPr>
          <w:p w14:paraId="713B789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0.8317</w:t>
            </w:r>
          </w:p>
        </w:tc>
        <w:tc>
          <w:tcPr>
            <w:tcW w:w="1179" w:type="dxa"/>
            <w:shd w:val="clear" w:color="auto" w:fill="auto"/>
            <w:vAlign w:val="center"/>
          </w:tcPr>
          <w:p w14:paraId="118E3D4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8.9 </w:t>
            </w:r>
          </w:p>
        </w:tc>
        <w:tc>
          <w:tcPr>
            <w:tcW w:w="979" w:type="dxa"/>
            <w:shd w:val="clear" w:color="auto" w:fill="auto"/>
            <w:noWrap/>
            <w:vAlign w:val="center"/>
          </w:tcPr>
          <w:p w14:paraId="18D0BEF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0.8994</w:t>
            </w:r>
          </w:p>
        </w:tc>
        <w:tc>
          <w:tcPr>
            <w:tcW w:w="1179" w:type="dxa"/>
            <w:shd w:val="clear" w:color="auto" w:fill="auto"/>
            <w:noWrap/>
            <w:vAlign w:val="center"/>
          </w:tcPr>
          <w:p w14:paraId="1B3A766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0.8266</w:t>
            </w:r>
          </w:p>
        </w:tc>
        <w:tc>
          <w:tcPr>
            <w:tcW w:w="1179" w:type="dxa"/>
            <w:shd w:val="clear" w:color="auto" w:fill="auto"/>
            <w:noWrap/>
            <w:vAlign w:val="center"/>
          </w:tcPr>
          <w:p w14:paraId="2CDD062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0.691</w:t>
            </w:r>
          </w:p>
        </w:tc>
      </w:tr>
      <w:tr w:rsidR="0062768B" w14:paraId="72A88C70" w14:textId="77777777">
        <w:trPr>
          <w:cantSplit/>
          <w:jc w:val="center"/>
        </w:trPr>
        <w:tc>
          <w:tcPr>
            <w:tcW w:w="1179" w:type="dxa"/>
            <w:shd w:val="clear" w:color="auto" w:fill="auto"/>
            <w:noWrap/>
            <w:vAlign w:val="center"/>
          </w:tcPr>
          <w:p w14:paraId="041F460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4.5 </w:t>
            </w:r>
          </w:p>
        </w:tc>
        <w:tc>
          <w:tcPr>
            <w:tcW w:w="1098" w:type="dxa"/>
            <w:shd w:val="clear" w:color="auto" w:fill="auto"/>
            <w:noWrap/>
            <w:vAlign w:val="center"/>
          </w:tcPr>
          <w:p w14:paraId="3ECE164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0.9705</w:t>
            </w:r>
          </w:p>
        </w:tc>
        <w:tc>
          <w:tcPr>
            <w:tcW w:w="1253" w:type="dxa"/>
            <w:shd w:val="clear" w:color="auto" w:fill="auto"/>
            <w:noWrap/>
            <w:vAlign w:val="center"/>
          </w:tcPr>
          <w:p w14:paraId="0339107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0.9213</w:t>
            </w:r>
          </w:p>
        </w:tc>
        <w:tc>
          <w:tcPr>
            <w:tcW w:w="1253" w:type="dxa"/>
            <w:shd w:val="clear" w:color="auto" w:fill="auto"/>
            <w:noWrap/>
            <w:vAlign w:val="center"/>
          </w:tcPr>
          <w:p w14:paraId="3F3A407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0.8274</w:t>
            </w:r>
          </w:p>
        </w:tc>
        <w:tc>
          <w:tcPr>
            <w:tcW w:w="1179" w:type="dxa"/>
            <w:shd w:val="clear" w:color="auto" w:fill="auto"/>
            <w:vAlign w:val="center"/>
          </w:tcPr>
          <w:p w14:paraId="38C7B96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9.0 </w:t>
            </w:r>
          </w:p>
        </w:tc>
        <w:tc>
          <w:tcPr>
            <w:tcW w:w="979" w:type="dxa"/>
            <w:shd w:val="clear" w:color="auto" w:fill="auto"/>
            <w:noWrap/>
            <w:vAlign w:val="center"/>
          </w:tcPr>
          <w:p w14:paraId="61214AC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0.8982</w:t>
            </w:r>
          </w:p>
        </w:tc>
        <w:tc>
          <w:tcPr>
            <w:tcW w:w="1179" w:type="dxa"/>
            <w:shd w:val="clear" w:color="auto" w:fill="auto"/>
            <w:noWrap/>
            <w:vAlign w:val="center"/>
          </w:tcPr>
          <w:p w14:paraId="553FDA9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0.8249</w:t>
            </w:r>
          </w:p>
        </w:tc>
        <w:tc>
          <w:tcPr>
            <w:tcW w:w="1179" w:type="dxa"/>
            <w:shd w:val="clear" w:color="auto" w:fill="auto"/>
            <w:noWrap/>
            <w:vAlign w:val="center"/>
          </w:tcPr>
          <w:p w14:paraId="0DB1A23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0.6888</w:t>
            </w:r>
          </w:p>
        </w:tc>
      </w:tr>
      <w:tr w:rsidR="0062768B" w14:paraId="4AB3B651" w14:textId="77777777">
        <w:trPr>
          <w:cantSplit/>
          <w:jc w:val="center"/>
        </w:trPr>
        <w:tc>
          <w:tcPr>
            <w:tcW w:w="1179" w:type="dxa"/>
            <w:shd w:val="clear" w:color="auto" w:fill="auto"/>
            <w:noWrap/>
            <w:vAlign w:val="center"/>
          </w:tcPr>
          <w:p w14:paraId="4720A5F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4.6 </w:t>
            </w:r>
          </w:p>
        </w:tc>
        <w:tc>
          <w:tcPr>
            <w:tcW w:w="1098" w:type="dxa"/>
            <w:shd w:val="clear" w:color="auto" w:fill="auto"/>
            <w:noWrap/>
            <w:vAlign w:val="center"/>
          </w:tcPr>
          <w:p w14:paraId="4A8ACEC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0.9681</w:t>
            </w:r>
          </w:p>
        </w:tc>
        <w:tc>
          <w:tcPr>
            <w:tcW w:w="1253" w:type="dxa"/>
            <w:shd w:val="clear" w:color="auto" w:fill="auto"/>
            <w:noWrap/>
            <w:vAlign w:val="center"/>
          </w:tcPr>
          <w:p w14:paraId="4A2B023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0.9187</w:t>
            </w:r>
          </w:p>
        </w:tc>
        <w:tc>
          <w:tcPr>
            <w:tcW w:w="1253" w:type="dxa"/>
            <w:shd w:val="clear" w:color="auto" w:fill="auto"/>
            <w:noWrap/>
            <w:vAlign w:val="center"/>
          </w:tcPr>
          <w:p w14:paraId="6F0160C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0.8232</w:t>
            </w:r>
          </w:p>
        </w:tc>
        <w:tc>
          <w:tcPr>
            <w:tcW w:w="1179" w:type="dxa"/>
            <w:shd w:val="clear" w:color="auto" w:fill="auto"/>
            <w:vAlign w:val="center"/>
          </w:tcPr>
          <w:p w14:paraId="22EAC03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9.1 </w:t>
            </w:r>
          </w:p>
        </w:tc>
        <w:tc>
          <w:tcPr>
            <w:tcW w:w="979" w:type="dxa"/>
            <w:shd w:val="clear" w:color="auto" w:fill="auto"/>
            <w:noWrap/>
            <w:vAlign w:val="center"/>
          </w:tcPr>
          <w:p w14:paraId="22DC8C4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0.897</w:t>
            </w:r>
          </w:p>
        </w:tc>
        <w:tc>
          <w:tcPr>
            <w:tcW w:w="1179" w:type="dxa"/>
            <w:shd w:val="clear" w:color="auto" w:fill="auto"/>
            <w:noWrap/>
            <w:vAlign w:val="center"/>
          </w:tcPr>
          <w:p w14:paraId="01FEE75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0.8232</w:t>
            </w:r>
          </w:p>
        </w:tc>
        <w:tc>
          <w:tcPr>
            <w:tcW w:w="1179" w:type="dxa"/>
            <w:shd w:val="clear" w:color="auto" w:fill="auto"/>
            <w:noWrap/>
            <w:vAlign w:val="center"/>
          </w:tcPr>
          <w:p w14:paraId="2AFD18F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0.6866</w:t>
            </w:r>
          </w:p>
        </w:tc>
      </w:tr>
      <w:tr w:rsidR="0062768B" w14:paraId="4E136CCE" w14:textId="77777777">
        <w:trPr>
          <w:cantSplit/>
          <w:jc w:val="center"/>
        </w:trPr>
        <w:tc>
          <w:tcPr>
            <w:tcW w:w="1179" w:type="dxa"/>
            <w:shd w:val="clear" w:color="auto" w:fill="auto"/>
            <w:noWrap/>
            <w:vAlign w:val="center"/>
          </w:tcPr>
          <w:p w14:paraId="6B66123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4.7 </w:t>
            </w:r>
          </w:p>
        </w:tc>
        <w:tc>
          <w:tcPr>
            <w:tcW w:w="1098" w:type="dxa"/>
            <w:shd w:val="clear" w:color="auto" w:fill="auto"/>
            <w:noWrap/>
            <w:vAlign w:val="center"/>
          </w:tcPr>
          <w:p w14:paraId="45D5010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0.9658</w:t>
            </w:r>
          </w:p>
        </w:tc>
        <w:tc>
          <w:tcPr>
            <w:tcW w:w="1253" w:type="dxa"/>
            <w:shd w:val="clear" w:color="auto" w:fill="auto"/>
            <w:noWrap/>
            <w:vAlign w:val="center"/>
          </w:tcPr>
          <w:p w14:paraId="17951C9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0.9161</w:t>
            </w:r>
          </w:p>
        </w:tc>
        <w:tc>
          <w:tcPr>
            <w:tcW w:w="1253" w:type="dxa"/>
            <w:shd w:val="clear" w:color="auto" w:fill="auto"/>
            <w:noWrap/>
            <w:vAlign w:val="center"/>
          </w:tcPr>
          <w:p w14:paraId="4E75DB4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0.8191</w:t>
            </w:r>
          </w:p>
        </w:tc>
        <w:tc>
          <w:tcPr>
            <w:tcW w:w="1179" w:type="dxa"/>
            <w:shd w:val="clear" w:color="auto" w:fill="auto"/>
            <w:vAlign w:val="center"/>
          </w:tcPr>
          <w:p w14:paraId="1A698B7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9.2 </w:t>
            </w:r>
          </w:p>
        </w:tc>
        <w:tc>
          <w:tcPr>
            <w:tcW w:w="979" w:type="dxa"/>
            <w:shd w:val="clear" w:color="auto" w:fill="auto"/>
            <w:noWrap/>
            <w:vAlign w:val="center"/>
          </w:tcPr>
          <w:p w14:paraId="5E17D37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0.8958</w:t>
            </w:r>
          </w:p>
        </w:tc>
        <w:tc>
          <w:tcPr>
            <w:tcW w:w="1179" w:type="dxa"/>
            <w:shd w:val="clear" w:color="auto" w:fill="auto"/>
            <w:noWrap/>
            <w:vAlign w:val="center"/>
          </w:tcPr>
          <w:p w14:paraId="5318F69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0.8215</w:t>
            </w:r>
          </w:p>
        </w:tc>
        <w:tc>
          <w:tcPr>
            <w:tcW w:w="1179" w:type="dxa"/>
            <w:shd w:val="clear" w:color="auto" w:fill="auto"/>
            <w:noWrap/>
            <w:vAlign w:val="center"/>
          </w:tcPr>
          <w:p w14:paraId="7FB7ED3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0.6845</w:t>
            </w:r>
          </w:p>
        </w:tc>
      </w:tr>
      <w:tr w:rsidR="0062768B" w14:paraId="711A555B" w14:textId="77777777">
        <w:trPr>
          <w:cantSplit/>
          <w:jc w:val="center"/>
        </w:trPr>
        <w:tc>
          <w:tcPr>
            <w:tcW w:w="1179" w:type="dxa"/>
            <w:shd w:val="clear" w:color="auto" w:fill="auto"/>
            <w:noWrap/>
            <w:vAlign w:val="center"/>
          </w:tcPr>
          <w:p w14:paraId="5A420C5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4.8 </w:t>
            </w:r>
          </w:p>
        </w:tc>
        <w:tc>
          <w:tcPr>
            <w:tcW w:w="1098" w:type="dxa"/>
            <w:shd w:val="clear" w:color="auto" w:fill="auto"/>
            <w:noWrap/>
            <w:vAlign w:val="center"/>
          </w:tcPr>
          <w:p w14:paraId="32E0B9A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0.9636</w:t>
            </w:r>
          </w:p>
        </w:tc>
        <w:tc>
          <w:tcPr>
            <w:tcW w:w="1253" w:type="dxa"/>
            <w:shd w:val="clear" w:color="auto" w:fill="auto"/>
            <w:noWrap/>
            <w:vAlign w:val="center"/>
          </w:tcPr>
          <w:p w14:paraId="723F172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0.9135</w:t>
            </w:r>
          </w:p>
        </w:tc>
        <w:tc>
          <w:tcPr>
            <w:tcW w:w="1253" w:type="dxa"/>
            <w:shd w:val="clear" w:color="auto" w:fill="auto"/>
            <w:noWrap/>
            <w:vAlign w:val="center"/>
          </w:tcPr>
          <w:p w14:paraId="79682B0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0.8151</w:t>
            </w:r>
          </w:p>
        </w:tc>
        <w:tc>
          <w:tcPr>
            <w:tcW w:w="1179" w:type="dxa"/>
            <w:shd w:val="clear" w:color="auto" w:fill="auto"/>
            <w:vAlign w:val="center"/>
          </w:tcPr>
          <w:p w14:paraId="2C48838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9.3 </w:t>
            </w:r>
          </w:p>
        </w:tc>
        <w:tc>
          <w:tcPr>
            <w:tcW w:w="979" w:type="dxa"/>
            <w:shd w:val="clear" w:color="auto" w:fill="auto"/>
            <w:noWrap/>
            <w:vAlign w:val="center"/>
          </w:tcPr>
          <w:p w14:paraId="74EB1BA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0.8946</w:t>
            </w:r>
          </w:p>
        </w:tc>
        <w:tc>
          <w:tcPr>
            <w:tcW w:w="1179" w:type="dxa"/>
            <w:shd w:val="clear" w:color="auto" w:fill="auto"/>
            <w:noWrap/>
            <w:vAlign w:val="center"/>
          </w:tcPr>
          <w:p w14:paraId="7A918DD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0.8199</w:t>
            </w:r>
          </w:p>
        </w:tc>
        <w:tc>
          <w:tcPr>
            <w:tcW w:w="1179" w:type="dxa"/>
            <w:shd w:val="clear" w:color="auto" w:fill="auto"/>
            <w:noWrap/>
            <w:vAlign w:val="center"/>
          </w:tcPr>
          <w:p w14:paraId="3CFA805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0.6824</w:t>
            </w:r>
          </w:p>
        </w:tc>
      </w:tr>
      <w:tr w:rsidR="0062768B" w14:paraId="1127C3D0" w14:textId="77777777">
        <w:trPr>
          <w:cantSplit/>
          <w:jc w:val="center"/>
        </w:trPr>
        <w:tc>
          <w:tcPr>
            <w:tcW w:w="1179" w:type="dxa"/>
            <w:shd w:val="clear" w:color="auto" w:fill="auto"/>
            <w:noWrap/>
            <w:vAlign w:val="center"/>
          </w:tcPr>
          <w:p w14:paraId="1A49766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4.9 </w:t>
            </w:r>
          </w:p>
        </w:tc>
        <w:tc>
          <w:tcPr>
            <w:tcW w:w="1098" w:type="dxa"/>
            <w:shd w:val="clear" w:color="auto" w:fill="auto"/>
            <w:noWrap/>
            <w:vAlign w:val="center"/>
          </w:tcPr>
          <w:p w14:paraId="0F50081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0.9615</w:t>
            </w:r>
          </w:p>
        </w:tc>
        <w:tc>
          <w:tcPr>
            <w:tcW w:w="1253" w:type="dxa"/>
            <w:shd w:val="clear" w:color="auto" w:fill="auto"/>
            <w:noWrap/>
            <w:vAlign w:val="center"/>
          </w:tcPr>
          <w:p w14:paraId="0C53167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0.911</w:t>
            </w:r>
          </w:p>
        </w:tc>
        <w:tc>
          <w:tcPr>
            <w:tcW w:w="1253" w:type="dxa"/>
            <w:shd w:val="clear" w:color="auto" w:fill="auto"/>
            <w:noWrap/>
            <w:vAlign w:val="center"/>
          </w:tcPr>
          <w:p w14:paraId="6A91072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0.8111</w:t>
            </w:r>
          </w:p>
        </w:tc>
        <w:tc>
          <w:tcPr>
            <w:tcW w:w="1179" w:type="dxa"/>
            <w:shd w:val="clear" w:color="auto" w:fill="auto"/>
            <w:vAlign w:val="center"/>
          </w:tcPr>
          <w:p w14:paraId="58CD3B8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9.4 </w:t>
            </w:r>
          </w:p>
        </w:tc>
        <w:tc>
          <w:tcPr>
            <w:tcW w:w="979" w:type="dxa"/>
            <w:shd w:val="clear" w:color="auto" w:fill="auto"/>
            <w:noWrap/>
            <w:vAlign w:val="center"/>
          </w:tcPr>
          <w:p w14:paraId="5471F01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0.8934</w:t>
            </w:r>
          </w:p>
        </w:tc>
        <w:tc>
          <w:tcPr>
            <w:tcW w:w="1179" w:type="dxa"/>
            <w:shd w:val="clear" w:color="auto" w:fill="auto"/>
            <w:noWrap/>
            <w:vAlign w:val="center"/>
          </w:tcPr>
          <w:p w14:paraId="32140C0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0.8183</w:t>
            </w:r>
          </w:p>
        </w:tc>
        <w:tc>
          <w:tcPr>
            <w:tcW w:w="1179" w:type="dxa"/>
            <w:shd w:val="clear" w:color="auto" w:fill="auto"/>
            <w:noWrap/>
            <w:vAlign w:val="center"/>
          </w:tcPr>
          <w:p w14:paraId="461E3D7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0.6803</w:t>
            </w:r>
          </w:p>
        </w:tc>
      </w:tr>
      <w:tr w:rsidR="0062768B" w14:paraId="11924C48" w14:textId="77777777">
        <w:trPr>
          <w:cantSplit/>
          <w:jc w:val="center"/>
        </w:trPr>
        <w:tc>
          <w:tcPr>
            <w:tcW w:w="1179" w:type="dxa"/>
            <w:shd w:val="clear" w:color="auto" w:fill="auto"/>
            <w:noWrap/>
            <w:vAlign w:val="center"/>
          </w:tcPr>
          <w:p w14:paraId="3D8FB90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5.0</w:t>
            </w:r>
          </w:p>
        </w:tc>
        <w:tc>
          <w:tcPr>
            <w:tcW w:w="1098" w:type="dxa"/>
            <w:shd w:val="clear" w:color="auto" w:fill="auto"/>
            <w:noWrap/>
            <w:vAlign w:val="center"/>
          </w:tcPr>
          <w:p w14:paraId="4DBA6A2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0.9594</w:t>
            </w:r>
          </w:p>
        </w:tc>
        <w:tc>
          <w:tcPr>
            <w:tcW w:w="1253" w:type="dxa"/>
            <w:shd w:val="clear" w:color="auto" w:fill="auto"/>
            <w:noWrap/>
            <w:vAlign w:val="center"/>
          </w:tcPr>
          <w:p w14:paraId="0386685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0.9085</w:t>
            </w:r>
          </w:p>
        </w:tc>
        <w:tc>
          <w:tcPr>
            <w:tcW w:w="1253" w:type="dxa"/>
            <w:shd w:val="clear" w:color="auto" w:fill="auto"/>
            <w:noWrap/>
            <w:vAlign w:val="center"/>
          </w:tcPr>
          <w:p w14:paraId="565E21E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0.8072</w:t>
            </w:r>
          </w:p>
        </w:tc>
        <w:tc>
          <w:tcPr>
            <w:tcW w:w="1179" w:type="dxa"/>
            <w:shd w:val="clear" w:color="auto" w:fill="auto"/>
            <w:vAlign w:val="center"/>
          </w:tcPr>
          <w:p w14:paraId="7447999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9.5 </w:t>
            </w:r>
          </w:p>
        </w:tc>
        <w:tc>
          <w:tcPr>
            <w:tcW w:w="979" w:type="dxa"/>
            <w:shd w:val="clear" w:color="auto" w:fill="auto"/>
            <w:noWrap/>
            <w:vAlign w:val="center"/>
          </w:tcPr>
          <w:p w14:paraId="79DD488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0.8923</w:t>
            </w:r>
          </w:p>
        </w:tc>
        <w:tc>
          <w:tcPr>
            <w:tcW w:w="1179" w:type="dxa"/>
            <w:shd w:val="clear" w:color="auto" w:fill="auto"/>
            <w:noWrap/>
            <w:vAlign w:val="center"/>
          </w:tcPr>
          <w:p w14:paraId="3933F58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0.8167</w:t>
            </w:r>
          </w:p>
        </w:tc>
        <w:tc>
          <w:tcPr>
            <w:tcW w:w="1179" w:type="dxa"/>
            <w:shd w:val="clear" w:color="auto" w:fill="auto"/>
            <w:noWrap/>
            <w:vAlign w:val="center"/>
          </w:tcPr>
          <w:p w14:paraId="195FF6F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0.6783</w:t>
            </w:r>
          </w:p>
        </w:tc>
      </w:tr>
      <w:tr w:rsidR="0062768B" w14:paraId="3F96C410" w14:textId="77777777">
        <w:trPr>
          <w:cantSplit/>
          <w:jc w:val="center"/>
        </w:trPr>
        <w:tc>
          <w:tcPr>
            <w:tcW w:w="1179" w:type="dxa"/>
            <w:shd w:val="clear" w:color="auto" w:fill="auto"/>
            <w:noWrap/>
            <w:vAlign w:val="center"/>
          </w:tcPr>
          <w:p w14:paraId="348524D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5.1 </w:t>
            </w:r>
          </w:p>
        </w:tc>
        <w:tc>
          <w:tcPr>
            <w:tcW w:w="1098" w:type="dxa"/>
            <w:shd w:val="clear" w:color="auto" w:fill="auto"/>
            <w:noWrap/>
            <w:vAlign w:val="center"/>
          </w:tcPr>
          <w:p w14:paraId="72E45A1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0.9574</w:t>
            </w:r>
          </w:p>
        </w:tc>
        <w:tc>
          <w:tcPr>
            <w:tcW w:w="1253" w:type="dxa"/>
            <w:shd w:val="clear" w:color="auto" w:fill="auto"/>
            <w:noWrap/>
            <w:vAlign w:val="center"/>
          </w:tcPr>
          <w:p w14:paraId="3D6252A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0.906</w:t>
            </w:r>
          </w:p>
        </w:tc>
        <w:tc>
          <w:tcPr>
            <w:tcW w:w="1253" w:type="dxa"/>
            <w:shd w:val="clear" w:color="auto" w:fill="auto"/>
            <w:noWrap/>
            <w:vAlign w:val="center"/>
          </w:tcPr>
          <w:p w14:paraId="000A4A4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0.8033</w:t>
            </w:r>
          </w:p>
        </w:tc>
        <w:tc>
          <w:tcPr>
            <w:tcW w:w="1179" w:type="dxa"/>
            <w:shd w:val="clear" w:color="auto" w:fill="auto"/>
            <w:vAlign w:val="center"/>
          </w:tcPr>
          <w:p w14:paraId="25CF7B2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9.6 </w:t>
            </w:r>
          </w:p>
        </w:tc>
        <w:tc>
          <w:tcPr>
            <w:tcW w:w="979" w:type="dxa"/>
            <w:shd w:val="clear" w:color="auto" w:fill="auto"/>
            <w:noWrap/>
            <w:vAlign w:val="center"/>
          </w:tcPr>
          <w:p w14:paraId="23B545D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0.8912</w:t>
            </w:r>
          </w:p>
        </w:tc>
        <w:tc>
          <w:tcPr>
            <w:tcW w:w="1179" w:type="dxa"/>
            <w:shd w:val="clear" w:color="auto" w:fill="auto"/>
            <w:noWrap/>
            <w:vAlign w:val="center"/>
          </w:tcPr>
          <w:p w14:paraId="7C451E1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0.8151</w:t>
            </w:r>
          </w:p>
        </w:tc>
        <w:tc>
          <w:tcPr>
            <w:tcW w:w="1179" w:type="dxa"/>
            <w:shd w:val="clear" w:color="auto" w:fill="auto"/>
            <w:noWrap/>
            <w:vAlign w:val="center"/>
          </w:tcPr>
          <w:p w14:paraId="029F97F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0.6763</w:t>
            </w:r>
          </w:p>
        </w:tc>
      </w:tr>
      <w:tr w:rsidR="0062768B" w14:paraId="13D84CC7" w14:textId="77777777">
        <w:trPr>
          <w:cantSplit/>
          <w:jc w:val="center"/>
        </w:trPr>
        <w:tc>
          <w:tcPr>
            <w:tcW w:w="1179" w:type="dxa"/>
            <w:shd w:val="clear" w:color="auto" w:fill="auto"/>
            <w:noWrap/>
            <w:vAlign w:val="center"/>
          </w:tcPr>
          <w:p w14:paraId="15EC7D0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5.2 </w:t>
            </w:r>
          </w:p>
        </w:tc>
        <w:tc>
          <w:tcPr>
            <w:tcW w:w="1098" w:type="dxa"/>
            <w:shd w:val="clear" w:color="auto" w:fill="auto"/>
            <w:noWrap/>
            <w:vAlign w:val="center"/>
          </w:tcPr>
          <w:p w14:paraId="2C85062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0.9554</w:t>
            </w:r>
          </w:p>
        </w:tc>
        <w:tc>
          <w:tcPr>
            <w:tcW w:w="1253" w:type="dxa"/>
            <w:shd w:val="clear" w:color="auto" w:fill="auto"/>
            <w:noWrap/>
            <w:vAlign w:val="center"/>
          </w:tcPr>
          <w:p w14:paraId="064AD2A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0.9035</w:t>
            </w:r>
          </w:p>
        </w:tc>
        <w:tc>
          <w:tcPr>
            <w:tcW w:w="1253" w:type="dxa"/>
            <w:shd w:val="clear" w:color="auto" w:fill="auto"/>
            <w:noWrap/>
            <w:vAlign w:val="center"/>
          </w:tcPr>
          <w:p w14:paraId="7F7F1BA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0.7995</w:t>
            </w:r>
          </w:p>
        </w:tc>
        <w:tc>
          <w:tcPr>
            <w:tcW w:w="1179" w:type="dxa"/>
            <w:shd w:val="clear" w:color="auto" w:fill="auto"/>
            <w:vAlign w:val="center"/>
          </w:tcPr>
          <w:p w14:paraId="4A54426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9.7 </w:t>
            </w:r>
          </w:p>
        </w:tc>
        <w:tc>
          <w:tcPr>
            <w:tcW w:w="979" w:type="dxa"/>
            <w:shd w:val="clear" w:color="auto" w:fill="auto"/>
            <w:noWrap/>
            <w:vAlign w:val="center"/>
          </w:tcPr>
          <w:p w14:paraId="1D849C4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0.8901</w:t>
            </w:r>
          </w:p>
        </w:tc>
        <w:tc>
          <w:tcPr>
            <w:tcW w:w="1179" w:type="dxa"/>
            <w:shd w:val="clear" w:color="auto" w:fill="auto"/>
            <w:noWrap/>
            <w:vAlign w:val="center"/>
          </w:tcPr>
          <w:p w14:paraId="036BF30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0.8135</w:t>
            </w:r>
          </w:p>
        </w:tc>
        <w:tc>
          <w:tcPr>
            <w:tcW w:w="1179" w:type="dxa"/>
            <w:shd w:val="clear" w:color="auto" w:fill="auto"/>
            <w:noWrap/>
            <w:vAlign w:val="center"/>
          </w:tcPr>
          <w:p w14:paraId="5F567BC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0.6743</w:t>
            </w:r>
          </w:p>
        </w:tc>
      </w:tr>
      <w:tr w:rsidR="0062768B" w14:paraId="44746DC9" w14:textId="77777777">
        <w:trPr>
          <w:cantSplit/>
          <w:jc w:val="center"/>
        </w:trPr>
        <w:tc>
          <w:tcPr>
            <w:tcW w:w="1179" w:type="dxa"/>
            <w:shd w:val="clear" w:color="auto" w:fill="auto"/>
            <w:noWrap/>
            <w:vAlign w:val="center"/>
          </w:tcPr>
          <w:p w14:paraId="6C0637F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5.3 </w:t>
            </w:r>
          </w:p>
        </w:tc>
        <w:tc>
          <w:tcPr>
            <w:tcW w:w="1098" w:type="dxa"/>
            <w:shd w:val="clear" w:color="auto" w:fill="auto"/>
            <w:noWrap/>
            <w:vAlign w:val="center"/>
          </w:tcPr>
          <w:p w14:paraId="459D2DF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0.9535</w:t>
            </w:r>
          </w:p>
        </w:tc>
        <w:tc>
          <w:tcPr>
            <w:tcW w:w="1253" w:type="dxa"/>
            <w:shd w:val="clear" w:color="auto" w:fill="auto"/>
            <w:noWrap/>
            <w:vAlign w:val="center"/>
          </w:tcPr>
          <w:p w14:paraId="39F8F15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0.9011</w:t>
            </w:r>
          </w:p>
        </w:tc>
        <w:tc>
          <w:tcPr>
            <w:tcW w:w="1253" w:type="dxa"/>
            <w:shd w:val="clear" w:color="auto" w:fill="auto"/>
            <w:noWrap/>
            <w:vAlign w:val="center"/>
          </w:tcPr>
          <w:p w14:paraId="1E4F483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0.7957</w:t>
            </w:r>
          </w:p>
        </w:tc>
        <w:tc>
          <w:tcPr>
            <w:tcW w:w="1179" w:type="dxa"/>
            <w:shd w:val="clear" w:color="auto" w:fill="auto"/>
            <w:vAlign w:val="center"/>
          </w:tcPr>
          <w:p w14:paraId="6291FC8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9.8 </w:t>
            </w:r>
          </w:p>
        </w:tc>
        <w:tc>
          <w:tcPr>
            <w:tcW w:w="979" w:type="dxa"/>
            <w:shd w:val="clear" w:color="auto" w:fill="auto"/>
            <w:noWrap/>
            <w:vAlign w:val="center"/>
          </w:tcPr>
          <w:p w14:paraId="1591E11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0.889</w:t>
            </w:r>
          </w:p>
        </w:tc>
        <w:tc>
          <w:tcPr>
            <w:tcW w:w="1179" w:type="dxa"/>
            <w:shd w:val="clear" w:color="auto" w:fill="auto"/>
            <w:noWrap/>
            <w:vAlign w:val="center"/>
          </w:tcPr>
          <w:p w14:paraId="187540F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0.812</w:t>
            </w:r>
          </w:p>
        </w:tc>
        <w:tc>
          <w:tcPr>
            <w:tcW w:w="1179" w:type="dxa"/>
            <w:shd w:val="clear" w:color="auto" w:fill="auto"/>
            <w:noWrap/>
            <w:vAlign w:val="center"/>
          </w:tcPr>
          <w:p w14:paraId="6549349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0.6724</w:t>
            </w:r>
          </w:p>
        </w:tc>
      </w:tr>
      <w:tr w:rsidR="0062768B" w14:paraId="1C3311A1" w14:textId="77777777">
        <w:trPr>
          <w:cantSplit/>
          <w:jc w:val="center"/>
        </w:trPr>
        <w:tc>
          <w:tcPr>
            <w:tcW w:w="1179" w:type="dxa"/>
            <w:shd w:val="clear" w:color="auto" w:fill="auto"/>
            <w:vAlign w:val="center"/>
          </w:tcPr>
          <w:p w14:paraId="41A4906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5.4 </w:t>
            </w:r>
          </w:p>
        </w:tc>
        <w:tc>
          <w:tcPr>
            <w:tcW w:w="1098" w:type="dxa"/>
            <w:shd w:val="clear" w:color="auto" w:fill="auto"/>
            <w:noWrap/>
            <w:vAlign w:val="center"/>
          </w:tcPr>
          <w:p w14:paraId="6145D90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0.9516</w:t>
            </w:r>
          </w:p>
        </w:tc>
        <w:tc>
          <w:tcPr>
            <w:tcW w:w="1253" w:type="dxa"/>
            <w:shd w:val="clear" w:color="auto" w:fill="auto"/>
            <w:noWrap/>
            <w:vAlign w:val="center"/>
          </w:tcPr>
          <w:p w14:paraId="4FA4A2A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0.8987</w:t>
            </w:r>
          </w:p>
        </w:tc>
        <w:tc>
          <w:tcPr>
            <w:tcW w:w="1253" w:type="dxa"/>
            <w:shd w:val="clear" w:color="auto" w:fill="auto"/>
            <w:noWrap/>
            <w:vAlign w:val="center"/>
          </w:tcPr>
          <w:p w14:paraId="7A02010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0.792</w:t>
            </w:r>
          </w:p>
        </w:tc>
        <w:tc>
          <w:tcPr>
            <w:tcW w:w="1179" w:type="dxa"/>
            <w:shd w:val="clear" w:color="auto" w:fill="auto"/>
            <w:vAlign w:val="center"/>
          </w:tcPr>
          <w:p w14:paraId="39EEEB4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9.9</w:t>
            </w:r>
          </w:p>
        </w:tc>
        <w:tc>
          <w:tcPr>
            <w:tcW w:w="979" w:type="dxa"/>
            <w:shd w:val="clear" w:color="auto" w:fill="auto"/>
            <w:noWrap/>
            <w:vAlign w:val="center"/>
          </w:tcPr>
          <w:p w14:paraId="1DC5967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0.8879</w:t>
            </w:r>
          </w:p>
        </w:tc>
        <w:tc>
          <w:tcPr>
            <w:tcW w:w="1179" w:type="dxa"/>
            <w:shd w:val="clear" w:color="auto" w:fill="auto"/>
            <w:noWrap/>
            <w:vAlign w:val="center"/>
          </w:tcPr>
          <w:p w14:paraId="4029C3C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0.8105</w:t>
            </w:r>
          </w:p>
        </w:tc>
        <w:tc>
          <w:tcPr>
            <w:tcW w:w="1179" w:type="dxa"/>
            <w:shd w:val="clear" w:color="auto" w:fill="auto"/>
            <w:noWrap/>
            <w:vAlign w:val="center"/>
          </w:tcPr>
          <w:p w14:paraId="1D4932E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0.6705</w:t>
            </w:r>
          </w:p>
        </w:tc>
      </w:tr>
      <w:tr w:rsidR="0062768B" w14:paraId="756756F4" w14:textId="77777777">
        <w:trPr>
          <w:cantSplit/>
          <w:jc w:val="center"/>
        </w:trPr>
        <w:tc>
          <w:tcPr>
            <w:tcW w:w="9299" w:type="dxa"/>
            <w:gridSpan w:val="8"/>
            <w:shd w:val="clear" w:color="auto" w:fill="auto"/>
            <w:vAlign w:val="center"/>
          </w:tcPr>
          <w:p w14:paraId="6E380010" w14:textId="77777777" w:rsidR="0062768B" w:rsidRDefault="00136729">
            <w:pPr>
              <w:spacing w:line="200" w:lineRule="exact"/>
              <w:rPr>
                <w:rFonts w:ascii="Arial" w:eastAsia="仿宋" w:hAnsi="Arial" w:cs="Arial"/>
                <w:sz w:val="20"/>
              </w:rPr>
            </w:pPr>
            <w:r>
              <w:rPr>
                <w:rFonts w:ascii="Arial" w:eastAsia="仿宋" w:hAnsi="Arial" w:cs="Arial"/>
                <w:sz w:val="20"/>
              </w:rPr>
              <w:t>说明：容积率大于等于</w:t>
            </w:r>
            <w:r>
              <w:rPr>
                <w:rFonts w:ascii="Arial" w:eastAsia="仿宋" w:hAnsi="Arial" w:cs="Arial"/>
                <w:sz w:val="20"/>
              </w:rPr>
              <w:t>10</w:t>
            </w:r>
            <w:r>
              <w:rPr>
                <w:rFonts w:ascii="Arial" w:eastAsia="仿宋" w:hAnsi="Arial" w:cs="Arial"/>
                <w:sz w:val="20"/>
              </w:rPr>
              <w:t>时的容积率修正系数按照以下公式计算：</w:t>
            </w:r>
            <w:r>
              <w:rPr>
                <w:rFonts w:ascii="Arial" w:eastAsia="仿宋" w:hAnsi="Arial" w:cs="Arial"/>
                <w:sz w:val="20"/>
              </w:rPr>
              <w:t>1</w:t>
            </w:r>
            <w:r>
              <w:rPr>
                <w:rFonts w:ascii="Arial" w:eastAsia="仿宋" w:hAnsi="Arial" w:cs="Arial"/>
                <w:sz w:val="20"/>
              </w:rPr>
              <w:t>～</w:t>
            </w:r>
            <w:r>
              <w:rPr>
                <w:rFonts w:ascii="Arial" w:eastAsia="仿宋" w:hAnsi="Arial" w:cs="Arial"/>
                <w:sz w:val="20"/>
              </w:rPr>
              <w:t>2</w:t>
            </w:r>
            <w:r>
              <w:rPr>
                <w:rFonts w:ascii="Arial" w:eastAsia="仿宋" w:hAnsi="Arial" w:cs="Arial"/>
                <w:sz w:val="20"/>
              </w:rPr>
              <w:t>级：</w:t>
            </w:r>
            <w:r>
              <w:rPr>
                <w:rFonts w:ascii="Arial" w:eastAsia="仿宋" w:hAnsi="Arial" w:cs="Arial"/>
                <w:sz w:val="20"/>
              </w:rPr>
              <w:t>X</w:t>
            </w:r>
            <w:r>
              <w:rPr>
                <w:rFonts w:ascii="Arial" w:eastAsia="仿宋" w:hAnsi="Arial" w:cs="Arial"/>
                <w:sz w:val="20"/>
                <w:vertAlign w:val="subscript"/>
              </w:rPr>
              <w:t>R</w:t>
            </w:r>
            <w:r>
              <w:rPr>
                <w:rFonts w:ascii="Arial" w:eastAsia="仿宋" w:hAnsi="Arial" w:cs="Arial"/>
                <w:sz w:val="20"/>
              </w:rPr>
              <w:t>＝</w:t>
            </w:r>
            <w:r>
              <w:rPr>
                <w:rFonts w:ascii="Arial" w:eastAsia="仿宋" w:hAnsi="Arial" w:cs="Arial"/>
                <w:sz w:val="20"/>
              </w:rPr>
              <w:t>0.9968</w:t>
            </w:r>
            <w:r>
              <w:rPr>
                <w:rFonts w:ascii="Arial" w:eastAsia="仿宋" w:hAnsi="Arial" w:cs="Arial"/>
                <w:sz w:val="20"/>
              </w:rPr>
              <w:t>－</w:t>
            </w:r>
            <w:r>
              <w:rPr>
                <w:rFonts w:ascii="Arial" w:eastAsia="仿宋" w:hAnsi="Arial" w:cs="Arial"/>
                <w:sz w:val="20"/>
              </w:rPr>
              <w:t>0.011R</w:t>
            </w:r>
            <w:r>
              <w:rPr>
                <w:rFonts w:ascii="Arial" w:eastAsia="仿宋" w:hAnsi="Arial" w:cs="Arial"/>
                <w:sz w:val="20"/>
              </w:rPr>
              <w:t>；</w:t>
            </w:r>
            <w:r>
              <w:rPr>
                <w:rFonts w:ascii="Arial" w:eastAsia="仿宋" w:hAnsi="Arial" w:cs="Arial"/>
                <w:sz w:val="20"/>
              </w:rPr>
              <w:t>3</w:t>
            </w:r>
            <w:r>
              <w:rPr>
                <w:rFonts w:ascii="Arial" w:eastAsia="仿宋" w:hAnsi="Arial" w:cs="Arial"/>
                <w:sz w:val="20"/>
              </w:rPr>
              <w:t>～</w:t>
            </w:r>
            <w:r>
              <w:rPr>
                <w:rFonts w:ascii="Arial" w:eastAsia="仿宋" w:hAnsi="Arial" w:cs="Arial"/>
                <w:sz w:val="20"/>
              </w:rPr>
              <w:t>7</w:t>
            </w:r>
            <w:r>
              <w:rPr>
                <w:rFonts w:ascii="Arial" w:eastAsia="仿宋" w:hAnsi="Arial" w:cs="Arial"/>
                <w:sz w:val="20"/>
              </w:rPr>
              <w:t>级：</w:t>
            </w:r>
            <w:r>
              <w:rPr>
                <w:rFonts w:ascii="Arial" w:eastAsia="仿宋" w:hAnsi="Arial" w:cs="Arial"/>
                <w:sz w:val="20"/>
              </w:rPr>
              <w:t>X</w:t>
            </w:r>
            <w:r>
              <w:rPr>
                <w:rFonts w:ascii="Arial" w:eastAsia="仿宋" w:hAnsi="Arial" w:cs="Arial"/>
                <w:sz w:val="20"/>
                <w:vertAlign w:val="subscript"/>
              </w:rPr>
              <w:t>R</w:t>
            </w:r>
            <w:r>
              <w:rPr>
                <w:rFonts w:ascii="Arial" w:eastAsia="仿宋" w:hAnsi="Arial" w:cs="Arial"/>
                <w:sz w:val="20"/>
              </w:rPr>
              <w:t>＝</w:t>
            </w:r>
            <w:r>
              <w:rPr>
                <w:rFonts w:ascii="Arial" w:eastAsia="仿宋" w:hAnsi="Arial" w:cs="Arial"/>
                <w:sz w:val="20"/>
              </w:rPr>
              <w:t>0.949</w:t>
            </w:r>
            <w:r>
              <w:rPr>
                <w:rFonts w:ascii="Arial" w:eastAsia="仿宋" w:hAnsi="Arial" w:cs="Arial"/>
                <w:sz w:val="20"/>
              </w:rPr>
              <w:t>－</w:t>
            </w:r>
            <w:r>
              <w:rPr>
                <w:rFonts w:ascii="Arial" w:eastAsia="仿宋" w:hAnsi="Arial" w:cs="Arial"/>
                <w:sz w:val="20"/>
              </w:rPr>
              <w:t>0.014R</w:t>
            </w:r>
            <w:r>
              <w:rPr>
                <w:rFonts w:ascii="Arial" w:eastAsia="仿宋" w:hAnsi="Arial" w:cs="Arial"/>
                <w:sz w:val="20"/>
              </w:rPr>
              <w:t>；</w:t>
            </w:r>
            <w:r>
              <w:rPr>
                <w:rFonts w:ascii="Arial" w:eastAsia="仿宋" w:hAnsi="Arial" w:cs="Arial"/>
                <w:sz w:val="20"/>
              </w:rPr>
              <w:t>8</w:t>
            </w:r>
            <w:r>
              <w:rPr>
                <w:rFonts w:ascii="Arial" w:eastAsia="仿宋" w:hAnsi="Arial" w:cs="Arial"/>
                <w:sz w:val="20"/>
              </w:rPr>
              <w:t>～</w:t>
            </w:r>
            <w:r>
              <w:rPr>
                <w:rFonts w:ascii="Arial" w:eastAsia="仿宋" w:hAnsi="Arial" w:cs="Arial"/>
                <w:sz w:val="20"/>
              </w:rPr>
              <w:t>12</w:t>
            </w:r>
            <w:r>
              <w:rPr>
                <w:rFonts w:ascii="Arial" w:eastAsia="仿宋" w:hAnsi="Arial" w:cs="Arial"/>
                <w:sz w:val="20"/>
              </w:rPr>
              <w:t>级：</w:t>
            </w:r>
            <w:r>
              <w:rPr>
                <w:rFonts w:ascii="Arial" w:eastAsia="仿宋" w:hAnsi="Arial" w:cs="Arial"/>
                <w:sz w:val="20"/>
              </w:rPr>
              <w:t>X</w:t>
            </w:r>
            <w:r>
              <w:rPr>
                <w:rFonts w:ascii="Arial" w:eastAsia="仿宋" w:hAnsi="Arial" w:cs="Arial"/>
                <w:sz w:val="20"/>
                <w:vertAlign w:val="subscript"/>
              </w:rPr>
              <w:t>R</w:t>
            </w:r>
            <w:r>
              <w:rPr>
                <w:rFonts w:ascii="Arial" w:eastAsia="仿宋" w:hAnsi="Arial" w:cs="Arial"/>
                <w:sz w:val="20"/>
              </w:rPr>
              <w:t>＝</w:t>
            </w:r>
            <w:r>
              <w:rPr>
                <w:rFonts w:ascii="Arial" w:eastAsia="仿宋" w:hAnsi="Arial" w:cs="Arial"/>
                <w:sz w:val="20"/>
              </w:rPr>
              <w:t>0.8486</w:t>
            </w:r>
            <w:r>
              <w:rPr>
                <w:rFonts w:ascii="Arial" w:eastAsia="仿宋" w:hAnsi="Arial" w:cs="Arial"/>
                <w:sz w:val="20"/>
              </w:rPr>
              <w:t>－</w:t>
            </w:r>
            <w:r>
              <w:rPr>
                <w:rFonts w:ascii="Arial" w:eastAsia="仿宋" w:hAnsi="Arial" w:cs="Arial"/>
                <w:sz w:val="20"/>
              </w:rPr>
              <w:t>0.018R</w:t>
            </w:r>
            <w:r>
              <w:rPr>
                <w:rFonts w:ascii="Arial" w:eastAsia="仿宋" w:hAnsi="Arial" w:cs="Arial"/>
                <w:sz w:val="20"/>
              </w:rPr>
              <w:t>。</w:t>
            </w:r>
          </w:p>
        </w:tc>
      </w:tr>
    </w:tbl>
    <w:p w14:paraId="187FB346" w14:textId="77777777" w:rsidR="0062768B" w:rsidRDefault="0062768B">
      <w:pPr>
        <w:adjustRightInd/>
        <w:snapToGrid w:val="0"/>
        <w:spacing w:line="300" w:lineRule="auto"/>
        <w:ind w:firstLineChars="200" w:firstLine="560"/>
        <w:rPr>
          <w:rFonts w:ascii="Arial" w:eastAsia="仿宋" w:hAnsi="Arial" w:cs="Arial"/>
          <w:sz w:val="28"/>
          <w:szCs w:val="28"/>
        </w:rPr>
      </w:pPr>
    </w:p>
    <w:p w14:paraId="760D35CE"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估价对象容积率</w:t>
      </w:r>
      <w:r>
        <w:rPr>
          <w:rFonts w:ascii="Arial" w:eastAsia="仿宋" w:hAnsi="Arial" w:cs="Arial"/>
          <w:sz w:val="28"/>
          <w:szCs w:val="28"/>
        </w:rPr>
        <w:t>R</w:t>
      </w:r>
      <w:r>
        <w:rPr>
          <w:rFonts w:ascii="Arial" w:eastAsia="仿宋" w:hAnsi="Arial" w:cs="Arial"/>
          <w:sz w:val="28"/>
          <w:szCs w:val="28"/>
        </w:rPr>
        <w:t>为</w:t>
      </w:r>
      <w:r>
        <w:rPr>
          <w:rFonts w:ascii="Arial" w:eastAsia="仿宋" w:hAnsi="Arial" w:cs="Arial"/>
          <w:sz w:val="28"/>
          <w:szCs w:val="28"/>
        </w:rPr>
        <w:t>1.20</w:t>
      </w:r>
      <w:r>
        <w:rPr>
          <w:rFonts w:ascii="Arial" w:eastAsia="仿宋" w:hAnsi="Arial" w:cs="Arial"/>
          <w:sz w:val="28"/>
          <w:szCs w:val="28"/>
        </w:rPr>
        <w:t>，根据上表可知，容积率修正系数为</w:t>
      </w:r>
      <w:r>
        <w:rPr>
          <w:rFonts w:ascii="Arial" w:eastAsia="仿宋" w:hAnsi="Arial" w:cs="Arial"/>
          <w:sz w:val="28"/>
          <w:szCs w:val="28"/>
        </w:rPr>
        <w:t>1.1528</w:t>
      </w:r>
      <w:r>
        <w:rPr>
          <w:rFonts w:ascii="Arial" w:eastAsia="仿宋" w:hAnsi="Arial" w:cs="Arial"/>
          <w:sz w:val="28"/>
          <w:szCs w:val="28"/>
        </w:rPr>
        <w:t>。</w:t>
      </w:r>
    </w:p>
    <w:p w14:paraId="73D61492" w14:textId="77777777" w:rsidR="0062768B" w:rsidRDefault="00136729">
      <w:pPr>
        <w:adjustRightInd/>
        <w:spacing w:line="360" w:lineRule="auto"/>
        <w:ind w:firstLineChars="200" w:firstLine="560"/>
        <w:rPr>
          <w:rFonts w:ascii="Arial" w:eastAsia="仿宋" w:hAnsi="Arial" w:cs="Arial"/>
          <w:sz w:val="28"/>
          <w:szCs w:val="28"/>
        </w:rPr>
      </w:pPr>
      <w:r>
        <w:rPr>
          <w:rFonts w:ascii="Arial" w:eastAsia="仿宋" w:hAnsi="Arial" w:cs="Arial"/>
          <w:sz w:val="28"/>
          <w:szCs w:val="28"/>
        </w:rPr>
        <w:t>F.</w:t>
      </w:r>
      <w:r>
        <w:rPr>
          <w:rFonts w:ascii="Arial" w:eastAsia="仿宋" w:hAnsi="Arial" w:cs="Arial"/>
          <w:sz w:val="28"/>
          <w:szCs w:val="28"/>
        </w:rPr>
        <w:t>因素修正系数的确定</w:t>
      </w:r>
    </w:p>
    <w:p w14:paraId="76E0253D" w14:textId="77777777" w:rsidR="0062768B" w:rsidRDefault="00136729">
      <w:pPr>
        <w:adjustRightInd/>
        <w:spacing w:line="360" w:lineRule="auto"/>
        <w:ind w:firstLineChars="200" w:firstLine="560"/>
        <w:rPr>
          <w:rFonts w:ascii="Arial" w:eastAsia="仿宋" w:hAnsi="Arial" w:cs="Arial"/>
          <w:sz w:val="28"/>
          <w:szCs w:val="28"/>
        </w:rPr>
      </w:pPr>
      <w:r>
        <w:rPr>
          <w:rFonts w:ascii="Arial" w:eastAsia="仿宋" w:hAnsi="Arial" w:cs="Arial"/>
          <w:sz w:val="28"/>
          <w:szCs w:val="28"/>
        </w:rPr>
        <w:lastRenderedPageBreak/>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10018D46" w14:textId="77777777" w:rsidR="0062768B" w:rsidRDefault="00136729">
      <w:pPr>
        <w:adjustRightInd/>
        <w:spacing w:line="360" w:lineRule="auto"/>
        <w:ind w:firstLineChars="200" w:firstLine="560"/>
        <w:rPr>
          <w:rFonts w:ascii="Arial" w:eastAsia="仿宋" w:hAnsi="Arial" w:cs="Arial"/>
          <w:sz w:val="28"/>
          <w:szCs w:val="28"/>
        </w:rPr>
      </w:pPr>
      <w:r>
        <w:rPr>
          <w:rFonts w:ascii="Arial" w:eastAsia="仿宋" w:hAnsi="Arial" w:cs="Arial"/>
          <w:sz w:val="28"/>
          <w:szCs w:val="28"/>
        </w:rPr>
        <w:t>因素修正系数</w:t>
      </w:r>
      <w:r>
        <w:rPr>
          <w:rFonts w:ascii="Arial" w:eastAsia="仿宋" w:hAnsi="Arial" w:cs="Arial"/>
          <w:sz w:val="28"/>
          <w:szCs w:val="28"/>
        </w:rPr>
        <w:t>=1</w:t>
      </w:r>
      <w:r>
        <w:rPr>
          <w:rFonts w:ascii="Arial" w:eastAsia="仿宋" w:hAnsi="Arial" w:cs="Arial"/>
          <w:sz w:val="28"/>
          <w:szCs w:val="28"/>
        </w:rPr>
        <w:t>＋</w:t>
      </w:r>
      <w:r>
        <w:rPr>
          <w:rFonts w:ascii="Arial" w:eastAsia="仿宋" w:hAnsi="Arial" w:cs="Arial"/>
          <w:sz w:val="28"/>
          <w:szCs w:val="28"/>
        </w:rPr>
        <w:fldChar w:fldCharType="begin"/>
      </w:r>
      <w:r>
        <w:rPr>
          <w:rFonts w:ascii="Arial" w:eastAsia="仿宋" w:hAnsi="Arial" w:cs="Arial"/>
          <w:sz w:val="28"/>
          <w:szCs w:val="28"/>
        </w:rPr>
        <w:instrText xml:space="preserve"> QUOTE </w:instrText>
      </w:r>
      <w:r w:rsidR="00423A03">
        <w:rPr>
          <w:rFonts w:ascii="Arial" w:eastAsia="仿宋" w:hAnsi="Arial" w:cs="Arial"/>
          <w:sz w:val="28"/>
          <w:szCs w:val="28"/>
        </w:rPr>
        <w:pict w14:anchorId="7AB74A81">
          <v:shape id="_x0000_i1027" type="#_x0000_t75" style="width:31pt;height:18.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quot;/&gt;&lt;m:ctrlPr&gt;&lt;w:rPr&gt;&lt;w:rFonts w:ascii=&quot;Cambria Math&quot; w:h-ansi=&quot;Cambria Math&quot; w:cs=&quot;仿宋_GB2312&quot;/&gt;&lt;wx:font wx:val=&quot;Cambria Math&quot;/&gt;&lt;w:sz w:val=&quot;21&quot;/&gt;&lt;w:sz-cs w:val=&quot;29&quot;/&gt;&lt;/w:rPr&gt;&lt;/m:ctrlPr&gt;&lt;/m:naryPr&gt;&lt;m:sub&gt;&lt;m:r&gt;&lt;w:rPr&gt;&lt;w:rFonts w:ascii=&quot;Cambria Math&quot; O/wO/:O/hO/-ansi=&quot;Cambria Math&quot; w:cs=&quot;仿宋_GB2312&quot;/&gt;&lt;wx:font wx:val=&quot;Cambria Math&quot;/&gt;&lt;w:i/&gt;&lt;w:sz w:val=&quot;21&quot;/&gt;&lt;w:sz-cs w:val=&quot;29&quot;/&gt;&lt;/w:rPr&gt;&lt;m:t&gt;i=1&lt;/m:t&gt;&lt;/m:r&gt;&lt;/m:sub&gt;&lt;m:sup&gt;&lt;m:r&gt;&lt;w:rPr&gt;&lt;w:rFonts w:ascii=&quot;Cambria Math&quot; w:h-ansi=&quot;Cambria Math&quot; w:cs=&quot;仿宋_GB231&quot; O/2&quot;/ wO/&gt;&lt;ww:O/x:f:hO/ont wx:val=&quot;Cambria Math&quot;/&gt;&lt;w:i/&gt;&lt;w:sz w:val=&quot;21&quot;/&gt;&lt;w:sz-cs w:val=&quot;29&quot;/&gt;&lt;/w:rPr&gt;&lt;m:t&gt;n&lt;/m:t&gt;&lt;/m:r&gt;&lt;/m:sup&gt;&lt;m:e&gt;&lt;m:r&gt;&lt;w:rPr&gt;&lt;w:rFonts w:ascii=&quot;Cambria Math&quot; w:h-ansi=&quot;Cambria Math&quot; w:cs=&quot;仿宋_GB2312&quot;/&gt;&lt;wx:font wx:val=&quot;Cambria Math&quot;/&gt;&lt;wO/:i/&gt;&lt;w:O/sz w:vaO/l=&quot;21&quot;/O/&gt;&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62" o:title="" chromakey="white"/>
          </v:shape>
        </w:pict>
      </w:r>
      <w:r>
        <w:rPr>
          <w:rFonts w:ascii="Arial" w:eastAsia="仿宋" w:hAnsi="Arial" w:cs="Arial"/>
          <w:sz w:val="28"/>
          <w:szCs w:val="28"/>
        </w:rPr>
        <w:instrText xml:space="preserve"> </w:instrText>
      </w:r>
      <w:r>
        <w:rPr>
          <w:rFonts w:ascii="Arial" w:eastAsia="仿宋" w:hAnsi="Arial" w:cs="Arial"/>
          <w:sz w:val="28"/>
          <w:szCs w:val="28"/>
        </w:rPr>
        <w:fldChar w:fldCharType="separate"/>
      </w:r>
      <w:r w:rsidR="00423A03">
        <w:rPr>
          <w:rFonts w:ascii="Arial" w:eastAsia="仿宋" w:hAnsi="Arial" w:cs="Arial"/>
          <w:sz w:val="28"/>
          <w:szCs w:val="28"/>
        </w:rPr>
        <w:pict w14:anchorId="64B227DA">
          <v:shape id="_x0000_i1028" type="#_x0000_t75" style="width:31pt;height:18.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quot;/&gt;&lt;m:ctrlPr&gt;&lt;w:rPr&gt;&lt;w:rFonts w:ascii=&quot;Cambria Math&quot; w:h-ansi=&quot;Cambria Math&quot; w:cs=&quot;仿宋_GB2312&quot;/&gt;&lt;wx:font wx:val=&quot;Cambria Math&quot;/&gt;&lt;w:sz w:val=&quot;21&quot;/&gt;&lt;w:sz-cs w:val=&quot;29&quot;/&gt;&lt;/w:rPr&gt;&lt;/m:ctrlPr&gt;&lt;/m:naryPr&gt;&lt;m:sub&gt;&lt;m:r&gt;&lt;w:rPr&gt;&lt;w:rFonts w:ascii=&quot;Cambria Math&quot; O/wO/:O/hO/-ansi=&quot;Cambria Math&quot; w:cs=&quot;仿宋_GB2312&quot;/&gt;&lt;wx:font wx:val=&quot;Cambria Math&quot;/&gt;&lt;w:i/&gt;&lt;w:sz w:val=&quot;21&quot;/&gt;&lt;w:sz-cs w:val=&quot;29&quot;/&gt;&lt;/w:rPr&gt;&lt;m:t&gt;i=1&lt;/m:t&gt;&lt;/m:r&gt;&lt;/m:sub&gt;&lt;m:sup&gt;&lt;m:r&gt;&lt;w:rPr&gt;&lt;w:rFonts w:ascii=&quot;Cambria Math&quot; w:h-ansi=&quot;Cambria Math&quot; w:cs=&quot;仿宋_GB231&quot; O/2&quot;/ wO/&gt;&lt;ww:O/x:f:hO/ont wx:val=&quot;Cambria Math&quot;/&gt;&lt;w:i/&gt;&lt;w:sz w:val=&quot;21&quot;/&gt;&lt;w:sz-cs w:val=&quot;29&quot;/&gt;&lt;/w:rPr&gt;&lt;m:t&gt;n&lt;/m:t&gt;&lt;/m:r&gt;&lt;/m:sup&gt;&lt;m:e&gt;&lt;m:r&gt;&lt;w:rPr&gt;&lt;w:rFonts w:ascii=&quot;Cambria Math&quot; w:h-ansi=&quot;Cambria Math&quot; w:cs=&quot;仿宋_GB2312&quot;/&gt;&lt;wx:font wx:val=&quot;Cambria Math&quot;/&gt;&lt;wO/:i/&gt;&lt;w:O/sz w:vaO/l=&quot;21&quot;/O/&gt;&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62" o:title="" chromakey="white"/>
          </v:shape>
        </w:pict>
      </w:r>
      <w:r>
        <w:rPr>
          <w:rFonts w:ascii="Arial" w:eastAsia="仿宋" w:hAnsi="Arial" w:cs="Arial"/>
          <w:sz w:val="28"/>
          <w:szCs w:val="28"/>
        </w:rPr>
        <w:fldChar w:fldCharType="end"/>
      </w:r>
    </w:p>
    <w:p w14:paraId="26957080" w14:textId="77777777" w:rsidR="0062768B" w:rsidRDefault="00136729">
      <w:pPr>
        <w:adjustRightInd/>
        <w:spacing w:line="360" w:lineRule="auto"/>
        <w:ind w:firstLineChars="200" w:firstLine="560"/>
        <w:rPr>
          <w:rFonts w:ascii="Arial" w:eastAsia="仿宋" w:hAnsi="Arial" w:cs="Arial"/>
          <w:sz w:val="28"/>
          <w:szCs w:val="28"/>
        </w:rPr>
      </w:pPr>
      <w:r>
        <w:rPr>
          <w:rFonts w:ascii="Arial" w:eastAsia="仿宋" w:hAnsi="Arial" w:cs="Arial"/>
          <w:sz w:val="28"/>
          <w:szCs w:val="28"/>
        </w:rPr>
        <w:t>其中</w:t>
      </w:r>
      <w:proofErr w:type="spellStart"/>
      <w:r>
        <w:rPr>
          <w:rFonts w:ascii="Arial" w:eastAsia="仿宋" w:hAnsi="Arial" w:cs="Arial"/>
          <w:sz w:val="28"/>
          <w:szCs w:val="28"/>
        </w:rPr>
        <w:t>ki</w:t>
      </w:r>
      <w:proofErr w:type="spellEnd"/>
      <w:r>
        <w:rPr>
          <w:rFonts w:ascii="Arial" w:eastAsia="仿宋" w:hAnsi="Arial" w:cs="Arial"/>
          <w:sz w:val="28"/>
          <w:szCs w:val="28"/>
        </w:rPr>
        <w:t>：第</w:t>
      </w:r>
      <w:r>
        <w:rPr>
          <w:rFonts w:ascii="Arial" w:eastAsia="仿宋" w:hAnsi="Arial" w:cs="Arial"/>
          <w:sz w:val="28"/>
          <w:szCs w:val="28"/>
        </w:rPr>
        <w:t>i</w:t>
      </w:r>
      <w:r>
        <w:rPr>
          <w:rFonts w:ascii="Arial" w:eastAsia="仿宋" w:hAnsi="Arial" w:cs="Arial"/>
          <w:sz w:val="28"/>
          <w:szCs w:val="28"/>
        </w:rPr>
        <w:t>种因素的修正系数</w:t>
      </w:r>
    </w:p>
    <w:p w14:paraId="4E09AF92" w14:textId="77777777" w:rsidR="0062768B" w:rsidRDefault="00136729">
      <w:pPr>
        <w:adjustRightInd/>
        <w:spacing w:line="360" w:lineRule="auto"/>
        <w:ind w:firstLineChars="200" w:firstLine="560"/>
        <w:rPr>
          <w:rFonts w:ascii="Arial" w:eastAsia="仿宋" w:hAnsi="Arial" w:cs="Arial"/>
          <w:sz w:val="28"/>
          <w:szCs w:val="28"/>
        </w:rPr>
      </w:pPr>
      <w:r>
        <w:rPr>
          <w:rFonts w:ascii="Arial" w:eastAsia="仿宋" w:hAnsi="Arial" w:cs="Arial"/>
          <w:sz w:val="28"/>
          <w:szCs w:val="28"/>
        </w:rPr>
        <w:t>各因素的修正系数根据影响地价的因素权重和因素总修正幅度确定。</w:t>
      </w:r>
    </w:p>
    <w:p w14:paraId="64A16268" w14:textId="77777777" w:rsidR="0062768B" w:rsidRDefault="00136729">
      <w:pPr>
        <w:spacing w:line="360" w:lineRule="auto"/>
        <w:jc w:val="center"/>
        <w:rPr>
          <w:rFonts w:ascii="Arial" w:eastAsia="仿宋" w:hAnsi="Arial" w:cs="Arial"/>
          <w:sz w:val="28"/>
          <w:szCs w:val="28"/>
        </w:rPr>
      </w:pPr>
      <w:r>
        <w:rPr>
          <w:rFonts w:ascii="Arial" w:eastAsia="仿宋" w:hAnsi="Arial" w:cs="Arial"/>
          <w:bCs/>
          <w:sz w:val="28"/>
          <w:szCs w:val="28"/>
        </w:rPr>
        <w:t>北京市基准地价因素权重表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62768B" w14:paraId="6981F152" w14:textId="77777777">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14:paraId="1E491EF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7636259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164C608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0B20EDA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0949A66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公共服务类</w:t>
            </w:r>
          </w:p>
        </w:tc>
      </w:tr>
      <w:tr w:rsidR="0062768B" w14:paraId="4433C53F"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14:paraId="3913B53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441B3A4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权重</w:t>
            </w:r>
          </w:p>
        </w:tc>
        <w:tc>
          <w:tcPr>
            <w:tcW w:w="1261" w:type="dxa"/>
            <w:tcBorders>
              <w:top w:val="nil"/>
              <w:left w:val="nil"/>
              <w:bottom w:val="single" w:sz="8" w:space="0" w:color="404040"/>
              <w:right w:val="single" w:sz="8" w:space="0" w:color="404040"/>
            </w:tcBorders>
            <w:shd w:val="clear" w:color="auto" w:fill="auto"/>
            <w:noWrap/>
            <w:vAlign w:val="center"/>
          </w:tcPr>
          <w:p w14:paraId="6397539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3F6F931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权重</w:t>
            </w:r>
          </w:p>
        </w:tc>
        <w:tc>
          <w:tcPr>
            <w:tcW w:w="1244" w:type="dxa"/>
            <w:tcBorders>
              <w:top w:val="nil"/>
              <w:left w:val="nil"/>
              <w:bottom w:val="single" w:sz="8" w:space="0" w:color="404040"/>
              <w:right w:val="single" w:sz="8" w:space="0" w:color="404040"/>
            </w:tcBorders>
            <w:shd w:val="clear" w:color="auto" w:fill="auto"/>
            <w:noWrap/>
            <w:vAlign w:val="center"/>
          </w:tcPr>
          <w:p w14:paraId="366B9AA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5918A75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权重</w:t>
            </w:r>
          </w:p>
        </w:tc>
        <w:tc>
          <w:tcPr>
            <w:tcW w:w="1226" w:type="dxa"/>
            <w:tcBorders>
              <w:top w:val="nil"/>
              <w:left w:val="nil"/>
              <w:bottom w:val="single" w:sz="8" w:space="0" w:color="404040"/>
              <w:right w:val="single" w:sz="8" w:space="0" w:color="404040"/>
            </w:tcBorders>
            <w:shd w:val="clear" w:color="auto" w:fill="auto"/>
            <w:noWrap/>
            <w:vAlign w:val="center"/>
          </w:tcPr>
          <w:p w14:paraId="21D8E16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184B8DE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权重</w:t>
            </w:r>
          </w:p>
        </w:tc>
        <w:tc>
          <w:tcPr>
            <w:tcW w:w="1209" w:type="dxa"/>
            <w:tcBorders>
              <w:top w:val="nil"/>
              <w:left w:val="nil"/>
              <w:bottom w:val="single" w:sz="8" w:space="0" w:color="404040"/>
              <w:right w:val="single" w:sz="8" w:space="0" w:color="404040"/>
            </w:tcBorders>
            <w:shd w:val="clear" w:color="auto" w:fill="auto"/>
            <w:noWrap/>
            <w:vAlign w:val="center"/>
          </w:tcPr>
          <w:p w14:paraId="2590735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31A5E44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权重</w:t>
            </w:r>
          </w:p>
        </w:tc>
      </w:tr>
      <w:tr w:rsidR="0062768B" w14:paraId="34282E2D"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122DDF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商业繁华程度</w:t>
            </w:r>
          </w:p>
        </w:tc>
        <w:tc>
          <w:tcPr>
            <w:tcW w:w="454" w:type="dxa"/>
            <w:tcBorders>
              <w:top w:val="nil"/>
              <w:left w:val="nil"/>
              <w:bottom w:val="single" w:sz="8" w:space="0" w:color="404040"/>
              <w:right w:val="single" w:sz="8" w:space="0" w:color="404040"/>
            </w:tcBorders>
            <w:shd w:val="clear" w:color="auto" w:fill="auto"/>
            <w:vAlign w:val="center"/>
          </w:tcPr>
          <w:p w14:paraId="01AA7C5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30%</w:t>
            </w:r>
          </w:p>
        </w:tc>
        <w:tc>
          <w:tcPr>
            <w:tcW w:w="1261" w:type="dxa"/>
            <w:tcBorders>
              <w:top w:val="nil"/>
              <w:left w:val="nil"/>
              <w:bottom w:val="single" w:sz="8" w:space="0" w:color="404040"/>
              <w:right w:val="single" w:sz="8" w:space="0" w:color="404040"/>
            </w:tcBorders>
            <w:shd w:val="clear" w:color="auto" w:fill="auto"/>
            <w:vAlign w:val="center"/>
          </w:tcPr>
          <w:p w14:paraId="0471CCA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办公集聚程度</w:t>
            </w:r>
          </w:p>
        </w:tc>
        <w:tc>
          <w:tcPr>
            <w:tcW w:w="454" w:type="dxa"/>
            <w:tcBorders>
              <w:top w:val="nil"/>
              <w:left w:val="nil"/>
              <w:bottom w:val="single" w:sz="8" w:space="0" w:color="404040"/>
              <w:right w:val="single" w:sz="8" w:space="0" w:color="404040"/>
            </w:tcBorders>
            <w:shd w:val="clear" w:color="auto" w:fill="auto"/>
            <w:vAlign w:val="center"/>
          </w:tcPr>
          <w:p w14:paraId="1CC43C5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25%</w:t>
            </w:r>
          </w:p>
        </w:tc>
        <w:tc>
          <w:tcPr>
            <w:tcW w:w="1244" w:type="dxa"/>
            <w:tcBorders>
              <w:top w:val="nil"/>
              <w:left w:val="nil"/>
              <w:bottom w:val="single" w:sz="8" w:space="0" w:color="404040"/>
              <w:right w:val="single" w:sz="8" w:space="0" w:color="404040"/>
            </w:tcBorders>
            <w:shd w:val="clear" w:color="auto" w:fill="auto"/>
            <w:vAlign w:val="center"/>
          </w:tcPr>
          <w:p w14:paraId="2F4ADB9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住宅社区成熟度</w:t>
            </w:r>
          </w:p>
        </w:tc>
        <w:tc>
          <w:tcPr>
            <w:tcW w:w="454" w:type="dxa"/>
            <w:tcBorders>
              <w:top w:val="nil"/>
              <w:left w:val="nil"/>
              <w:bottom w:val="single" w:sz="8" w:space="0" w:color="404040"/>
              <w:right w:val="single" w:sz="8" w:space="0" w:color="404040"/>
            </w:tcBorders>
            <w:shd w:val="clear" w:color="auto" w:fill="auto"/>
            <w:vAlign w:val="center"/>
          </w:tcPr>
          <w:p w14:paraId="65D7EBB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20%</w:t>
            </w:r>
          </w:p>
        </w:tc>
        <w:tc>
          <w:tcPr>
            <w:tcW w:w="1226" w:type="dxa"/>
            <w:tcBorders>
              <w:top w:val="nil"/>
              <w:left w:val="nil"/>
              <w:bottom w:val="single" w:sz="8" w:space="0" w:color="404040"/>
              <w:right w:val="single" w:sz="8" w:space="0" w:color="404040"/>
            </w:tcBorders>
            <w:shd w:val="clear" w:color="auto" w:fill="auto"/>
            <w:vAlign w:val="center"/>
          </w:tcPr>
          <w:p w14:paraId="277AAD3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产业集聚程度</w:t>
            </w:r>
          </w:p>
        </w:tc>
        <w:tc>
          <w:tcPr>
            <w:tcW w:w="454" w:type="dxa"/>
            <w:tcBorders>
              <w:top w:val="nil"/>
              <w:left w:val="nil"/>
              <w:bottom w:val="single" w:sz="8" w:space="0" w:color="404040"/>
              <w:right w:val="single" w:sz="8" w:space="0" w:color="404040"/>
            </w:tcBorders>
            <w:shd w:val="clear" w:color="auto" w:fill="auto"/>
            <w:vAlign w:val="center"/>
          </w:tcPr>
          <w:p w14:paraId="28544ED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26%</w:t>
            </w:r>
          </w:p>
        </w:tc>
        <w:tc>
          <w:tcPr>
            <w:tcW w:w="1209" w:type="dxa"/>
            <w:tcBorders>
              <w:top w:val="nil"/>
              <w:left w:val="nil"/>
              <w:bottom w:val="single" w:sz="8" w:space="0" w:color="404040"/>
              <w:right w:val="single" w:sz="8" w:space="0" w:color="404040"/>
            </w:tcBorders>
            <w:shd w:val="clear" w:color="auto" w:fill="auto"/>
            <w:vAlign w:val="center"/>
          </w:tcPr>
          <w:p w14:paraId="4561F7A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物业集聚程度</w:t>
            </w:r>
          </w:p>
        </w:tc>
        <w:tc>
          <w:tcPr>
            <w:tcW w:w="454" w:type="dxa"/>
            <w:tcBorders>
              <w:top w:val="nil"/>
              <w:left w:val="nil"/>
              <w:bottom w:val="single" w:sz="8" w:space="0" w:color="404040"/>
              <w:right w:val="single" w:sz="8" w:space="0" w:color="404040"/>
            </w:tcBorders>
            <w:shd w:val="clear" w:color="auto" w:fill="auto"/>
            <w:vAlign w:val="center"/>
          </w:tcPr>
          <w:p w14:paraId="5A66C88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25%</w:t>
            </w:r>
          </w:p>
        </w:tc>
      </w:tr>
      <w:tr w:rsidR="0062768B" w14:paraId="5E360DB9"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0480383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交通便捷度</w:t>
            </w:r>
          </w:p>
        </w:tc>
        <w:tc>
          <w:tcPr>
            <w:tcW w:w="454" w:type="dxa"/>
            <w:tcBorders>
              <w:top w:val="nil"/>
              <w:left w:val="nil"/>
              <w:bottom w:val="single" w:sz="8" w:space="0" w:color="404040"/>
              <w:right w:val="single" w:sz="8" w:space="0" w:color="404040"/>
            </w:tcBorders>
            <w:shd w:val="clear" w:color="auto" w:fill="auto"/>
            <w:vAlign w:val="center"/>
          </w:tcPr>
          <w:p w14:paraId="45FA1F0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22%</w:t>
            </w:r>
          </w:p>
        </w:tc>
        <w:tc>
          <w:tcPr>
            <w:tcW w:w="1261" w:type="dxa"/>
            <w:tcBorders>
              <w:top w:val="nil"/>
              <w:left w:val="nil"/>
              <w:bottom w:val="single" w:sz="8" w:space="0" w:color="404040"/>
              <w:right w:val="single" w:sz="8" w:space="0" w:color="404040"/>
            </w:tcBorders>
            <w:shd w:val="clear" w:color="auto" w:fill="auto"/>
            <w:vAlign w:val="center"/>
          </w:tcPr>
          <w:p w14:paraId="27842E9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交通便捷度</w:t>
            </w:r>
          </w:p>
        </w:tc>
        <w:tc>
          <w:tcPr>
            <w:tcW w:w="454" w:type="dxa"/>
            <w:tcBorders>
              <w:top w:val="nil"/>
              <w:left w:val="nil"/>
              <w:bottom w:val="single" w:sz="8" w:space="0" w:color="404040"/>
              <w:right w:val="single" w:sz="8" w:space="0" w:color="404040"/>
            </w:tcBorders>
            <w:shd w:val="clear" w:color="auto" w:fill="auto"/>
            <w:vAlign w:val="center"/>
          </w:tcPr>
          <w:p w14:paraId="14FC772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26%</w:t>
            </w:r>
          </w:p>
        </w:tc>
        <w:tc>
          <w:tcPr>
            <w:tcW w:w="1244" w:type="dxa"/>
            <w:tcBorders>
              <w:top w:val="nil"/>
              <w:left w:val="nil"/>
              <w:bottom w:val="single" w:sz="8" w:space="0" w:color="404040"/>
              <w:right w:val="single" w:sz="8" w:space="0" w:color="404040"/>
            </w:tcBorders>
            <w:shd w:val="clear" w:color="auto" w:fill="auto"/>
            <w:vAlign w:val="center"/>
          </w:tcPr>
          <w:p w14:paraId="3472F4C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交通便捷度</w:t>
            </w:r>
          </w:p>
        </w:tc>
        <w:tc>
          <w:tcPr>
            <w:tcW w:w="454" w:type="dxa"/>
            <w:tcBorders>
              <w:top w:val="nil"/>
              <w:left w:val="nil"/>
              <w:bottom w:val="single" w:sz="8" w:space="0" w:color="404040"/>
              <w:right w:val="single" w:sz="8" w:space="0" w:color="404040"/>
            </w:tcBorders>
            <w:shd w:val="clear" w:color="auto" w:fill="auto"/>
            <w:vAlign w:val="center"/>
          </w:tcPr>
          <w:p w14:paraId="392503D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26%</w:t>
            </w:r>
          </w:p>
        </w:tc>
        <w:tc>
          <w:tcPr>
            <w:tcW w:w="1226" w:type="dxa"/>
            <w:tcBorders>
              <w:top w:val="nil"/>
              <w:left w:val="nil"/>
              <w:bottom w:val="single" w:sz="8" w:space="0" w:color="404040"/>
              <w:right w:val="single" w:sz="8" w:space="0" w:color="404040"/>
            </w:tcBorders>
            <w:shd w:val="clear" w:color="auto" w:fill="auto"/>
            <w:vAlign w:val="center"/>
          </w:tcPr>
          <w:p w14:paraId="5C11BDA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交通便捷度</w:t>
            </w:r>
          </w:p>
        </w:tc>
        <w:tc>
          <w:tcPr>
            <w:tcW w:w="454" w:type="dxa"/>
            <w:tcBorders>
              <w:top w:val="nil"/>
              <w:left w:val="nil"/>
              <w:bottom w:val="single" w:sz="8" w:space="0" w:color="404040"/>
              <w:right w:val="single" w:sz="8" w:space="0" w:color="404040"/>
            </w:tcBorders>
            <w:shd w:val="clear" w:color="auto" w:fill="auto"/>
            <w:vAlign w:val="center"/>
          </w:tcPr>
          <w:p w14:paraId="2FA67CE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30%</w:t>
            </w:r>
          </w:p>
        </w:tc>
        <w:tc>
          <w:tcPr>
            <w:tcW w:w="1209" w:type="dxa"/>
            <w:tcBorders>
              <w:top w:val="nil"/>
              <w:left w:val="nil"/>
              <w:bottom w:val="single" w:sz="8" w:space="0" w:color="404040"/>
              <w:right w:val="single" w:sz="8" w:space="0" w:color="404040"/>
            </w:tcBorders>
            <w:shd w:val="clear" w:color="auto" w:fill="auto"/>
            <w:vAlign w:val="center"/>
          </w:tcPr>
          <w:p w14:paraId="21116DD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交通便捷度</w:t>
            </w:r>
          </w:p>
        </w:tc>
        <w:tc>
          <w:tcPr>
            <w:tcW w:w="454" w:type="dxa"/>
            <w:tcBorders>
              <w:top w:val="nil"/>
              <w:left w:val="nil"/>
              <w:bottom w:val="single" w:sz="8" w:space="0" w:color="404040"/>
              <w:right w:val="single" w:sz="8" w:space="0" w:color="404040"/>
            </w:tcBorders>
            <w:shd w:val="clear" w:color="auto" w:fill="auto"/>
            <w:vAlign w:val="center"/>
          </w:tcPr>
          <w:p w14:paraId="34AFFAD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26%</w:t>
            </w:r>
          </w:p>
        </w:tc>
      </w:tr>
      <w:tr w:rsidR="0062768B" w14:paraId="0DE6953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5AB95E5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14649A7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12%</w:t>
            </w:r>
          </w:p>
        </w:tc>
        <w:tc>
          <w:tcPr>
            <w:tcW w:w="1261" w:type="dxa"/>
            <w:tcBorders>
              <w:top w:val="nil"/>
              <w:left w:val="nil"/>
              <w:bottom w:val="single" w:sz="8" w:space="0" w:color="404040"/>
              <w:right w:val="single" w:sz="8" w:space="0" w:color="404040"/>
            </w:tcBorders>
            <w:shd w:val="clear" w:color="auto" w:fill="auto"/>
            <w:vAlign w:val="center"/>
          </w:tcPr>
          <w:p w14:paraId="72870B9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41D5894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11%</w:t>
            </w:r>
          </w:p>
        </w:tc>
        <w:tc>
          <w:tcPr>
            <w:tcW w:w="1244" w:type="dxa"/>
            <w:tcBorders>
              <w:top w:val="nil"/>
              <w:left w:val="nil"/>
              <w:bottom w:val="single" w:sz="8" w:space="0" w:color="404040"/>
              <w:right w:val="single" w:sz="8" w:space="0" w:color="404040"/>
            </w:tcBorders>
            <w:shd w:val="clear" w:color="auto" w:fill="auto"/>
            <w:vAlign w:val="center"/>
          </w:tcPr>
          <w:p w14:paraId="38017E8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2C5FF14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10%</w:t>
            </w:r>
          </w:p>
        </w:tc>
        <w:tc>
          <w:tcPr>
            <w:tcW w:w="1226" w:type="dxa"/>
            <w:tcBorders>
              <w:top w:val="nil"/>
              <w:left w:val="nil"/>
              <w:bottom w:val="single" w:sz="8" w:space="0" w:color="404040"/>
              <w:right w:val="single" w:sz="8" w:space="0" w:color="404040"/>
            </w:tcBorders>
            <w:shd w:val="clear" w:color="auto" w:fill="auto"/>
            <w:vAlign w:val="center"/>
          </w:tcPr>
          <w:p w14:paraId="77B85B1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768BEFA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10%</w:t>
            </w:r>
          </w:p>
        </w:tc>
        <w:tc>
          <w:tcPr>
            <w:tcW w:w="1209" w:type="dxa"/>
            <w:tcBorders>
              <w:top w:val="nil"/>
              <w:left w:val="nil"/>
              <w:bottom w:val="single" w:sz="8" w:space="0" w:color="404040"/>
              <w:right w:val="single" w:sz="8" w:space="0" w:color="404040"/>
            </w:tcBorders>
            <w:shd w:val="clear" w:color="auto" w:fill="auto"/>
            <w:vAlign w:val="center"/>
          </w:tcPr>
          <w:p w14:paraId="7174BEA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26C27A9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11%</w:t>
            </w:r>
          </w:p>
        </w:tc>
      </w:tr>
      <w:tr w:rsidR="0062768B" w14:paraId="6D626064"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61F6C04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523A920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61" w:type="dxa"/>
            <w:tcBorders>
              <w:top w:val="nil"/>
              <w:left w:val="nil"/>
              <w:bottom w:val="single" w:sz="8" w:space="0" w:color="404040"/>
              <w:right w:val="single" w:sz="8" w:space="0" w:color="404040"/>
            </w:tcBorders>
            <w:shd w:val="clear" w:color="auto" w:fill="auto"/>
            <w:vAlign w:val="center"/>
          </w:tcPr>
          <w:p w14:paraId="2C01A9A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56D7517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44" w:type="dxa"/>
            <w:tcBorders>
              <w:top w:val="nil"/>
              <w:left w:val="nil"/>
              <w:bottom w:val="single" w:sz="8" w:space="0" w:color="404040"/>
              <w:right w:val="single" w:sz="8" w:space="0" w:color="404040"/>
            </w:tcBorders>
            <w:shd w:val="clear" w:color="auto" w:fill="auto"/>
            <w:vAlign w:val="center"/>
          </w:tcPr>
          <w:p w14:paraId="1D5C8F6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临路状况</w:t>
            </w:r>
          </w:p>
        </w:tc>
        <w:tc>
          <w:tcPr>
            <w:tcW w:w="454" w:type="dxa"/>
            <w:tcBorders>
              <w:top w:val="nil"/>
              <w:left w:val="nil"/>
              <w:bottom w:val="single" w:sz="8" w:space="0" w:color="404040"/>
              <w:right w:val="single" w:sz="8" w:space="0" w:color="404040"/>
            </w:tcBorders>
            <w:shd w:val="clear" w:color="auto" w:fill="auto"/>
            <w:vAlign w:val="center"/>
          </w:tcPr>
          <w:p w14:paraId="02F742F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26" w:type="dxa"/>
            <w:tcBorders>
              <w:top w:val="nil"/>
              <w:left w:val="nil"/>
              <w:bottom w:val="single" w:sz="8" w:space="0" w:color="404040"/>
              <w:right w:val="single" w:sz="8" w:space="0" w:color="404040"/>
            </w:tcBorders>
            <w:shd w:val="clear" w:color="auto" w:fill="auto"/>
            <w:vAlign w:val="center"/>
          </w:tcPr>
          <w:p w14:paraId="62D07C3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临路状况</w:t>
            </w:r>
          </w:p>
        </w:tc>
        <w:tc>
          <w:tcPr>
            <w:tcW w:w="454" w:type="dxa"/>
            <w:tcBorders>
              <w:top w:val="nil"/>
              <w:left w:val="nil"/>
              <w:bottom w:val="single" w:sz="8" w:space="0" w:color="404040"/>
              <w:right w:val="single" w:sz="8" w:space="0" w:color="404040"/>
            </w:tcBorders>
            <w:shd w:val="clear" w:color="auto" w:fill="auto"/>
            <w:vAlign w:val="center"/>
          </w:tcPr>
          <w:p w14:paraId="733ACB5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09" w:type="dxa"/>
            <w:tcBorders>
              <w:top w:val="nil"/>
              <w:left w:val="nil"/>
              <w:bottom w:val="single" w:sz="8" w:space="0" w:color="404040"/>
              <w:right w:val="single" w:sz="8" w:space="0" w:color="404040"/>
            </w:tcBorders>
            <w:shd w:val="clear" w:color="auto" w:fill="auto"/>
            <w:vAlign w:val="center"/>
          </w:tcPr>
          <w:p w14:paraId="319876C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411212A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r>
      <w:tr w:rsidR="0062768B" w14:paraId="622438BA"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218C05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3A984FC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8%</w:t>
            </w:r>
          </w:p>
        </w:tc>
        <w:tc>
          <w:tcPr>
            <w:tcW w:w="1261" w:type="dxa"/>
            <w:tcBorders>
              <w:top w:val="nil"/>
              <w:left w:val="nil"/>
              <w:bottom w:val="single" w:sz="8" w:space="0" w:color="404040"/>
              <w:right w:val="single" w:sz="8" w:space="0" w:color="404040"/>
            </w:tcBorders>
            <w:shd w:val="clear" w:color="auto" w:fill="auto"/>
            <w:vAlign w:val="center"/>
          </w:tcPr>
          <w:p w14:paraId="003974B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373F47C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44" w:type="dxa"/>
            <w:tcBorders>
              <w:top w:val="nil"/>
              <w:left w:val="nil"/>
              <w:bottom w:val="single" w:sz="8" w:space="0" w:color="404040"/>
              <w:right w:val="single" w:sz="8" w:space="0" w:color="404040"/>
            </w:tcBorders>
            <w:shd w:val="clear" w:color="auto" w:fill="auto"/>
            <w:vAlign w:val="center"/>
          </w:tcPr>
          <w:p w14:paraId="11B1791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07EF00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8%</w:t>
            </w:r>
          </w:p>
        </w:tc>
        <w:tc>
          <w:tcPr>
            <w:tcW w:w="1226" w:type="dxa"/>
            <w:tcBorders>
              <w:top w:val="nil"/>
              <w:left w:val="nil"/>
              <w:bottom w:val="single" w:sz="8" w:space="0" w:color="404040"/>
              <w:right w:val="single" w:sz="8" w:space="0" w:color="404040"/>
            </w:tcBorders>
            <w:shd w:val="clear" w:color="auto" w:fill="auto"/>
            <w:vAlign w:val="center"/>
          </w:tcPr>
          <w:p w14:paraId="00CBD8E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274CAF8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c>
          <w:tcPr>
            <w:tcW w:w="1209" w:type="dxa"/>
            <w:tcBorders>
              <w:top w:val="nil"/>
              <w:left w:val="nil"/>
              <w:bottom w:val="single" w:sz="8" w:space="0" w:color="404040"/>
              <w:right w:val="single" w:sz="8" w:space="0" w:color="404040"/>
            </w:tcBorders>
            <w:shd w:val="clear" w:color="auto" w:fill="auto"/>
            <w:vAlign w:val="center"/>
          </w:tcPr>
          <w:p w14:paraId="43F745F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0044956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r>
      <w:tr w:rsidR="0062768B" w14:paraId="66A21974"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22A12D2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1C4D595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61" w:type="dxa"/>
            <w:tcBorders>
              <w:top w:val="nil"/>
              <w:left w:val="nil"/>
              <w:bottom w:val="single" w:sz="8" w:space="0" w:color="404040"/>
              <w:right w:val="single" w:sz="8" w:space="0" w:color="404040"/>
            </w:tcBorders>
            <w:shd w:val="clear" w:color="auto" w:fill="auto"/>
            <w:vAlign w:val="center"/>
          </w:tcPr>
          <w:p w14:paraId="5E69B00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1792F0A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c>
          <w:tcPr>
            <w:tcW w:w="1244" w:type="dxa"/>
            <w:tcBorders>
              <w:top w:val="nil"/>
              <w:left w:val="nil"/>
              <w:bottom w:val="single" w:sz="8" w:space="0" w:color="404040"/>
              <w:right w:val="single" w:sz="8" w:space="0" w:color="404040"/>
            </w:tcBorders>
            <w:shd w:val="clear" w:color="auto" w:fill="auto"/>
            <w:vAlign w:val="center"/>
          </w:tcPr>
          <w:p w14:paraId="7B2831E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500E697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26" w:type="dxa"/>
            <w:tcBorders>
              <w:top w:val="nil"/>
              <w:left w:val="nil"/>
              <w:bottom w:val="single" w:sz="8" w:space="0" w:color="404040"/>
              <w:right w:val="single" w:sz="8" w:space="0" w:color="404040"/>
            </w:tcBorders>
            <w:shd w:val="clear" w:color="auto" w:fill="auto"/>
            <w:vAlign w:val="center"/>
          </w:tcPr>
          <w:p w14:paraId="53EFF2A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373E0D3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c>
          <w:tcPr>
            <w:tcW w:w="1209" w:type="dxa"/>
            <w:tcBorders>
              <w:top w:val="nil"/>
              <w:left w:val="nil"/>
              <w:bottom w:val="single" w:sz="8" w:space="0" w:color="404040"/>
              <w:right w:val="single" w:sz="8" w:space="0" w:color="404040"/>
            </w:tcBorders>
            <w:shd w:val="clear" w:color="auto" w:fill="auto"/>
            <w:vAlign w:val="center"/>
          </w:tcPr>
          <w:p w14:paraId="628E21E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01B70E0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r>
      <w:tr w:rsidR="0062768B" w14:paraId="0363E892"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3B75B1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5C2EA46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61" w:type="dxa"/>
            <w:tcBorders>
              <w:top w:val="nil"/>
              <w:left w:val="nil"/>
              <w:bottom w:val="single" w:sz="8" w:space="0" w:color="404040"/>
              <w:right w:val="single" w:sz="8" w:space="0" w:color="404040"/>
            </w:tcBorders>
            <w:shd w:val="clear" w:color="auto" w:fill="auto"/>
            <w:vAlign w:val="center"/>
          </w:tcPr>
          <w:p w14:paraId="0465C07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4E96304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c>
          <w:tcPr>
            <w:tcW w:w="1244" w:type="dxa"/>
            <w:tcBorders>
              <w:top w:val="nil"/>
              <w:left w:val="nil"/>
              <w:bottom w:val="single" w:sz="8" w:space="0" w:color="404040"/>
              <w:right w:val="single" w:sz="8" w:space="0" w:color="404040"/>
            </w:tcBorders>
            <w:shd w:val="clear" w:color="auto" w:fill="auto"/>
            <w:vAlign w:val="center"/>
          </w:tcPr>
          <w:p w14:paraId="72C829A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03F3D00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9%</w:t>
            </w:r>
          </w:p>
        </w:tc>
        <w:tc>
          <w:tcPr>
            <w:tcW w:w="1226" w:type="dxa"/>
            <w:tcBorders>
              <w:top w:val="nil"/>
              <w:left w:val="nil"/>
              <w:bottom w:val="single" w:sz="8" w:space="0" w:color="404040"/>
              <w:right w:val="single" w:sz="8" w:space="0" w:color="404040"/>
            </w:tcBorders>
            <w:shd w:val="clear" w:color="auto" w:fill="auto"/>
            <w:vAlign w:val="center"/>
          </w:tcPr>
          <w:p w14:paraId="3B8071E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499DE70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12%</w:t>
            </w:r>
          </w:p>
        </w:tc>
        <w:tc>
          <w:tcPr>
            <w:tcW w:w="1209" w:type="dxa"/>
            <w:tcBorders>
              <w:top w:val="nil"/>
              <w:left w:val="nil"/>
              <w:bottom w:val="single" w:sz="8" w:space="0" w:color="404040"/>
              <w:right w:val="single" w:sz="8" w:space="0" w:color="404040"/>
            </w:tcBorders>
            <w:shd w:val="clear" w:color="auto" w:fill="auto"/>
            <w:vAlign w:val="center"/>
          </w:tcPr>
          <w:p w14:paraId="49B5086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410F4F5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r>
      <w:tr w:rsidR="0062768B" w14:paraId="4382CB4B"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2ADDD75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1B9B2E8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8%</w:t>
            </w:r>
          </w:p>
        </w:tc>
        <w:tc>
          <w:tcPr>
            <w:tcW w:w="1261" w:type="dxa"/>
            <w:tcBorders>
              <w:top w:val="nil"/>
              <w:left w:val="nil"/>
              <w:bottom w:val="single" w:sz="8" w:space="0" w:color="404040"/>
              <w:right w:val="single" w:sz="8" w:space="0" w:color="404040"/>
            </w:tcBorders>
            <w:shd w:val="clear" w:color="auto" w:fill="auto"/>
            <w:vAlign w:val="center"/>
          </w:tcPr>
          <w:p w14:paraId="2B559A0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0E040C3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9%</w:t>
            </w:r>
          </w:p>
        </w:tc>
        <w:tc>
          <w:tcPr>
            <w:tcW w:w="1244" w:type="dxa"/>
            <w:tcBorders>
              <w:top w:val="nil"/>
              <w:left w:val="nil"/>
              <w:bottom w:val="single" w:sz="8" w:space="0" w:color="404040"/>
              <w:right w:val="single" w:sz="8" w:space="0" w:color="404040"/>
            </w:tcBorders>
            <w:shd w:val="clear" w:color="auto" w:fill="auto"/>
            <w:vAlign w:val="center"/>
          </w:tcPr>
          <w:p w14:paraId="4C54660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5CDA02A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12%</w:t>
            </w:r>
          </w:p>
        </w:tc>
        <w:tc>
          <w:tcPr>
            <w:tcW w:w="1226" w:type="dxa"/>
            <w:tcBorders>
              <w:top w:val="nil"/>
              <w:left w:val="nil"/>
              <w:bottom w:val="single" w:sz="8" w:space="0" w:color="404040"/>
              <w:right w:val="single" w:sz="8" w:space="0" w:color="404040"/>
            </w:tcBorders>
            <w:shd w:val="clear" w:color="auto" w:fill="auto"/>
            <w:vAlign w:val="center"/>
          </w:tcPr>
          <w:p w14:paraId="32A5067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环境状况</w:t>
            </w:r>
          </w:p>
        </w:tc>
        <w:tc>
          <w:tcPr>
            <w:tcW w:w="454" w:type="dxa"/>
            <w:tcBorders>
              <w:top w:val="nil"/>
              <w:left w:val="nil"/>
              <w:bottom w:val="single" w:sz="8" w:space="0" w:color="404040"/>
              <w:right w:val="single" w:sz="8" w:space="0" w:color="404040"/>
            </w:tcBorders>
            <w:shd w:val="clear" w:color="auto" w:fill="auto"/>
            <w:vAlign w:val="center"/>
          </w:tcPr>
          <w:p w14:paraId="7FF6648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09" w:type="dxa"/>
            <w:tcBorders>
              <w:top w:val="nil"/>
              <w:left w:val="nil"/>
              <w:bottom w:val="single" w:sz="8" w:space="0" w:color="404040"/>
              <w:right w:val="single" w:sz="8" w:space="0" w:color="404040"/>
            </w:tcBorders>
            <w:shd w:val="clear" w:color="auto" w:fill="auto"/>
            <w:vAlign w:val="center"/>
          </w:tcPr>
          <w:p w14:paraId="2A7BE36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6DCF447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9%</w:t>
            </w:r>
          </w:p>
        </w:tc>
      </w:tr>
      <w:tr w:rsidR="0062768B" w14:paraId="4A9433E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0BBDE77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0F65BDA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61" w:type="dxa"/>
            <w:tcBorders>
              <w:top w:val="nil"/>
              <w:left w:val="nil"/>
              <w:bottom w:val="single" w:sz="8" w:space="0" w:color="404040"/>
              <w:right w:val="single" w:sz="8" w:space="0" w:color="404040"/>
            </w:tcBorders>
            <w:shd w:val="clear" w:color="auto" w:fill="auto"/>
            <w:vAlign w:val="center"/>
          </w:tcPr>
          <w:p w14:paraId="4D29D8C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596E491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7%</w:t>
            </w:r>
          </w:p>
        </w:tc>
        <w:tc>
          <w:tcPr>
            <w:tcW w:w="1244" w:type="dxa"/>
            <w:tcBorders>
              <w:top w:val="nil"/>
              <w:left w:val="nil"/>
              <w:bottom w:val="single" w:sz="8" w:space="0" w:color="404040"/>
              <w:right w:val="single" w:sz="8" w:space="0" w:color="404040"/>
            </w:tcBorders>
            <w:shd w:val="clear" w:color="auto" w:fill="auto"/>
            <w:vAlign w:val="center"/>
          </w:tcPr>
          <w:p w14:paraId="76F61E4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14:paraId="5AF3F1A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26" w:type="dxa"/>
            <w:tcBorders>
              <w:top w:val="nil"/>
              <w:left w:val="nil"/>
              <w:bottom w:val="single" w:sz="8" w:space="0" w:color="404040"/>
              <w:right w:val="single" w:sz="8" w:space="0" w:color="404040"/>
            </w:tcBorders>
            <w:shd w:val="clear" w:color="auto" w:fill="auto"/>
            <w:vAlign w:val="center"/>
          </w:tcPr>
          <w:p w14:paraId="5B8AF46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　</w:t>
            </w:r>
          </w:p>
        </w:tc>
        <w:tc>
          <w:tcPr>
            <w:tcW w:w="454" w:type="dxa"/>
            <w:tcBorders>
              <w:top w:val="nil"/>
              <w:left w:val="nil"/>
              <w:bottom w:val="single" w:sz="8" w:space="0" w:color="404040"/>
              <w:right w:val="single" w:sz="8" w:space="0" w:color="404040"/>
            </w:tcBorders>
            <w:shd w:val="clear" w:color="auto" w:fill="auto"/>
            <w:vAlign w:val="center"/>
          </w:tcPr>
          <w:p w14:paraId="7CCDFD1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　</w:t>
            </w:r>
          </w:p>
        </w:tc>
        <w:tc>
          <w:tcPr>
            <w:tcW w:w="1209" w:type="dxa"/>
            <w:tcBorders>
              <w:top w:val="nil"/>
              <w:left w:val="nil"/>
              <w:bottom w:val="single" w:sz="8" w:space="0" w:color="404040"/>
              <w:right w:val="single" w:sz="8" w:space="0" w:color="404040"/>
            </w:tcBorders>
            <w:shd w:val="clear" w:color="auto" w:fill="auto"/>
            <w:vAlign w:val="center"/>
          </w:tcPr>
          <w:p w14:paraId="05740D2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5028DC3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7%</w:t>
            </w:r>
          </w:p>
        </w:tc>
      </w:tr>
    </w:tbl>
    <w:p w14:paraId="3297A7D7" w14:textId="77777777" w:rsidR="0062768B" w:rsidRDefault="0062768B">
      <w:pPr>
        <w:widowControl/>
        <w:adjustRightInd/>
        <w:spacing w:line="240" w:lineRule="exact"/>
        <w:textAlignment w:val="auto"/>
        <w:rPr>
          <w:rFonts w:ascii="Arial" w:eastAsia="华文细黑" w:hAnsi="Arial" w:cs="宋体"/>
          <w:sz w:val="18"/>
          <w:szCs w:val="24"/>
        </w:rPr>
      </w:pPr>
    </w:p>
    <w:p w14:paraId="7F0EC02A" w14:textId="77777777" w:rsidR="0062768B" w:rsidRDefault="00136729">
      <w:pPr>
        <w:spacing w:line="300" w:lineRule="auto"/>
        <w:ind w:firstLineChars="200" w:firstLine="560"/>
        <w:jc w:val="both"/>
        <w:rPr>
          <w:rFonts w:ascii="仿宋" w:eastAsia="仿宋" w:hAnsi="仿宋" w:cs="Arial"/>
          <w:sz w:val="28"/>
        </w:rPr>
      </w:pPr>
      <w:r>
        <w:rPr>
          <w:rFonts w:ascii="仿宋" w:eastAsia="仿宋" w:hAnsi="仿宋" w:cs="Arial" w:hint="eastAsia"/>
          <w:sz w:val="28"/>
        </w:rPr>
        <w:t>估价对象位于商业类九级地价区，该级别《区片基准地价因素总修正幅度表》如下：</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1886"/>
        <w:gridCol w:w="1204"/>
        <w:gridCol w:w="1204"/>
        <w:gridCol w:w="1204"/>
        <w:gridCol w:w="1064"/>
        <w:gridCol w:w="1344"/>
      </w:tblGrid>
      <w:tr w:rsidR="0062768B" w14:paraId="1EF364FD" w14:textId="77777777">
        <w:trPr>
          <w:trHeight w:val="430"/>
          <w:jc w:val="center"/>
        </w:trPr>
        <w:tc>
          <w:tcPr>
            <w:tcW w:w="1022" w:type="dxa"/>
            <w:shd w:val="clear" w:color="auto" w:fill="auto"/>
            <w:vAlign w:val="center"/>
          </w:tcPr>
          <w:p w14:paraId="73EEFC0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级别</w:t>
            </w:r>
          </w:p>
        </w:tc>
        <w:tc>
          <w:tcPr>
            <w:tcW w:w="1886" w:type="dxa"/>
            <w:shd w:val="clear" w:color="auto" w:fill="auto"/>
            <w:vAlign w:val="center"/>
          </w:tcPr>
          <w:p w14:paraId="32475A4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区片编号</w:t>
            </w:r>
          </w:p>
        </w:tc>
        <w:tc>
          <w:tcPr>
            <w:tcW w:w="1204" w:type="dxa"/>
            <w:shd w:val="clear" w:color="auto" w:fill="auto"/>
            <w:vAlign w:val="center"/>
          </w:tcPr>
          <w:p w14:paraId="765E54F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商业类</w:t>
            </w:r>
          </w:p>
        </w:tc>
        <w:tc>
          <w:tcPr>
            <w:tcW w:w="1204" w:type="dxa"/>
            <w:shd w:val="clear" w:color="auto" w:fill="auto"/>
            <w:vAlign w:val="center"/>
          </w:tcPr>
          <w:p w14:paraId="1BEF64E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办公类</w:t>
            </w:r>
          </w:p>
        </w:tc>
        <w:tc>
          <w:tcPr>
            <w:tcW w:w="1204" w:type="dxa"/>
            <w:shd w:val="clear" w:color="auto" w:fill="auto"/>
            <w:vAlign w:val="center"/>
          </w:tcPr>
          <w:p w14:paraId="49FE901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住宅类</w:t>
            </w:r>
          </w:p>
        </w:tc>
        <w:tc>
          <w:tcPr>
            <w:tcW w:w="1064" w:type="dxa"/>
            <w:shd w:val="clear" w:color="auto" w:fill="auto"/>
            <w:vAlign w:val="center"/>
          </w:tcPr>
          <w:p w14:paraId="45EB8A1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工业类</w:t>
            </w:r>
          </w:p>
        </w:tc>
        <w:tc>
          <w:tcPr>
            <w:tcW w:w="1344" w:type="dxa"/>
            <w:shd w:val="clear" w:color="auto" w:fill="auto"/>
            <w:vAlign w:val="center"/>
          </w:tcPr>
          <w:p w14:paraId="781D813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公共服务类</w:t>
            </w:r>
          </w:p>
        </w:tc>
      </w:tr>
      <w:tr w:rsidR="0062768B" w14:paraId="767239A7" w14:textId="77777777">
        <w:trPr>
          <w:trHeight w:val="265"/>
          <w:jc w:val="center"/>
        </w:trPr>
        <w:tc>
          <w:tcPr>
            <w:tcW w:w="1022" w:type="dxa"/>
            <w:vMerge w:val="restart"/>
            <w:shd w:val="clear" w:color="auto" w:fill="auto"/>
            <w:vAlign w:val="center"/>
          </w:tcPr>
          <w:p w14:paraId="7A760C5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九级</w:t>
            </w:r>
          </w:p>
        </w:tc>
        <w:tc>
          <w:tcPr>
            <w:tcW w:w="1886" w:type="dxa"/>
            <w:shd w:val="clear" w:color="auto" w:fill="auto"/>
            <w:vAlign w:val="center"/>
          </w:tcPr>
          <w:p w14:paraId="1DC5061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-01</w:t>
            </w:r>
          </w:p>
        </w:tc>
        <w:tc>
          <w:tcPr>
            <w:tcW w:w="1204" w:type="dxa"/>
            <w:shd w:val="clear" w:color="auto" w:fill="auto"/>
            <w:vAlign w:val="center"/>
          </w:tcPr>
          <w:p w14:paraId="2A87136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AFFD34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6358E62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6481D86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6456F14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5FFCAA98" w14:textId="77777777">
        <w:trPr>
          <w:trHeight w:val="265"/>
          <w:jc w:val="center"/>
        </w:trPr>
        <w:tc>
          <w:tcPr>
            <w:tcW w:w="1022" w:type="dxa"/>
            <w:vMerge/>
            <w:shd w:val="clear" w:color="auto" w:fill="auto"/>
            <w:vAlign w:val="center"/>
          </w:tcPr>
          <w:p w14:paraId="171AC337"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8BFDF1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-02</w:t>
            </w:r>
          </w:p>
        </w:tc>
        <w:tc>
          <w:tcPr>
            <w:tcW w:w="1204" w:type="dxa"/>
            <w:shd w:val="clear" w:color="auto" w:fill="auto"/>
            <w:vAlign w:val="center"/>
          </w:tcPr>
          <w:p w14:paraId="73DE1B1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AC33CB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EFD2B3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716EFA8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498DCCF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3105E49C" w14:textId="77777777">
        <w:trPr>
          <w:trHeight w:val="265"/>
          <w:jc w:val="center"/>
        </w:trPr>
        <w:tc>
          <w:tcPr>
            <w:tcW w:w="1022" w:type="dxa"/>
            <w:vMerge/>
            <w:shd w:val="clear" w:color="auto" w:fill="auto"/>
            <w:vAlign w:val="center"/>
          </w:tcPr>
          <w:p w14:paraId="7B297004"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FBB51B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门</w:t>
            </w:r>
            <w:r>
              <w:rPr>
                <w:rFonts w:ascii="Arial" w:eastAsia="仿宋" w:hAnsi="Arial" w:cs="Arial" w:hint="eastAsia"/>
                <w:sz w:val="21"/>
                <w:szCs w:val="21"/>
              </w:rPr>
              <w:t>1</w:t>
            </w:r>
          </w:p>
        </w:tc>
        <w:tc>
          <w:tcPr>
            <w:tcW w:w="1204" w:type="dxa"/>
            <w:shd w:val="clear" w:color="auto" w:fill="auto"/>
            <w:vAlign w:val="center"/>
          </w:tcPr>
          <w:p w14:paraId="503BF5C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751F5E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E540B8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494B9EC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7517E70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BDD3B46" w14:textId="77777777">
        <w:trPr>
          <w:trHeight w:val="265"/>
          <w:jc w:val="center"/>
        </w:trPr>
        <w:tc>
          <w:tcPr>
            <w:tcW w:w="1022" w:type="dxa"/>
            <w:vMerge/>
            <w:shd w:val="clear" w:color="auto" w:fill="auto"/>
            <w:vAlign w:val="center"/>
          </w:tcPr>
          <w:p w14:paraId="4A200705"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9BA163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门</w:t>
            </w:r>
            <w:r>
              <w:rPr>
                <w:rFonts w:ascii="Arial" w:eastAsia="仿宋" w:hAnsi="Arial" w:cs="Arial" w:hint="eastAsia"/>
                <w:sz w:val="21"/>
                <w:szCs w:val="21"/>
              </w:rPr>
              <w:t>2</w:t>
            </w:r>
          </w:p>
        </w:tc>
        <w:tc>
          <w:tcPr>
            <w:tcW w:w="1204" w:type="dxa"/>
            <w:shd w:val="clear" w:color="auto" w:fill="auto"/>
            <w:vAlign w:val="center"/>
          </w:tcPr>
          <w:p w14:paraId="02F24BA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44D87E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D62BBC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5FC98CA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52254BE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5D41753B" w14:textId="77777777">
        <w:trPr>
          <w:trHeight w:val="265"/>
          <w:jc w:val="center"/>
        </w:trPr>
        <w:tc>
          <w:tcPr>
            <w:tcW w:w="1022" w:type="dxa"/>
            <w:vMerge/>
            <w:shd w:val="clear" w:color="auto" w:fill="auto"/>
            <w:vAlign w:val="center"/>
          </w:tcPr>
          <w:p w14:paraId="7137D746"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64A998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proofErr w:type="gramStart"/>
            <w:r>
              <w:rPr>
                <w:rFonts w:ascii="Arial" w:eastAsia="仿宋" w:hAnsi="Arial" w:cs="Arial" w:hint="eastAsia"/>
                <w:sz w:val="21"/>
                <w:szCs w:val="21"/>
              </w:rPr>
              <w:t>门潭</w:t>
            </w:r>
            <w:proofErr w:type="gramEnd"/>
          </w:p>
        </w:tc>
        <w:tc>
          <w:tcPr>
            <w:tcW w:w="1204" w:type="dxa"/>
            <w:shd w:val="clear" w:color="auto" w:fill="auto"/>
            <w:vAlign w:val="center"/>
          </w:tcPr>
          <w:p w14:paraId="76F0CF0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F43D4A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840F33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2EC0415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2097090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6AEBCC8" w14:textId="77777777">
        <w:trPr>
          <w:trHeight w:val="265"/>
          <w:jc w:val="center"/>
        </w:trPr>
        <w:tc>
          <w:tcPr>
            <w:tcW w:w="1022" w:type="dxa"/>
            <w:vMerge/>
            <w:shd w:val="clear" w:color="auto" w:fill="auto"/>
            <w:vAlign w:val="center"/>
          </w:tcPr>
          <w:p w14:paraId="333B3AAA"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2466A9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w:t>
            </w:r>
            <w:r>
              <w:rPr>
                <w:rFonts w:ascii="Arial" w:eastAsia="仿宋" w:hAnsi="Arial" w:cs="Arial" w:hint="eastAsia"/>
                <w:sz w:val="21"/>
                <w:szCs w:val="21"/>
              </w:rPr>
              <w:t>1</w:t>
            </w:r>
          </w:p>
        </w:tc>
        <w:tc>
          <w:tcPr>
            <w:tcW w:w="1204" w:type="dxa"/>
            <w:shd w:val="clear" w:color="auto" w:fill="auto"/>
            <w:vAlign w:val="center"/>
          </w:tcPr>
          <w:p w14:paraId="6275079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EB0FDA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700D42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65D8A5A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344" w:type="dxa"/>
            <w:shd w:val="clear" w:color="auto" w:fill="auto"/>
            <w:vAlign w:val="center"/>
          </w:tcPr>
          <w:p w14:paraId="4356DED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0CAC399C" w14:textId="77777777">
        <w:trPr>
          <w:trHeight w:val="265"/>
          <w:jc w:val="center"/>
        </w:trPr>
        <w:tc>
          <w:tcPr>
            <w:tcW w:w="1022" w:type="dxa"/>
            <w:vMerge/>
            <w:shd w:val="clear" w:color="auto" w:fill="auto"/>
            <w:vAlign w:val="center"/>
          </w:tcPr>
          <w:p w14:paraId="288D4217"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E2D228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w:t>
            </w:r>
            <w:r>
              <w:rPr>
                <w:rFonts w:ascii="Arial" w:eastAsia="仿宋" w:hAnsi="Arial" w:cs="Arial" w:hint="eastAsia"/>
                <w:sz w:val="21"/>
                <w:szCs w:val="21"/>
              </w:rPr>
              <w:t>2</w:t>
            </w:r>
          </w:p>
        </w:tc>
        <w:tc>
          <w:tcPr>
            <w:tcW w:w="1204" w:type="dxa"/>
            <w:shd w:val="clear" w:color="auto" w:fill="auto"/>
            <w:vAlign w:val="center"/>
          </w:tcPr>
          <w:p w14:paraId="34927B6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294B02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D378A0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66B847E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c>
          <w:tcPr>
            <w:tcW w:w="1344" w:type="dxa"/>
            <w:shd w:val="clear" w:color="auto" w:fill="auto"/>
            <w:vAlign w:val="center"/>
          </w:tcPr>
          <w:p w14:paraId="46AA41D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1BEBC5BE" w14:textId="77777777">
        <w:trPr>
          <w:trHeight w:val="265"/>
          <w:jc w:val="center"/>
        </w:trPr>
        <w:tc>
          <w:tcPr>
            <w:tcW w:w="1022" w:type="dxa"/>
            <w:vMerge/>
            <w:shd w:val="clear" w:color="auto" w:fill="auto"/>
            <w:vAlign w:val="center"/>
          </w:tcPr>
          <w:p w14:paraId="462AD61C"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464D21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w:t>
            </w:r>
            <w:r>
              <w:rPr>
                <w:rFonts w:ascii="Arial" w:eastAsia="仿宋" w:hAnsi="Arial" w:cs="Arial" w:hint="eastAsia"/>
                <w:sz w:val="21"/>
                <w:szCs w:val="21"/>
              </w:rPr>
              <w:t>3</w:t>
            </w:r>
          </w:p>
        </w:tc>
        <w:tc>
          <w:tcPr>
            <w:tcW w:w="1204" w:type="dxa"/>
            <w:shd w:val="clear" w:color="auto" w:fill="auto"/>
            <w:vAlign w:val="center"/>
          </w:tcPr>
          <w:p w14:paraId="5ADD18C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6F0D0C9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62A81B4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662C1FE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45D1C7D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014044CF" w14:textId="77777777">
        <w:trPr>
          <w:trHeight w:val="265"/>
          <w:jc w:val="center"/>
        </w:trPr>
        <w:tc>
          <w:tcPr>
            <w:tcW w:w="1022" w:type="dxa"/>
            <w:vMerge/>
            <w:shd w:val="clear" w:color="auto" w:fill="auto"/>
            <w:vAlign w:val="center"/>
          </w:tcPr>
          <w:p w14:paraId="3F0DC69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E87798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w:t>
            </w:r>
            <w:r>
              <w:rPr>
                <w:rFonts w:ascii="Arial" w:eastAsia="仿宋" w:hAnsi="Arial" w:cs="Arial" w:hint="eastAsia"/>
                <w:sz w:val="21"/>
                <w:szCs w:val="21"/>
              </w:rPr>
              <w:t>4</w:t>
            </w:r>
          </w:p>
        </w:tc>
        <w:tc>
          <w:tcPr>
            <w:tcW w:w="1204" w:type="dxa"/>
            <w:shd w:val="clear" w:color="auto" w:fill="auto"/>
            <w:vAlign w:val="center"/>
          </w:tcPr>
          <w:p w14:paraId="7E4DE32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D0FD7A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3D04FE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5996E40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0CB7C65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0DB2C0A3" w14:textId="77777777">
        <w:trPr>
          <w:trHeight w:val="265"/>
          <w:jc w:val="center"/>
        </w:trPr>
        <w:tc>
          <w:tcPr>
            <w:tcW w:w="1022" w:type="dxa"/>
            <w:vMerge/>
            <w:shd w:val="clear" w:color="auto" w:fill="auto"/>
            <w:vAlign w:val="center"/>
          </w:tcPr>
          <w:p w14:paraId="199C66D5"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021C49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w:t>
            </w:r>
            <w:r>
              <w:rPr>
                <w:rFonts w:ascii="Arial" w:eastAsia="仿宋" w:hAnsi="Arial" w:cs="Arial" w:hint="eastAsia"/>
                <w:sz w:val="21"/>
                <w:szCs w:val="21"/>
              </w:rPr>
              <w:t>5</w:t>
            </w:r>
          </w:p>
        </w:tc>
        <w:tc>
          <w:tcPr>
            <w:tcW w:w="1204" w:type="dxa"/>
            <w:shd w:val="clear" w:color="auto" w:fill="auto"/>
            <w:vAlign w:val="center"/>
          </w:tcPr>
          <w:p w14:paraId="4A8061B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204" w:type="dxa"/>
            <w:shd w:val="clear" w:color="auto" w:fill="auto"/>
            <w:vAlign w:val="center"/>
          </w:tcPr>
          <w:p w14:paraId="3A324F5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204" w:type="dxa"/>
            <w:shd w:val="clear" w:color="auto" w:fill="auto"/>
            <w:vAlign w:val="center"/>
          </w:tcPr>
          <w:p w14:paraId="3719825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68A9E1A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14.10%</w:t>
            </w:r>
          </w:p>
        </w:tc>
        <w:tc>
          <w:tcPr>
            <w:tcW w:w="1344" w:type="dxa"/>
            <w:shd w:val="clear" w:color="auto" w:fill="auto"/>
            <w:vAlign w:val="center"/>
          </w:tcPr>
          <w:p w14:paraId="5842974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r>
      <w:tr w:rsidR="0062768B" w14:paraId="0F4F31A4" w14:textId="77777777">
        <w:trPr>
          <w:trHeight w:val="265"/>
          <w:jc w:val="center"/>
        </w:trPr>
        <w:tc>
          <w:tcPr>
            <w:tcW w:w="1022" w:type="dxa"/>
            <w:vMerge/>
            <w:shd w:val="clear" w:color="auto" w:fill="auto"/>
            <w:vAlign w:val="center"/>
          </w:tcPr>
          <w:p w14:paraId="1D94DD06"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2EFDE4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通</w:t>
            </w:r>
            <w:r>
              <w:rPr>
                <w:rFonts w:ascii="Arial" w:eastAsia="仿宋" w:hAnsi="Arial" w:cs="Arial" w:hint="eastAsia"/>
                <w:sz w:val="21"/>
                <w:szCs w:val="21"/>
              </w:rPr>
              <w:t>1</w:t>
            </w:r>
          </w:p>
        </w:tc>
        <w:tc>
          <w:tcPr>
            <w:tcW w:w="1204" w:type="dxa"/>
            <w:shd w:val="clear" w:color="auto" w:fill="auto"/>
            <w:vAlign w:val="center"/>
          </w:tcPr>
          <w:p w14:paraId="7730603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11.00%</w:t>
            </w:r>
          </w:p>
        </w:tc>
        <w:tc>
          <w:tcPr>
            <w:tcW w:w="1204" w:type="dxa"/>
            <w:shd w:val="clear" w:color="auto" w:fill="auto"/>
            <w:vAlign w:val="center"/>
          </w:tcPr>
          <w:p w14:paraId="15E78D2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11.10%</w:t>
            </w:r>
          </w:p>
        </w:tc>
        <w:tc>
          <w:tcPr>
            <w:tcW w:w="1204" w:type="dxa"/>
            <w:shd w:val="clear" w:color="auto" w:fill="auto"/>
            <w:vAlign w:val="center"/>
          </w:tcPr>
          <w:p w14:paraId="6F1DBD3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14.10%</w:t>
            </w:r>
          </w:p>
        </w:tc>
        <w:tc>
          <w:tcPr>
            <w:tcW w:w="1064" w:type="dxa"/>
            <w:shd w:val="clear" w:color="auto" w:fill="auto"/>
            <w:vAlign w:val="center"/>
          </w:tcPr>
          <w:p w14:paraId="62F0065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11.00%</w:t>
            </w:r>
          </w:p>
        </w:tc>
        <w:tc>
          <w:tcPr>
            <w:tcW w:w="1344" w:type="dxa"/>
            <w:shd w:val="clear" w:color="auto" w:fill="auto"/>
            <w:vAlign w:val="center"/>
          </w:tcPr>
          <w:p w14:paraId="2D2F6C0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12.00%</w:t>
            </w:r>
          </w:p>
        </w:tc>
      </w:tr>
      <w:tr w:rsidR="0062768B" w14:paraId="3894EFB6" w14:textId="77777777">
        <w:trPr>
          <w:trHeight w:val="265"/>
          <w:jc w:val="center"/>
        </w:trPr>
        <w:tc>
          <w:tcPr>
            <w:tcW w:w="1022" w:type="dxa"/>
            <w:vMerge/>
            <w:shd w:val="clear" w:color="auto" w:fill="auto"/>
            <w:vAlign w:val="center"/>
          </w:tcPr>
          <w:p w14:paraId="6C301ACC"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C80E31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通</w:t>
            </w:r>
            <w:r>
              <w:rPr>
                <w:rFonts w:ascii="Arial" w:eastAsia="仿宋" w:hAnsi="Arial" w:cs="Arial" w:hint="eastAsia"/>
                <w:sz w:val="21"/>
                <w:szCs w:val="21"/>
              </w:rPr>
              <w:t>2</w:t>
            </w:r>
          </w:p>
        </w:tc>
        <w:tc>
          <w:tcPr>
            <w:tcW w:w="1204" w:type="dxa"/>
            <w:shd w:val="clear" w:color="auto" w:fill="auto"/>
            <w:vAlign w:val="center"/>
          </w:tcPr>
          <w:p w14:paraId="4795DC0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c>
          <w:tcPr>
            <w:tcW w:w="1204" w:type="dxa"/>
            <w:shd w:val="clear" w:color="auto" w:fill="auto"/>
            <w:vAlign w:val="center"/>
          </w:tcPr>
          <w:p w14:paraId="5B26C21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14.30%</w:t>
            </w:r>
          </w:p>
        </w:tc>
        <w:tc>
          <w:tcPr>
            <w:tcW w:w="1204" w:type="dxa"/>
            <w:shd w:val="clear" w:color="auto" w:fill="auto"/>
            <w:vAlign w:val="center"/>
          </w:tcPr>
          <w:p w14:paraId="78F2075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7810538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c>
          <w:tcPr>
            <w:tcW w:w="1344" w:type="dxa"/>
            <w:shd w:val="clear" w:color="auto" w:fill="auto"/>
            <w:vAlign w:val="center"/>
          </w:tcPr>
          <w:p w14:paraId="2561EB8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r>
      <w:tr w:rsidR="0062768B" w14:paraId="6541E22F" w14:textId="77777777">
        <w:trPr>
          <w:trHeight w:val="265"/>
          <w:jc w:val="center"/>
        </w:trPr>
        <w:tc>
          <w:tcPr>
            <w:tcW w:w="1022" w:type="dxa"/>
            <w:vMerge/>
            <w:shd w:val="clear" w:color="auto" w:fill="auto"/>
            <w:vAlign w:val="center"/>
          </w:tcPr>
          <w:p w14:paraId="44BCDAE7"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1C26BC3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顺</w:t>
            </w:r>
            <w:r>
              <w:rPr>
                <w:rFonts w:ascii="Arial" w:eastAsia="仿宋" w:hAnsi="Arial" w:cs="Arial" w:hint="eastAsia"/>
                <w:sz w:val="21"/>
                <w:szCs w:val="21"/>
              </w:rPr>
              <w:t>1</w:t>
            </w:r>
          </w:p>
        </w:tc>
        <w:tc>
          <w:tcPr>
            <w:tcW w:w="1204" w:type="dxa"/>
            <w:shd w:val="clear" w:color="auto" w:fill="auto"/>
            <w:vAlign w:val="center"/>
          </w:tcPr>
          <w:p w14:paraId="150E695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14.30%</w:t>
            </w:r>
          </w:p>
        </w:tc>
        <w:tc>
          <w:tcPr>
            <w:tcW w:w="1204" w:type="dxa"/>
            <w:shd w:val="clear" w:color="auto" w:fill="auto"/>
            <w:vAlign w:val="center"/>
          </w:tcPr>
          <w:p w14:paraId="64EBD14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14.30%</w:t>
            </w:r>
          </w:p>
        </w:tc>
        <w:tc>
          <w:tcPr>
            <w:tcW w:w="1204" w:type="dxa"/>
            <w:shd w:val="clear" w:color="auto" w:fill="auto"/>
            <w:vAlign w:val="center"/>
          </w:tcPr>
          <w:p w14:paraId="45C92E4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14.80%</w:t>
            </w:r>
          </w:p>
        </w:tc>
        <w:tc>
          <w:tcPr>
            <w:tcW w:w="1064" w:type="dxa"/>
            <w:shd w:val="clear" w:color="auto" w:fill="auto"/>
            <w:vAlign w:val="center"/>
          </w:tcPr>
          <w:p w14:paraId="5200E8D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c>
          <w:tcPr>
            <w:tcW w:w="1344" w:type="dxa"/>
            <w:shd w:val="clear" w:color="auto" w:fill="auto"/>
            <w:vAlign w:val="center"/>
          </w:tcPr>
          <w:p w14:paraId="07F1E09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r>
      <w:tr w:rsidR="0062768B" w14:paraId="47274227" w14:textId="77777777">
        <w:trPr>
          <w:trHeight w:val="265"/>
          <w:jc w:val="center"/>
        </w:trPr>
        <w:tc>
          <w:tcPr>
            <w:tcW w:w="1022" w:type="dxa"/>
            <w:vMerge/>
            <w:shd w:val="clear" w:color="auto" w:fill="auto"/>
            <w:vAlign w:val="center"/>
          </w:tcPr>
          <w:p w14:paraId="2B8F2368"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D4E09B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顺</w:t>
            </w:r>
            <w:r>
              <w:rPr>
                <w:rFonts w:ascii="Arial" w:eastAsia="仿宋" w:hAnsi="Arial" w:cs="Arial" w:hint="eastAsia"/>
                <w:sz w:val="21"/>
                <w:szCs w:val="21"/>
              </w:rPr>
              <w:t>2</w:t>
            </w:r>
          </w:p>
        </w:tc>
        <w:tc>
          <w:tcPr>
            <w:tcW w:w="1204" w:type="dxa"/>
            <w:shd w:val="clear" w:color="auto" w:fill="auto"/>
            <w:vAlign w:val="center"/>
          </w:tcPr>
          <w:p w14:paraId="25D6E55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14.80%</w:t>
            </w:r>
          </w:p>
        </w:tc>
        <w:tc>
          <w:tcPr>
            <w:tcW w:w="1204" w:type="dxa"/>
            <w:shd w:val="clear" w:color="auto" w:fill="auto"/>
            <w:vAlign w:val="center"/>
          </w:tcPr>
          <w:p w14:paraId="402998E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14.90%</w:t>
            </w:r>
          </w:p>
        </w:tc>
        <w:tc>
          <w:tcPr>
            <w:tcW w:w="1204" w:type="dxa"/>
            <w:shd w:val="clear" w:color="auto" w:fill="auto"/>
            <w:vAlign w:val="center"/>
          </w:tcPr>
          <w:p w14:paraId="16DC467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1B87131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12.70%</w:t>
            </w:r>
          </w:p>
        </w:tc>
        <w:tc>
          <w:tcPr>
            <w:tcW w:w="1344" w:type="dxa"/>
            <w:shd w:val="clear" w:color="auto" w:fill="auto"/>
            <w:vAlign w:val="center"/>
          </w:tcPr>
          <w:p w14:paraId="27F3985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61B3096A" w14:textId="77777777">
        <w:trPr>
          <w:trHeight w:val="265"/>
          <w:jc w:val="center"/>
        </w:trPr>
        <w:tc>
          <w:tcPr>
            <w:tcW w:w="1022" w:type="dxa"/>
            <w:vMerge/>
            <w:shd w:val="clear" w:color="auto" w:fill="auto"/>
            <w:vAlign w:val="center"/>
          </w:tcPr>
          <w:p w14:paraId="4821AD2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EFBB87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顺</w:t>
            </w:r>
            <w:r>
              <w:rPr>
                <w:rFonts w:ascii="Arial" w:eastAsia="仿宋" w:hAnsi="Arial" w:cs="Arial" w:hint="eastAsia"/>
                <w:sz w:val="21"/>
                <w:szCs w:val="21"/>
              </w:rPr>
              <w:t>3</w:t>
            </w:r>
          </w:p>
        </w:tc>
        <w:tc>
          <w:tcPr>
            <w:tcW w:w="1204" w:type="dxa"/>
            <w:shd w:val="clear" w:color="auto" w:fill="auto"/>
            <w:vAlign w:val="center"/>
          </w:tcPr>
          <w:p w14:paraId="29E048C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C55DAA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4B328D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0833967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14.90%</w:t>
            </w:r>
          </w:p>
        </w:tc>
        <w:tc>
          <w:tcPr>
            <w:tcW w:w="1344" w:type="dxa"/>
            <w:shd w:val="clear" w:color="auto" w:fill="auto"/>
            <w:vAlign w:val="center"/>
          </w:tcPr>
          <w:p w14:paraId="3E1FB6C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3129B3AA" w14:textId="77777777">
        <w:trPr>
          <w:trHeight w:val="265"/>
          <w:jc w:val="center"/>
        </w:trPr>
        <w:tc>
          <w:tcPr>
            <w:tcW w:w="1022" w:type="dxa"/>
            <w:vMerge/>
            <w:shd w:val="clear" w:color="auto" w:fill="auto"/>
            <w:vAlign w:val="center"/>
          </w:tcPr>
          <w:p w14:paraId="2C7D18A7"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6277CC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顺</w:t>
            </w:r>
            <w:r>
              <w:rPr>
                <w:rFonts w:ascii="Arial" w:eastAsia="仿宋" w:hAnsi="Arial" w:cs="Arial" w:hint="eastAsia"/>
                <w:sz w:val="21"/>
                <w:szCs w:val="21"/>
              </w:rPr>
              <w:t>4</w:t>
            </w:r>
          </w:p>
        </w:tc>
        <w:tc>
          <w:tcPr>
            <w:tcW w:w="1204" w:type="dxa"/>
            <w:shd w:val="clear" w:color="auto" w:fill="auto"/>
            <w:vAlign w:val="center"/>
          </w:tcPr>
          <w:p w14:paraId="43EAF4C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7BC396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AF2DB1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51CCD84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c>
          <w:tcPr>
            <w:tcW w:w="1344" w:type="dxa"/>
            <w:shd w:val="clear" w:color="auto" w:fill="auto"/>
            <w:vAlign w:val="center"/>
          </w:tcPr>
          <w:p w14:paraId="3A92EA0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35690292" w14:textId="77777777">
        <w:trPr>
          <w:trHeight w:val="265"/>
          <w:jc w:val="center"/>
        </w:trPr>
        <w:tc>
          <w:tcPr>
            <w:tcW w:w="1022" w:type="dxa"/>
            <w:vMerge/>
            <w:shd w:val="clear" w:color="auto" w:fill="auto"/>
            <w:vAlign w:val="center"/>
          </w:tcPr>
          <w:p w14:paraId="27DE4A6A"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15D98D3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顺</w:t>
            </w:r>
            <w:r>
              <w:rPr>
                <w:rFonts w:ascii="Arial" w:eastAsia="仿宋" w:hAnsi="Arial" w:cs="Arial" w:hint="eastAsia"/>
                <w:sz w:val="21"/>
                <w:szCs w:val="21"/>
              </w:rPr>
              <w:t>5</w:t>
            </w:r>
          </w:p>
        </w:tc>
        <w:tc>
          <w:tcPr>
            <w:tcW w:w="1204" w:type="dxa"/>
            <w:shd w:val="clear" w:color="auto" w:fill="auto"/>
            <w:vAlign w:val="center"/>
          </w:tcPr>
          <w:p w14:paraId="560A4B9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6403DCC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33A1CE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6773BCD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344" w:type="dxa"/>
            <w:shd w:val="clear" w:color="auto" w:fill="auto"/>
            <w:vAlign w:val="center"/>
          </w:tcPr>
          <w:p w14:paraId="5E210FD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C4BA865" w14:textId="77777777">
        <w:trPr>
          <w:trHeight w:val="265"/>
          <w:jc w:val="center"/>
        </w:trPr>
        <w:tc>
          <w:tcPr>
            <w:tcW w:w="1022" w:type="dxa"/>
            <w:vMerge/>
            <w:shd w:val="clear" w:color="auto" w:fill="auto"/>
            <w:vAlign w:val="center"/>
          </w:tcPr>
          <w:p w14:paraId="18946A9E"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10CADF2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昌</w:t>
            </w:r>
            <w:r>
              <w:rPr>
                <w:rFonts w:ascii="Arial" w:eastAsia="仿宋" w:hAnsi="Arial" w:cs="Arial" w:hint="eastAsia"/>
                <w:sz w:val="21"/>
                <w:szCs w:val="21"/>
              </w:rPr>
              <w:t>1</w:t>
            </w:r>
          </w:p>
        </w:tc>
        <w:tc>
          <w:tcPr>
            <w:tcW w:w="1204" w:type="dxa"/>
            <w:shd w:val="clear" w:color="auto" w:fill="auto"/>
            <w:vAlign w:val="center"/>
          </w:tcPr>
          <w:p w14:paraId="51DEC38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69FF603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51AFFD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77D5971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14.90%</w:t>
            </w:r>
          </w:p>
        </w:tc>
        <w:tc>
          <w:tcPr>
            <w:tcW w:w="1344" w:type="dxa"/>
            <w:shd w:val="clear" w:color="auto" w:fill="auto"/>
            <w:vAlign w:val="center"/>
          </w:tcPr>
          <w:p w14:paraId="58136D0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1F18723D" w14:textId="77777777">
        <w:trPr>
          <w:trHeight w:val="265"/>
          <w:jc w:val="center"/>
        </w:trPr>
        <w:tc>
          <w:tcPr>
            <w:tcW w:w="1022" w:type="dxa"/>
            <w:vMerge/>
            <w:shd w:val="clear" w:color="auto" w:fill="auto"/>
            <w:vAlign w:val="center"/>
          </w:tcPr>
          <w:p w14:paraId="7D88239F"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6ACB918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昌</w:t>
            </w:r>
            <w:r>
              <w:rPr>
                <w:rFonts w:ascii="Arial" w:eastAsia="仿宋" w:hAnsi="Arial" w:cs="Arial" w:hint="eastAsia"/>
                <w:sz w:val="21"/>
                <w:szCs w:val="21"/>
              </w:rPr>
              <w:t>2</w:t>
            </w:r>
          </w:p>
        </w:tc>
        <w:tc>
          <w:tcPr>
            <w:tcW w:w="1204" w:type="dxa"/>
            <w:shd w:val="clear" w:color="auto" w:fill="auto"/>
            <w:vAlign w:val="center"/>
          </w:tcPr>
          <w:p w14:paraId="1E9BEC1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EBD4A2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ED1C60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70A6E5E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14.80%</w:t>
            </w:r>
          </w:p>
        </w:tc>
        <w:tc>
          <w:tcPr>
            <w:tcW w:w="1344" w:type="dxa"/>
            <w:shd w:val="clear" w:color="auto" w:fill="auto"/>
            <w:vAlign w:val="center"/>
          </w:tcPr>
          <w:p w14:paraId="4DCF270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69C8C878" w14:textId="77777777">
        <w:trPr>
          <w:trHeight w:val="265"/>
          <w:jc w:val="center"/>
        </w:trPr>
        <w:tc>
          <w:tcPr>
            <w:tcW w:w="1022" w:type="dxa"/>
            <w:vMerge/>
            <w:shd w:val="clear" w:color="auto" w:fill="auto"/>
            <w:vAlign w:val="center"/>
          </w:tcPr>
          <w:p w14:paraId="07E340F7"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43FFD0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昌</w:t>
            </w:r>
            <w:r>
              <w:rPr>
                <w:rFonts w:ascii="Arial" w:eastAsia="仿宋" w:hAnsi="Arial" w:cs="Arial" w:hint="eastAsia"/>
                <w:sz w:val="21"/>
                <w:szCs w:val="21"/>
              </w:rPr>
              <w:t>3</w:t>
            </w:r>
          </w:p>
        </w:tc>
        <w:tc>
          <w:tcPr>
            <w:tcW w:w="1204" w:type="dxa"/>
            <w:shd w:val="clear" w:color="auto" w:fill="auto"/>
            <w:vAlign w:val="center"/>
          </w:tcPr>
          <w:p w14:paraId="15DBB3D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88F09F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27DE77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032512C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c>
          <w:tcPr>
            <w:tcW w:w="1344" w:type="dxa"/>
            <w:shd w:val="clear" w:color="auto" w:fill="auto"/>
            <w:vAlign w:val="center"/>
          </w:tcPr>
          <w:p w14:paraId="404D1FC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288D0886" w14:textId="77777777">
        <w:trPr>
          <w:trHeight w:val="265"/>
          <w:jc w:val="center"/>
        </w:trPr>
        <w:tc>
          <w:tcPr>
            <w:tcW w:w="1022" w:type="dxa"/>
            <w:vMerge/>
            <w:shd w:val="clear" w:color="auto" w:fill="auto"/>
            <w:vAlign w:val="center"/>
          </w:tcPr>
          <w:p w14:paraId="56BF96C2"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F07714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昌</w:t>
            </w:r>
            <w:r>
              <w:rPr>
                <w:rFonts w:ascii="Arial" w:eastAsia="仿宋" w:hAnsi="Arial" w:cs="Arial" w:hint="eastAsia"/>
                <w:sz w:val="21"/>
                <w:szCs w:val="21"/>
              </w:rPr>
              <w:t>4</w:t>
            </w:r>
          </w:p>
        </w:tc>
        <w:tc>
          <w:tcPr>
            <w:tcW w:w="1204" w:type="dxa"/>
            <w:shd w:val="clear" w:color="auto" w:fill="auto"/>
            <w:vAlign w:val="center"/>
          </w:tcPr>
          <w:p w14:paraId="2B91CB1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3284B4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BDDBA0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5436EF2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344" w:type="dxa"/>
            <w:shd w:val="clear" w:color="auto" w:fill="auto"/>
            <w:vAlign w:val="center"/>
          </w:tcPr>
          <w:p w14:paraId="5A812C4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5859C3C4" w14:textId="77777777">
        <w:trPr>
          <w:trHeight w:val="265"/>
          <w:jc w:val="center"/>
        </w:trPr>
        <w:tc>
          <w:tcPr>
            <w:tcW w:w="1022" w:type="dxa"/>
            <w:vMerge/>
            <w:shd w:val="clear" w:color="auto" w:fill="auto"/>
            <w:vAlign w:val="center"/>
          </w:tcPr>
          <w:p w14:paraId="458CB6E6"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251749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昌</w:t>
            </w:r>
            <w:r>
              <w:rPr>
                <w:rFonts w:ascii="Arial" w:eastAsia="仿宋" w:hAnsi="Arial" w:cs="Arial" w:hint="eastAsia"/>
                <w:sz w:val="21"/>
                <w:szCs w:val="21"/>
              </w:rPr>
              <w:t>5</w:t>
            </w:r>
          </w:p>
        </w:tc>
        <w:tc>
          <w:tcPr>
            <w:tcW w:w="1204" w:type="dxa"/>
            <w:shd w:val="clear" w:color="auto" w:fill="auto"/>
            <w:vAlign w:val="center"/>
          </w:tcPr>
          <w:p w14:paraId="49F19E7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5581EA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09BEE9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691BEF9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6FC44A0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4E9C6F9E" w14:textId="77777777">
        <w:trPr>
          <w:trHeight w:val="265"/>
          <w:jc w:val="center"/>
        </w:trPr>
        <w:tc>
          <w:tcPr>
            <w:tcW w:w="1022" w:type="dxa"/>
            <w:vMerge/>
            <w:shd w:val="clear" w:color="auto" w:fill="auto"/>
            <w:vAlign w:val="center"/>
          </w:tcPr>
          <w:p w14:paraId="06B8178A"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F6BBAB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兴</w:t>
            </w:r>
            <w:r>
              <w:rPr>
                <w:rFonts w:ascii="Arial" w:eastAsia="仿宋" w:hAnsi="Arial" w:cs="Arial" w:hint="eastAsia"/>
                <w:sz w:val="21"/>
                <w:szCs w:val="21"/>
              </w:rPr>
              <w:t>1</w:t>
            </w:r>
          </w:p>
        </w:tc>
        <w:tc>
          <w:tcPr>
            <w:tcW w:w="1204" w:type="dxa"/>
            <w:shd w:val="clear" w:color="auto" w:fill="auto"/>
            <w:vAlign w:val="center"/>
          </w:tcPr>
          <w:p w14:paraId="42E7A19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B2E781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0C1F59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3BF705D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344" w:type="dxa"/>
            <w:shd w:val="clear" w:color="auto" w:fill="auto"/>
            <w:vAlign w:val="center"/>
          </w:tcPr>
          <w:p w14:paraId="0EA798C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375DED8E" w14:textId="77777777">
        <w:trPr>
          <w:trHeight w:val="265"/>
          <w:jc w:val="center"/>
        </w:trPr>
        <w:tc>
          <w:tcPr>
            <w:tcW w:w="1022" w:type="dxa"/>
            <w:vMerge/>
            <w:shd w:val="clear" w:color="auto" w:fill="auto"/>
            <w:vAlign w:val="center"/>
          </w:tcPr>
          <w:p w14:paraId="6272E720"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6D19919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兴</w:t>
            </w:r>
            <w:r>
              <w:rPr>
                <w:rFonts w:ascii="Arial" w:eastAsia="仿宋" w:hAnsi="Arial" w:cs="Arial" w:hint="eastAsia"/>
                <w:sz w:val="21"/>
                <w:szCs w:val="21"/>
              </w:rPr>
              <w:t>2</w:t>
            </w:r>
          </w:p>
        </w:tc>
        <w:tc>
          <w:tcPr>
            <w:tcW w:w="1204" w:type="dxa"/>
            <w:shd w:val="clear" w:color="auto" w:fill="auto"/>
            <w:vAlign w:val="center"/>
          </w:tcPr>
          <w:p w14:paraId="08F314F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07809B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81A98D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3F66294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14.60%</w:t>
            </w:r>
          </w:p>
        </w:tc>
        <w:tc>
          <w:tcPr>
            <w:tcW w:w="1344" w:type="dxa"/>
            <w:shd w:val="clear" w:color="auto" w:fill="auto"/>
            <w:vAlign w:val="center"/>
          </w:tcPr>
          <w:p w14:paraId="4D4A52F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1804D56C" w14:textId="77777777">
        <w:trPr>
          <w:trHeight w:val="265"/>
          <w:jc w:val="center"/>
        </w:trPr>
        <w:tc>
          <w:tcPr>
            <w:tcW w:w="1022" w:type="dxa"/>
            <w:vMerge/>
            <w:shd w:val="clear" w:color="auto" w:fill="auto"/>
            <w:vAlign w:val="center"/>
          </w:tcPr>
          <w:p w14:paraId="296F24EC"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7E83E6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兴</w:t>
            </w:r>
            <w:r>
              <w:rPr>
                <w:rFonts w:ascii="Arial" w:eastAsia="仿宋" w:hAnsi="Arial" w:cs="Arial" w:hint="eastAsia"/>
                <w:sz w:val="21"/>
                <w:szCs w:val="21"/>
              </w:rPr>
              <w:t>3</w:t>
            </w:r>
          </w:p>
        </w:tc>
        <w:tc>
          <w:tcPr>
            <w:tcW w:w="1204" w:type="dxa"/>
            <w:shd w:val="clear" w:color="auto" w:fill="auto"/>
            <w:vAlign w:val="center"/>
          </w:tcPr>
          <w:p w14:paraId="13AE2ED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12.60%</w:t>
            </w:r>
          </w:p>
        </w:tc>
        <w:tc>
          <w:tcPr>
            <w:tcW w:w="1204" w:type="dxa"/>
            <w:shd w:val="clear" w:color="auto" w:fill="auto"/>
            <w:vAlign w:val="center"/>
          </w:tcPr>
          <w:p w14:paraId="1C479D8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12.40%</w:t>
            </w:r>
          </w:p>
        </w:tc>
        <w:tc>
          <w:tcPr>
            <w:tcW w:w="1204" w:type="dxa"/>
            <w:shd w:val="clear" w:color="auto" w:fill="auto"/>
            <w:vAlign w:val="center"/>
          </w:tcPr>
          <w:p w14:paraId="027369C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14.10%</w:t>
            </w:r>
          </w:p>
        </w:tc>
        <w:tc>
          <w:tcPr>
            <w:tcW w:w="1064" w:type="dxa"/>
            <w:shd w:val="clear" w:color="auto" w:fill="auto"/>
            <w:vAlign w:val="center"/>
          </w:tcPr>
          <w:p w14:paraId="20AE15C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c>
          <w:tcPr>
            <w:tcW w:w="1344" w:type="dxa"/>
            <w:shd w:val="clear" w:color="auto" w:fill="auto"/>
            <w:vAlign w:val="center"/>
          </w:tcPr>
          <w:p w14:paraId="5185E09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13.00%</w:t>
            </w:r>
          </w:p>
        </w:tc>
      </w:tr>
      <w:tr w:rsidR="0062768B" w14:paraId="36C36558" w14:textId="77777777">
        <w:trPr>
          <w:trHeight w:val="265"/>
          <w:jc w:val="center"/>
        </w:trPr>
        <w:tc>
          <w:tcPr>
            <w:tcW w:w="1022" w:type="dxa"/>
            <w:vMerge/>
            <w:shd w:val="clear" w:color="auto" w:fill="auto"/>
            <w:vAlign w:val="center"/>
          </w:tcPr>
          <w:p w14:paraId="0C7C534C"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189453E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怀</w:t>
            </w:r>
            <w:r>
              <w:rPr>
                <w:rFonts w:ascii="Arial" w:eastAsia="仿宋" w:hAnsi="Arial" w:cs="Arial" w:hint="eastAsia"/>
                <w:sz w:val="21"/>
                <w:szCs w:val="21"/>
              </w:rPr>
              <w:t>1</w:t>
            </w:r>
          </w:p>
        </w:tc>
        <w:tc>
          <w:tcPr>
            <w:tcW w:w="1204" w:type="dxa"/>
            <w:shd w:val="clear" w:color="auto" w:fill="auto"/>
            <w:vAlign w:val="center"/>
          </w:tcPr>
          <w:p w14:paraId="0D631E0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E83E85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574CD0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3CEAA90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14.70%</w:t>
            </w:r>
          </w:p>
        </w:tc>
        <w:tc>
          <w:tcPr>
            <w:tcW w:w="1344" w:type="dxa"/>
            <w:shd w:val="clear" w:color="auto" w:fill="auto"/>
            <w:vAlign w:val="center"/>
          </w:tcPr>
          <w:p w14:paraId="1163A52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DC9ECAC" w14:textId="77777777">
        <w:trPr>
          <w:trHeight w:val="265"/>
          <w:jc w:val="center"/>
        </w:trPr>
        <w:tc>
          <w:tcPr>
            <w:tcW w:w="1022" w:type="dxa"/>
            <w:vMerge/>
            <w:shd w:val="clear" w:color="auto" w:fill="auto"/>
            <w:vAlign w:val="center"/>
          </w:tcPr>
          <w:p w14:paraId="01139FD6"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68E7976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怀</w:t>
            </w:r>
            <w:r>
              <w:rPr>
                <w:rFonts w:ascii="Arial" w:eastAsia="仿宋" w:hAnsi="Arial" w:cs="Arial" w:hint="eastAsia"/>
                <w:sz w:val="21"/>
                <w:szCs w:val="21"/>
              </w:rPr>
              <w:t>2</w:t>
            </w:r>
          </w:p>
        </w:tc>
        <w:tc>
          <w:tcPr>
            <w:tcW w:w="1204" w:type="dxa"/>
            <w:shd w:val="clear" w:color="auto" w:fill="auto"/>
            <w:vAlign w:val="center"/>
          </w:tcPr>
          <w:p w14:paraId="17A923C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ECDDC1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A820A1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79C91D9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c>
          <w:tcPr>
            <w:tcW w:w="1344" w:type="dxa"/>
            <w:shd w:val="clear" w:color="auto" w:fill="auto"/>
            <w:vAlign w:val="center"/>
          </w:tcPr>
          <w:p w14:paraId="33812DE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01BACE28" w14:textId="77777777">
        <w:trPr>
          <w:trHeight w:val="265"/>
          <w:jc w:val="center"/>
        </w:trPr>
        <w:tc>
          <w:tcPr>
            <w:tcW w:w="1022" w:type="dxa"/>
            <w:vMerge/>
            <w:shd w:val="clear" w:color="auto" w:fill="auto"/>
            <w:vAlign w:val="center"/>
          </w:tcPr>
          <w:p w14:paraId="46897DD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3AC942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怀</w:t>
            </w:r>
            <w:r>
              <w:rPr>
                <w:rFonts w:ascii="Arial" w:eastAsia="仿宋" w:hAnsi="Arial" w:cs="Arial" w:hint="eastAsia"/>
                <w:sz w:val="21"/>
                <w:szCs w:val="21"/>
              </w:rPr>
              <w:t>3</w:t>
            </w:r>
          </w:p>
        </w:tc>
        <w:tc>
          <w:tcPr>
            <w:tcW w:w="1204" w:type="dxa"/>
            <w:shd w:val="clear" w:color="auto" w:fill="auto"/>
            <w:vAlign w:val="center"/>
          </w:tcPr>
          <w:p w14:paraId="2EBCF5E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232BFA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FEEC1C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558DE3C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344" w:type="dxa"/>
            <w:shd w:val="clear" w:color="auto" w:fill="auto"/>
            <w:vAlign w:val="center"/>
          </w:tcPr>
          <w:p w14:paraId="3F67873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3BB2BF4D" w14:textId="77777777">
        <w:trPr>
          <w:trHeight w:val="265"/>
          <w:jc w:val="center"/>
        </w:trPr>
        <w:tc>
          <w:tcPr>
            <w:tcW w:w="1022" w:type="dxa"/>
            <w:vMerge/>
            <w:shd w:val="clear" w:color="auto" w:fill="auto"/>
            <w:vAlign w:val="center"/>
          </w:tcPr>
          <w:p w14:paraId="76837619"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C56855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怀</w:t>
            </w:r>
            <w:r>
              <w:rPr>
                <w:rFonts w:ascii="Arial" w:eastAsia="仿宋" w:hAnsi="Arial" w:cs="Arial" w:hint="eastAsia"/>
                <w:sz w:val="21"/>
                <w:szCs w:val="21"/>
              </w:rPr>
              <w:t>4</w:t>
            </w:r>
          </w:p>
        </w:tc>
        <w:tc>
          <w:tcPr>
            <w:tcW w:w="1204" w:type="dxa"/>
            <w:shd w:val="clear" w:color="auto" w:fill="auto"/>
            <w:vAlign w:val="center"/>
          </w:tcPr>
          <w:p w14:paraId="0E450B9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9DA0B7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CF7119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7D6A0E7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11.10%</w:t>
            </w:r>
          </w:p>
        </w:tc>
        <w:tc>
          <w:tcPr>
            <w:tcW w:w="1344" w:type="dxa"/>
            <w:shd w:val="clear" w:color="auto" w:fill="auto"/>
            <w:vAlign w:val="center"/>
          </w:tcPr>
          <w:p w14:paraId="68B9D1C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4D6EED15" w14:textId="77777777">
        <w:trPr>
          <w:trHeight w:val="265"/>
          <w:jc w:val="center"/>
        </w:trPr>
        <w:tc>
          <w:tcPr>
            <w:tcW w:w="1022" w:type="dxa"/>
            <w:vMerge/>
            <w:shd w:val="clear" w:color="auto" w:fill="auto"/>
            <w:vAlign w:val="center"/>
          </w:tcPr>
          <w:p w14:paraId="5361C34A"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688DD14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平</w:t>
            </w:r>
            <w:r>
              <w:rPr>
                <w:rFonts w:ascii="Arial" w:eastAsia="仿宋" w:hAnsi="Arial" w:cs="Arial" w:hint="eastAsia"/>
                <w:sz w:val="21"/>
                <w:szCs w:val="21"/>
              </w:rPr>
              <w:t>1</w:t>
            </w:r>
          </w:p>
        </w:tc>
        <w:tc>
          <w:tcPr>
            <w:tcW w:w="1204" w:type="dxa"/>
            <w:shd w:val="clear" w:color="auto" w:fill="auto"/>
            <w:vAlign w:val="center"/>
          </w:tcPr>
          <w:p w14:paraId="23A3C55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CD5E42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49DC42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037B7AF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12.60%</w:t>
            </w:r>
          </w:p>
        </w:tc>
        <w:tc>
          <w:tcPr>
            <w:tcW w:w="1344" w:type="dxa"/>
            <w:shd w:val="clear" w:color="auto" w:fill="auto"/>
            <w:vAlign w:val="center"/>
          </w:tcPr>
          <w:p w14:paraId="33292B4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5C4EB7DD" w14:textId="77777777">
        <w:trPr>
          <w:trHeight w:val="265"/>
          <w:jc w:val="center"/>
        </w:trPr>
        <w:tc>
          <w:tcPr>
            <w:tcW w:w="1022" w:type="dxa"/>
            <w:vMerge/>
            <w:shd w:val="clear" w:color="auto" w:fill="auto"/>
            <w:vAlign w:val="center"/>
          </w:tcPr>
          <w:p w14:paraId="338A1CBD"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47D5DE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平</w:t>
            </w:r>
            <w:r>
              <w:rPr>
                <w:rFonts w:ascii="Arial" w:eastAsia="仿宋" w:hAnsi="Arial" w:cs="Arial" w:hint="eastAsia"/>
                <w:sz w:val="21"/>
                <w:szCs w:val="21"/>
              </w:rPr>
              <w:t>2</w:t>
            </w:r>
          </w:p>
        </w:tc>
        <w:tc>
          <w:tcPr>
            <w:tcW w:w="1204" w:type="dxa"/>
            <w:shd w:val="clear" w:color="auto" w:fill="auto"/>
            <w:vAlign w:val="center"/>
          </w:tcPr>
          <w:p w14:paraId="6887EED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1E3518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8BA84B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3681A1C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12.00%</w:t>
            </w:r>
          </w:p>
        </w:tc>
        <w:tc>
          <w:tcPr>
            <w:tcW w:w="1344" w:type="dxa"/>
            <w:shd w:val="clear" w:color="auto" w:fill="auto"/>
            <w:vAlign w:val="center"/>
          </w:tcPr>
          <w:p w14:paraId="2627B4C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5CFADAB4" w14:textId="77777777">
        <w:trPr>
          <w:trHeight w:val="265"/>
          <w:jc w:val="center"/>
        </w:trPr>
        <w:tc>
          <w:tcPr>
            <w:tcW w:w="1022" w:type="dxa"/>
            <w:vMerge/>
            <w:shd w:val="clear" w:color="auto" w:fill="auto"/>
            <w:vAlign w:val="center"/>
          </w:tcPr>
          <w:p w14:paraId="52F0925E"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22C0E5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密</w:t>
            </w:r>
            <w:r>
              <w:rPr>
                <w:rFonts w:ascii="Arial" w:eastAsia="仿宋" w:hAnsi="Arial" w:cs="Arial" w:hint="eastAsia"/>
                <w:sz w:val="21"/>
                <w:szCs w:val="21"/>
              </w:rPr>
              <w:t>1</w:t>
            </w:r>
          </w:p>
        </w:tc>
        <w:tc>
          <w:tcPr>
            <w:tcW w:w="1204" w:type="dxa"/>
            <w:shd w:val="clear" w:color="auto" w:fill="auto"/>
            <w:vAlign w:val="center"/>
          </w:tcPr>
          <w:p w14:paraId="1F300D6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17F1FE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4F8BC6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6561D96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13.00%</w:t>
            </w:r>
          </w:p>
        </w:tc>
        <w:tc>
          <w:tcPr>
            <w:tcW w:w="1344" w:type="dxa"/>
            <w:shd w:val="clear" w:color="auto" w:fill="auto"/>
            <w:vAlign w:val="center"/>
          </w:tcPr>
          <w:p w14:paraId="75DDE72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24DFE667" w14:textId="77777777">
        <w:trPr>
          <w:trHeight w:val="265"/>
          <w:jc w:val="center"/>
        </w:trPr>
        <w:tc>
          <w:tcPr>
            <w:tcW w:w="1022" w:type="dxa"/>
            <w:vMerge/>
            <w:shd w:val="clear" w:color="auto" w:fill="auto"/>
            <w:vAlign w:val="center"/>
          </w:tcPr>
          <w:p w14:paraId="1EA50322"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B75FDB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延</w:t>
            </w:r>
            <w:r>
              <w:rPr>
                <w:rFonts w:ascii="Arial" w:eastAsia="仿宋" w:hAnsi="Arial" w:cs="Arial" w:hint="eastAsia"/>
                <w:sz w:val="21"/>
                <w:szCs w:val="21"/>
              </w:rPr>
              <w:t>1</w:t>
            </w:r>
          </w:p>
        </w:tc>
        <w:tc>
          <w:tcPr>
            <w:tcW w:w="1204" w:type="dxa"/>
            <w:shd w:val="clear" w:color="auto" w:fill="auto"/>
            <w:vAlign w:val="center"/>
          </w:tcPr>
          <w:p w14:paraId="3893A24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2C4A81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D70C28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09E3CF4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14.10%</w:t>
            </w:r>
          </w:p>
        </w:tc>
        <w:tc>
          <w:tcPr>
            <w:tcW w:w="1344" w:type="dxa"/>
            <w:shd w:val="clear" w:color="auto" w:fill="auto"/>
            <w:vAlign w:val="center"/>
          </w:tcPr>
          <w:p w14:paraId="039276B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5FB5EB2D" w14:textId="77777777">
        <w:trPr>
          <w:trHeight w:val="265"/>
          <w:jc w:val="center"/>
        </w:trPr>
        <w:tc>
          <w:tcPr>
            <w:tcW w:w="1022" w:type="dxa"/>
            <w:vMerge/>
            <w:shd w:val="clear" w:color="auto" w:fill="auto"/>
            <w:vAlign w:val="center"/>
          </w:tcPr>
          <w:p w14:paraId="3C96B43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C8B8D2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延</w:t>
            </w:r>
            <w:r>
              <w:rPr>
                <w:rFonts w:ascii="Arial" w:eastAsia="仿宋" w:hAnsi="Arial" w:cs="Arial" w:hint="eastAsia"/>
                <w:sz w:val="21"/>
                <w:szCs w:val="21"/>
              </w:rPr>
              <w:t>2</w:t>
            </w:r>
          </w:p>
        </w:tc>
        <w:tc>
          <w:tcPr>
            <w:tcW w:w="1204" w:type="dxa"/>
            <w:shd w:val="clear" w:color="auto" w:fill="auto"/>
            <w:vAlign w:val="center"/>
          </w:tcPr>
          <w:p w14:paraId="10B3B4D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92E611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634EC0C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5F45CEC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141AB59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894C651" w14:textId="77777777">
        <w:trPr>
          <w:trHeight w:val="265"/>
          <w:jc w:val="center"/>
        </w:trPr>
        <w:tc>
          <w:tcPr>
            <w:tcW w:w="1022" w:type="dxa"/>
            <w:vMerge/>
            <w:shd w:val="clear" w:color="auto" w:fill="auto"/>
            <w:vAlign w:val="center"/>
          </w:tcPr>
          <w:p w14:paraId="610BFE74"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42D919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亦</w:t>
            </w:r>
            <w:r>
              <w:rPr>
                <w:rFonts w:ascii="Arial" w:eastAsia="仿宋" w:hAnsi="Arial" w:cs="Arial" w:hint="eastAsia"/>
                <w:sz w:val="21"/>
                <w:szCs w:val="21"/>
              </w:rPr>
              <w:t>1</w:t>
            </w:r>
          </w:p>
        </w:tc>
        <w:tc>
          <w:tcPr>
            <w:tcW w:w="1204" w:type="dxa"/>
            <w:shd w:val="clear" w:color="auto" w:fill="auto"/>
            <w:vAlign w:val="center"/>
          </w:tcPr>
          <w:p w14:paraId="033630F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13.20%</w:t>
            </w:r>
          </w:p>
        </w:tc>
        <w:tc>
          <w:tcPr>
            <w:tcW w:w="1204" w:type="dxa"/>
            <w:shd w:val="clear" w:color="auto" w:fill="auto"/>
            <w:vAlign w:val="center"/>
          </w:tcPr>
          <w:p w14:paraId="5100F33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13.30%</w:t>
            </w:r>
          </w:p>
        </w:tc>
        <w:tc>
          <w:tcPr>
            <w:tcW w:w="1204" w:type="dxa"/>
            <w:shd w:val="clear" w:color="auto" w:fill="auto"/>
            <w:vAlign w:val="center"/>
          </w:tcPr>
          <w:p w14:paraId="2C7F07A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064" w:type="dxa"/>
            <w:shd w:val="clear" w:color="auto" w:fill="auto"/>
            <w:vAlign w:val="center"/>
          </w:tcPr>
          <w:p w14:paraId="20567D5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c>
          <w:tcPr>
            <w:tcW w:w="1344" w:type="dxa"/>
            <w:shd w:val="clear" w:color="auto" w:fill="auto"/>
            <w:vAlign w:val="center"/>
          </w:tcPr>
          <w:p w14:paraId="3114733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14.00%</w:t>
            </w:r>
          </w:p>
        </w:tc>
      </w:tr>
      <w:tr w:rsidR="0062768B" w14:paraId="697F91AA" w14:textId="77777777">
        <w:trPr>
          <w:trHeight w:val="265"/>
          <w:jc w:val="center"/>
        </w:trPr>
        <w:tc>
          <w:tcPr>
            <w:tcW w:w="1022" w:type="dxa"/>
            <w:vMerge/>
            <w:shd w:val="clear" w:color="auto" w:fill="auto"/>
            <w:vAlign w:val="center"/>
          </w:tcPr>
          <w:p w14:paraId="7E88FA3F"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67F5479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亦</w:t>
            </w:r>
            <w:r>
              <w:rPr>
                <w:rFonts w:ascii="Arial" w:eastAsia="仿宋" w:hAnsi="Arial" w:cs="Arial" w:hint="eastAsia"/>
                <w:sz w:val="21"/>
                <w:szCs w:val="21"/>
              </w:rPr>
              <w:t>2</w:t>
            </w:r>
          </w:p>
        </w:tc>
        <w:tc>
          <w:tcPr>
            <w:tcW w:w="1204" w:type="dxa"/>
            <w:shd w:val="clear" w:color="auto" w:fill="auto"/>
            <w:vAlign w:val="center"/>
          </w:tcPr>
          <w:p w14:paraId="47C8135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13.80%</w:t>
            </w:r>
          </w:p>
        </w:tc>
        <w:tc>
          <w:tcPr>
            <w:tcW w:w="1204" w:type="dxa"/>
            <w:shd w:val="clear" w:color="auto" w:fill="auto"/>
            <w:vAlign w:val="center"/>
          </w:tcPr>
          <w:p w14:paraId="619AE63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14.00%</w:t>
            </w:r>
          </w:p>
        </w:tc>
        <w:tc>
          <w:tcPr>
            <w:tcW w:w="1204" w:type="dxa"/>
            <w:shd w:val="clear" w:color="auto" w:fill="auto"/>
            <w:vAlign w:val="center"/>
          </w:tcPr>
          <w:p w14:paraId="0E7FB91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14.60%</w:t>
            </w:r>
          </w:p>
        </w:tc>
        <w:tc>
          <w:tcPr>
            <w:tcW w:w="1064" w:type="dxa"/>
            <w:shd w:val="clear" w:color="auto" w:fill="auto"/>
            <w:vAlign w:val="center"/>
          </w:tcPr>
          <w:p w14:paraId="54ED1FD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14.90%</w:t>
            </w:r>
          </w:p>
        </w:tc>
        <w:tc>
          <w:tcPr>
            <w:tcW w:w="1344" w:type="dxa"/>
            <w:shd w:val="clear" w:color="auto" w:fill="auto"/>
            <w:vAlign w:val="center"/>
          </w:tcPr>
          <w:p w14:paraId="27EA7B0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r>
      <w:tr w:rsidR="0062768B" w14:paraId="4F95C858" w14:textId="77777777">
        <w:trPr>
          <w:trHeight w:val="265"/>
          <w:jc w:val="center"/>
        </w:trPr>
        <w:tc>
          <w:tcPr>
            <w:tcW w:w="1022" w:type="dxa"/>
            <w:vMerge/>
            <w:shd w:val="clear" w:color="auto" w:fill="auto"/>
            <w:vAlign w:val="center"/>
          </w:tcPr>
          <w:p w14:paraId="5E040ED5"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CB9E6A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亦</w:t>
            </w:r>
            <w:r>
              <w:rPr>
                <w:rFonts w:ascii="Arial" w:eastAsia="仿宋" w:hAnsi="Arial" w:cs="Arial" w:hint="eastAsia"/>
                <w:sz w:val="21"/>
                <w:szCs w:val="21"/>
              </w:rPr>
              <w:t>3</w:t>
            </w:r>
          </w:p>
        </w:tc>
        <w:tc>
          <w:tcPr>
            <w:tcW w:w="1204" w:type="dxa"/>
            <w:shd w:val="clear" w:color="auto" w:fill="auto"/>
            <w:vAlign w:val="center"/>
          </w:tcPr>
          <w:p w14:paraId="62D3913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12.50%</w:t>
            </w:r>
          </w:p>
        </w:tc>
        <w:tc>
          <w:tcPr>
            <w:tcW w:w="1204" w:type="dxa"/>
            <w:shd w:val="clear" w:color="auto" w:fill="auto"/>
            <w:vAlign w:val="center"/>
          </w:tcPr>
          <w:p w14:paraId="69774D1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12.70%</w:t>
            </w:r>
          </w:p>
        </w:tc>
        <w:tc>
          <w:tcPr>
            <w:tcW w:w="1204" w:type="dxa"/>
            <w:shd w:val="clear" w:color="auto" w:fill="auto"/>
            <w:vAlign w:val="center"/>
          </w:tcPr>
          <w:p w14:paraId="20D632B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c>
          <w:tcPr>
            <w:tcW w:w="1064" w:type="dxa"/>
            <w:shd w:val="clear" w:color="auto" w:fill="auto"/>
            <w:vAlign w:val="center"/>
          </w:tcPr>
          <w:p w14:paraId="546486D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11.50%</w:t>
            </w:r>
          </w:p>
        </w:tc>
        <w:tc>
          <w:tcPr>
            <w:tcW w:w="1344" w:type="dxa"/>
            <w:shd w:val="clear" w:color="auto" w:fill="auto"/>
            <w:vAlign w:val="center"/>
          </w:tcPr>
          <w:p w14:paraId="2F97048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13.60%</w:t>
            </w:r>
          </w:p>
        </w:tc>
      </w:tr>
      <w:tr w:rsidR="0062768B" w14:paraId="24C94336" w14:textId="77777777">
        <w:trPr>
          <w:trHeight w:val="265"/>
          <w:jc w:val="center"/>
        </w:trPr>
        <w:tc>
          <w:tcPr>
            <w:tcW w:w="1022" w:type="dxa"/>
            <w:vMerge/>
            <w:shd w:val="clear" w:color="auto" w:fill="auto"/>
            <w:vAlign w:val="center"/>
          </w:tcPr>
          <w:p w14:paraId="4033CA3C"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1DE239B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房山工业园西</w:t>
            </w:r>
          </w:p>
        </w:tc>
        <w:tc>
          <w:tcPr>
            <w:tcW w:w="1204" w:type="dxa"/>
            <w:shd w:val="clear" w:color="auto" w:fill="auto"/>
            <w:vAlign w:val="center"/>
          </w:tcPr>
          <w:p w14:paraId="0ACCD3C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204" w:type="dxa"/>
            <w:shd w:val="clear" w:color="auto" w:fill="auto"/>
            <w:vAlign w:val="center"/>
          </w:tcPr>
          <w:p w14:paraId="6EE48EB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204" w:type="dxa"/>
            <w:shd w:val="clear" w:color="auto" w:fill="auto"/>
            <w:vAlign w:val="center"/>
          </w:tcPr>
          <w:p w14:paraId="514503F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064" w:type="dxa"/>
            <w:shd w:val="clear" w:color="auto" w:fill="auto"/>
            <w:vAlign w:val="center"/>
          </w:tcPr>
          <w:p w14:paraId="5FB6C93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025227B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7A6802B7" w14:textId="77777777">
        <w:trPr>
          <w:trHeight w:val="265"/>
          <w:jc w:val="center"/>
        </w:trPr>
        <w:tc>
          <w:tcPr>
            <w:tcW w:w="1022" w:type="dxa"/>
            <w:vMerge/>
            <w:shd w:val="clear" w:color="auto" w:fill="auto"/>
            <w:vAlign w:val="center"/>
          </w:tcPr>
          <w:p w14:paraId="582431E7"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F9B601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房山工业园东</w:t>
            </w:r>
          </w:p>
        </w:tc>
        <w:tc>
          <w:tcPr>
            <w:tcW w:w="1204" w:type="dxa"/>
            <w:shd w:val="clear" w:color="auto" w:fill="auto"/>
            <w:vAlign w:val="center"/>
          </w:tcPr>
          <w:p w14:paraId="06C2C8F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204" w:type="dxa"/>
            <w:shd w:val="clear" w:color="auto" w:fill="auto"/>
            <w:vAlign w:val="center"/>
          </w:tcPr>
          <w:p w14:paraId="79A3BD5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204" w:type="dxa"/>
            <w:shd w:val="clear" w:color="auto" w:fill="auto"/>
            <w:vAlign w:val="center"/>
          </w:tcPr>
          <w:p w14:paraId="19A45D4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064" w:type="dxa"/>
            <w:shd w:val="clear" w:color="auto" w:fill="auto"/>
            <w:vAlign w:val="center"/>
          </w:tcPr>
          <w:p w14:paraId="519AFAC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4194896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73758C59" w14:textId="77777777">
        <w:trPr>
          <w:trHeight w:val="265"/>
          <w:jc w:val="center"/>
        </w:trPr>
        <w:tc>
          <w:tcPr>
            <w:tcW w:w="1022" w:type="dxa"/>
            <w:vMerge/>
            <w:shd w:val="clear" w:color="auto" w:fill="auto"/>
            <w:vAlign w:val="center"/>
          </w:tcPr>
          <w:p w14:paraId="033D1F92"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AF0C58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永乐开发区</w:t>
            </w:r>
          </w:p>
        </w:tc>
        <w:tc>
          <w:tcPr>
            <w:tcW w:w="1204" w:type="dxa"/>
            <w:shd w:val="clear" w:color="auto" w:fill="auto"/>
            <w:noWrap/>
            <w:vAlign w:val="center"/>
          </w:tcPr>
          <w:p w14:paraId="61D6D3A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098308C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02F3D8D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5FD1715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00F5DEE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7CBEF3B7" w14:textId="77777777">
        <w:trPr>
          <w:trHeight w:val="265"/>
          <w:jc w:val="center"/>
        </w:trPr>
        <w:tc>
          <w:tcPr>
            <w:tcW w:w="1022" w:type="dxa"/>
            <w:vMerge/>
            <w:shd w:val="clear" w:color="auto" w:fill="auto"/>
            <w:vAlign w:val="center"/>
          </w:tcPr>
          <w:p w14:paraId="7F962E43"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F79B65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采育开发区</w:t>
            </w:r>
          </w:p>
        </w:tc>
        <w:tc>
          <w:tcPr>
            <w:tcW w:w="1204" w:type="dxa"/>
            <w:shd w:val="clear" w:color="auto" w:fill="auto"/>
            <w:noWrap/>
            <w:vAlign w:val="center"/>
          </w:tcPr>
          <w:p w14:paraId="3B5577D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58E2F7C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164764A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4BEC533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444095C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4BE780D8" w14:textId="77777777">
        <w:trPr>
          <w:trHeight w:val="265"/>
          <w:jc w:val="center"/>
        </w:trPr>
        <w:tc>
          <w:tcPr>
            <w:tcW w:w="1022" w:type="dxa"/>
            <w:vMerge/>
            <w:shd w:val="clear" w:color="auto" w:fill="auto"/>
            <w:vAlign w:val="center"/>
          </w:tcPr>
          <w:p w14:paraId="4498C06C"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31ABC5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雁栖开发区</w:t>
            </w:r>
            <w:r>
              <w:rPr>
                <w:rFonts w:ascii="Arial" w:eastAsia="仿宋" w:hAnsi="Arial" w:cs="Arial" w:hint="eastAsia"/>
                <w:sz w:val="21"/>
                <w:szCs w:val="21"/>
              </w:rPr>
              <w:t>A</w:t>
            </w:r>
          </w:p>
        </w:tc>
        <w:tc>
          <w:tcPr>
            <w:tcW w:w="1204" w:type="dxa"/>
            <w:shd w:val="clear" w:color="auto" w:fill="auto"/>
            <w:noWrap/>
            <w:vAlign w:val="center"/>
          </w:tcPr>
          <w:p w14:paraId="23B8059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65BA226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30C5BE8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2D2A177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42D3A18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31A02C45" w14:textId="77777777">
        <w:trPr>
          <w:trHeight w:val="265"/>
          <w:jc w:val="center"/>
        </w:trPr>
        <w:tc>
          <w:tcPr>
            <w:tcW w:w="1022" w:type="dxa"/>
            <w:vMerge/>
            <w:shd w:val="clear" w:color="auto" w:fill="auto"/>
            <w:vAlign w:val="center"/>
          </w:tcPr>
          <w:p w14:paraId="0B46B40A"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275A7B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雁栖开发区</w:t>
            </w:r>
            <w:r>
              <w:rPr>
                <w:rFonts w:ascii="Arial" w:eastAsia="仿宋" w:hAnsi="Arial" w:cs="Arial" w:hint="eastAsia"/>
                <w:sz w:val="21"/>
                <w:szCs w:val="21"/>
              </w:rPr>
              <w:t>B</w:t>
            </w:r>
          </w:p>
        </w:tc>
        <w:tc>
          <w:tcPr>
            <w:tcW w:w="1204" w:type="dxa"/>
            <w:shd w:val="clear" w:color="auto" w:fill="auto"/>
            <w:noWrap/>
            <w:vAlign w:val="center"/>
          </w:tcPr>
          <w:p w14:paraId="66B1022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2FABB19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68C89C2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731BB47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08E76F2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01C2D89E" w14:textId="77777777">
        <w:trPr>
          <w:trHeight w:val="265"/>
          <w:jc w:val="center"/>
        </w:trPr>
        <w:tc>
          <w:tcPr>
            <w:tcW w:w="1022" w:type="dxa"/>
            <w:vMerge/>
            <w:shd w:val="clear" w:color="auto" w:fill="auto"/>
            <w:vAlign w:val="center"/>
          </w:tcPr>
          <w:p w14:paraId="68CF2BA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6EC9B42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雁栖开发区</w:t>
            </w:r>
            <w:r>
              <w:rPr>
                <w:rFonts w:ascii="Arial" w:eastAsia="仿宋" w:hAnsi="Arial" w:cs="Arial" w:hint="eastAsia"/>
                <w:sz w:val="21"/>
                <w:szCs w:val="21"/>
              </w:rPr>
              <w:t>C</w:t>
            </w:r>
          </w:p>
        </w:tc>
        <w:tc>
          <w:tcPr>
            <w:tcW w:w="1204" w:type="dxa"/>
            <w:shd w:val="clear" w:color="auto" w:fill="auto"/>
            <w:noWrap/>
            <w:vAlign w:val="center"/>
          </w:tcPr>
          <w:p w14:paraId="4B110EE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687508A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6CDB02D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2908766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44B2285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3B40F31D" w14:textId="77777777">
        <w:trPr>
          <w:trHeight w:val="265"/>
          <w:jc w:val="center"/>
        </w:trPr>
        <w:tc>
          <w:tcPr>
            <w:tcW w:w="1022" w:type="dxa"/>
            <w:vMerge/>
            <w:shd w:val="clear" w:color="auto" w:fill="auto"/>
            <w:vAlign w:val="center"/>
          </w:tcPr>
          <w:p w14:paraId="2AFCE9A9"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39CBE1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proofErr w:type="gramStart"/>
            <w:r>
              <w:rPr>
                <w:rFonts w:ascii="Arial" w:eastAsia="仿宋" w:hAnsi="Arial" w:cs="Arial" w:hint="eastAsia"/>
                <w:sz w:val="21"/>
                <w:szCs w:val="21"/>
              </w:rPr>
              <w:t>兴谷开发区</w:t>
            </w:r>
            <w:proofErr w:type="gramEnd"/>
            <w:r>
              <w:rPr>
                <w:rFonts w:ascii="Arial" w:eastAsia="仿宋" w:hAnsi="Arial" w:cs="Arial" w:hint="eastAsia"/>
                <w:sz w:val="21"/>
                <w:szCs w:val="21"/>
              </w:rPr>
              <w:t>A</w:t>
            </w:r>
          </w:p>
        </w:tc>
        <w:tc>
          <w:tcPr>
            <w:tcW w:w="1204" w:type="dxa"/>
            <w:shd w:val="clear" w:color="auto" w:fill="auto"/>
            <w:noWrap/>
            <w:vAlign w:val="center"/>
          </w:tcPr>
          <w:p w14:paraId="6F34F34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5D651DB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0B30ECB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6EF6D58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0E6B08E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253AF674" w14:textId="77777777">
        <w:trPr>
          <w:trHeight w:val="265"/>
          <w:jc w:val="center"/>
        </w:trPr>
        <w:tc>
          <w:tcPr>
            <w:tcW w:w="1022" w:type="dxa"/>
            <w:vMerge/>
            <w:shd w:val="clear" w:color="auto" w:fill="auto"/>
            <w:vAlign w:val="center"/>
          </w:tcPr>
          <w:p w14:paraId="45BB62AC"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0C530B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proofErr w:type="gramStart"/>
            <w:r>
              <w:rPr>
                <w:rFonts w:ascii="Arial" w:eastAsia="仿宋" w:hAnsi="Arial" w:cs="Arial" w:hint="eastAsia"/>
                <w:sz w:val="21"/>
                <w:szCs w:val="21"/>
              </w:rPr>
              <w:t>兴谷开发区</w:t>
            </w:r>
            <w:proofErr w:type="gramEnd"/>
            <w:r>
              <w:rPr>
                <w:rFonts w:ascii="Arial" w:eastAsia="仿宋" w:hAnsi="Arial" w:cs="Arial" w:hint="eastAsia"/>
                <w:sz w:val="21"/>
                <w:szCs w:val="21"/>
              </w:rPr>
              <w:t>B</w:t>
            </w:r>
          </w:p>
        </w:tc>
        <w:tc>
          <w:tcPr>
            <w:tcW w:w="1204" w:type="dxa"/>
            <w:shd w:val="clear" w:color="auto" w:fill="auto"/>
            <w:noWrap/>
            <w:vAlign w:val="center"/>
          </w:tcPr>
          <w:p w14:paraId="67EB646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4C76AD0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7FD91D4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4744A23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2F1073E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4E84B187" w14:textId="77777777">
        <w:trPr>
          <w:trHeight w:val="265"/>
          <w:jc w:val="center"/>
        </w:trPr>
        <w:tc>
          <w:tcPr>
            <w:tcW w:w="1022" w:type="dxa"/>
            <w:vMerge/>
            <w:shd w:val="clear" w:color="auto" w:fill="auto"/>
            <w:vAlign w:val="center"/>
          </w:tcPr>
          <w:p w14:paraId="620D86F2"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BFEE4B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马</w:t>
            </w:r>
            <w:proofErr w:type="gramStart"/>
            <w:r>
              <w:rPr>
                <w:rFonts w:ascii="Arial" w:eastAsia="仿宋" w:hAnsi="Arial" w:cs="Arial" w:hint="eastAsia"/>
                <w:sz w:val="21"/>
                <w:szCs w:val="21"/>
              </w:rPr>
              <w:t>坊工业</w:t>
            </w:r>
            <w:proofErr w:type="gramEnd"/>
            <w:r>
              <w:rPr>
                <w:rFonts w:ascii="Arial" w:eastAsia="仿宋" w:hAnsi="Arial" w:cs="Arial" w:hint="eastAsia"/>
                <w:sz w:val="21"/>
                <w:szCs w:val="21"/>
              </w:rPr>
              <w:t>园</w:t>
            </w:r>
          </w:p>
        </w:tc>
        <w:tc>
          <w:tcPr>
            <w:tcW w:w="1204" w:type="dxa"/>
            <w:shd w:val="clear" w:color="auto" w:fill="auto"/>
            <w:noWrap/>
            <w:vAlign w:val="center"/>
          </w:tcPr>
          <w:p w14:paraId="3C98B1B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48E6C20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57AD51E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2F2B742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31135A8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41195495" w14:textId="77777777">
        <w:trPr>
          <w:trHeight w:val="265"/>
          <w:jc w:val="center"/>
        </w:trPr>
        <w:tc>
          <w:tcPr>
            <w:tcW w:w="1022" w:type="dxa"/>
            <w:vMerge/>
            <w:shd w:val="clear" w:color="auto" w:fill="auto"/>
            <w:vAlign w:val="center"/>
          </w:tcPr>
          <w:p w14:paraId="539B62A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B23AB7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密云开发区</w:t>
            </w:r>
          </w:p>
        </w:tc>
        <w:tc>
          <w:tcPr>
            <w:tcW w:w="1204" w:type="dxa"/>
            <w:shd w:val="clear" w:color="auto" w:fill="auto"/>
            <w:noWrap/>
            <w:vAlign w:val="center"/>
          </w:tcPr>
          <w:p w14:paraId="7276643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42EFD70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0619900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1DB7E80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334D8CA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5E28F898" w14:textId="77777777">
        <w:trPr>
          <w:trHeight w:val="265"/>
          <w:jc w:val="center"/>
        </w:trPr>
        <w:tc>
          <w:tcPr>
            <w:tcW w:w="1022" w:type="dxa"/>
            <w:vMerge/>
            <w:shd w:val="clear" w:color="auto" w:fill="auto"/>
            <w:vAlign w:val="center"/>
          </w:tcPr>
          <w:p w14:paraId="03CEAC47"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AB3D29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延庆开发区</w:t>
            </w:r>
          </w:p>
        </w:tc>
        <w:tc>
          <w:tcPr>
            <w:tcW w:w="1204" w:type="dxa"/>
            <w:shd w:val="clear" w:color="auto" w:fill="auto"/>
            <w:noWrap/>
            <w:vAlign w:val="center"/>
          </w:tcPr>
          <w:p w14:paraId="4FA2F0E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3900A60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68EE721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1E9CFAB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074ADDB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4E08DA68" w14:textId="77777777">
        <w:trPr>
          <w:trHeight w:val="279"/>
          <w:jc w:val="center"/>
        </w:trPr>
        <w:tc>
          <w:tcPr>
            <w:tcW w:w="1022" w:type="dxa"/>
            <w:vMerge/>
            <w:shd w:val="clear" w:color="auto" w:fill="auto"/>
            <w:vAlign w:val="center"/>
          </w:tcPr>
          <w:p w14:paraId="64D5B8C2"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61DC6A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八达岭开发区</w:t>
            </w:r>
          </w:p>
        </w:tc>
        <w:tc>
          <w:tcPr>
            <w:tcW w:w="1204" w:type="dxa"/>
            <w:shd w:val="clear" w:color="auto" w:fill="auto"/>
            <w:noWrap/>
            <w:vAlign w:val="center"/>
          </w:tcPr>
          <w:p w14:paraId="6F5A451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7519502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6724EF6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0F018A1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491BE40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bl>
    <w:p w14:paraId="44AFA225" w14:textId="77777777" w:rsidR="0062768B" w:rsidRDefault="00136729">
      <w:pPr>
        <w:spacing w:line="360" w:lineRule="auto"/>
        <w:jc w:val="center"/>
        <w:rPr>
          <w:rFonts w:ascii="仿宋" w:eastAsia="仿宋" w:hAnsi="仿宋" w:cs="宋体"/>
          <w:bCs/>
          <w:sz w:val="28"/>
          <w:szCs w:val="28"/>
        </w:rPr>
      </w:pPr>
      <w:r>
        <w:rPr>
          <w:rFonts w:ascii="仿宋" w:eastAsia="仿宋" w:hAnsi="仿宋" w:cs="宋体" w:hint="eastAsia"/>
          <w:bCs/>
          <w:sz w:val="28"/>
          <w:szCs w:val="28"/>
        </w:rPr>
        <w:t>因素等级说明表</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982"/>
        <w:gridCol w:w="1463"/>
        <w:gridCol w:w="1463"/>
        <w:gridCol w:w="1463"/>
        <w:gridCol w:w="1463"/>
        <w:gridCol w:w="1464"/>
      </w:tblGrid>
      <w:tr w:rsidR="0062768B" w14:paraId="5AF543E5" w14:textId="77777777" w:rsidTr="004532BF">
        <w:trPr>
          <w:cantSplit/>
          <w:trHeight w:val="529"/>
          <w:jc w:val="center"/>
        </w:trPr>
        <w:tc>
          <w:tcPr>
            <w:tcW w:w="1982"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20EC4188" w14:textId="77777777" w:rsidR="0062768B" w:rsidRDefault="00136729" w:rsidP="004532BF">
            <w:pPr>
              <w:widowControl/>
              <w:adjustRightInd/>
              <w:spacing w:line="240" w:lineRule="atLeast"/>
              <w:ind w:firstLineChars="650" w:firstLine="1365"/>
              <w:jc w:val="right"/>
              <w:rPr>
                <w:rFonts w:ascii="Arial" w:eastAsia="仿宋" w:hAnsi="Arial" w:cs="Arial"/>
                <w:sz w:val="21"/>
                <w:szCs w:val="21"/>
              </w:rPr>
            </w:pPr>
            <w:r>
              <w:rPr>
                <w:rFonts w:ascii="Arial" w:eastAsia="仿宋" w:hAnsi="Arial" w:cs="Arial"/>
                <w:sz w:val="21"/>
                <w:szCs w:val="21"/>
              </w:rPr>
              <w:t>等级</w:t>
            </w:r>
          </w:p>
          <w:p w14:paraId="229ABAF3"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影响因素</w:t>
            </w:r>
          </w:p>
        </w:tc>
        <w:tc>
          <w:tcPr>
            <w:tcW w:w="1463" w:type="dxa"/>
            <w:tcBorders>
              <w:top w:val="single" w:sz="2" w:space="0" w:color="404040"/>
              <w:left w:val="single" w:sz="2" w:space="0" w:color="404040"/>
              <w:bottom w:val="single" w:sz="2" w:space="0" w:color="404040"/>
              <w:right w:val="single" w:sz="2" w:space="0" w:color="404040"/>
            </w:tcBorders>
            <w:vAlign w:val="center"/>
          </w:tcPr>
          <w:p w14:paraId="2502CD20"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好</w:t>
            </w:r>
          </w:p>
        </w:tc>
        <w:tc>
          <w:tcPr>
            <w:tcW w:w="1463" w:type="dxa"/>
            <w:tcBorders>
              <w:top w:val="single" w:sz="2" w:space="0" w:color="404040"/>
              <w:left w:val="single" w:sz="2" w:space="0" w:color="404040"/>
              <w:bottom w:val="single" w:sz="2" w:space="0" w:color="404040"/>
              <w:right w:val="single" w:sz="2" w:space="0" w:color="404040"/>
            </w:tcBorders>
            <w:vAlign w:val="center"/>
          </w:tcPr>
          <w:p w14:paraId="77841E16"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较好</w:t>
            </w:r>
          </w:p>
        </w:tc>
        <w:tc>
          <w:tcPr>
            <w:tcW w:w="1463" w:type="dxa"/>
            <w:tcBorders>
              <w:top w:val="single" w:sz="2" w:space="0" w:color="404040"/>
              <w:left w:val="single" w:sz="2" w:space="0" w:color="404040"/>
              <w:bottom w:val="single" w:sz="2" w:space="0" w:color="404040"/>
              <w:right w:val="single" w:sz="2" w:space="0" w:color="404040"/>
            </w:tcBorders>
            <w:vAlign w:val="center"/>
          </w:tcPr>
          <w:p w14:paraId="22832D8D"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一般</w:t>
            </w:r>
          </w:p>
        </w:tc>
        <w:tc>
          <w:tcPr>
            <w:tcW w:w="1463" w:type="dxa"/>
            <w:tcBorders>
              <w:top w:val="single" w:sz="2" w:space="0" w:color="404040"/>
              <w:left w:val="single" w:sz="2" w:space="0" w:color="404040"/>
              <w:bottom w:val="single" w:sz="2" w:space="0" w:color="404040"/>
              <w:right w:val="single" w:sz="2" w:space="0" w:color="404040"/>
            </w:tcBorders>
            <w:vAlign w:val="center"/>
          </w:tcPr>
          <w:p w14:paraId="1D7741EE"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较差</w:t>
            </w:r>
          </w:p>
        </w:tc>
        <w:tc>
          <w:tcPr>
            <w:tcW w:w="1464" w:type="dxa"/>
            <w:tcBorders>
              <w:top w:val="single" w:sz="2" w:space="0" w:color="404040"/>
              <w:left w:val="single" w:sz="2" w:space="0" w:color="404040"/>
              <w:bottom w:val="single" w:sz="2" w:space="0" w:color="404040"/>
              <w:right w:val="single" w:sz="2" w:space="0" w:color="404040"/>
            </w:tcBorders>
            <w:vAlign w:val="center"/>
          </w:tcPr>
          <w:p w14:paraId="03291AC9"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差</w:t>
            </w:r>
          </w:p>
        </w:tc>
      </w:tr>
      <w:tr w:rsidR="0062768B" w14:paraId="142321EC" w14:textId="77777777" w:rsidTr="004532BF">
        <w:trPr>
          <w:cantSplit/>
          <w:trHeight w:val="1076"/>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0E3A8ED9"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商业繁华度</w:t>
            </w:r>
          </w:p>
        </w:tc>
        <w:tc>
          <w:tcPr>
            <w:tcW w:w="1463" w:type="dxa"/>
            <w:tcBorders>
              <w:top w:val="single" w:sz="2" w:space="0" w:color="404040"/>
              <w:left w:val="single" w:sz="2" w:space="0" w:color="404040"/>
              <w:bottom w:val="single" w:sz="2" w:space="0" w:color="404040"/>
              <w:right w:val="single" w:sz="2" w:space="0" w:color="404040"/>
            </w:tcBorders>
            <w:vAlign w:val="center"/>
          </w:tcPr>
          <w:p w14:paraId="7786DF77"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周边商服物业分布密集，商业繁华度好</w:t>
            </w:r>
          </w:p>
        </w:tc>
        <w:tc>
          <w:tcPr>
            <w:tcW w:w="1463" w:type="dxa"/>
            <w:tcBorders>
              <w:top w:val="single" w:sz="2" w:space="0" w:color="404040"/>
              <w:left w:val="single" w:sz="2" w:space="0" w:color="404040"/>
              <w:bottom w:val="single" w:sz="2" w:space="0" w:color="404040"/>
              <w:right w:val="single" w:sz="2" w:space="0" w:color="404040"/>
            </w:tcBorders>
            <w:vAlign w:val="center"/>
          </w:tcPr>
          <w:p w14:paraId="0C37C0C2"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周边商服物业分布较密集，商业繁华度较好</w:t>
            </w:r>
          </w:p>
        </w:tc>
        <w:tc>
          <w:tcPr>
            <w:tcW w:w="1463" w:type="dxa"/>
            <w:tcBorders>
              <w:top w:val="single" w:sz="2" w:space="0" w:color="404040"/>
              <w:left w:val="single" w:sz="2" w:space="0" w:color="404040"/>
              <w:bottom w:val="single" w:sz="2" w:space="0" w:color="404040"/>
              <w:right w:val="single" w:sz="2" w:space="0" w:color="404040"/>
            </w:tcBorders>
            <w:vAlign w:val="center"/>
          </w:tcPr>
          <w:p w14:paraId="51EA94F0"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周边商服物业分布一般，商业繁华度一般</w:t>
            </w:r>
          </w:p>
        </w:tc>
        <w:tc>
          <w:tcPr>
            <w:tcW w:w="1463" w:type="dxa"/>
            <w:tcBorders>
              <w:top w:val="single" w:sz="2" w:space="0" w:color="404040"/>
              <w:left w:val="single" w:sz="2" w:space="0" w:color="404040"/>
              <w:bottom w:val="single" w:sz="2" w:space="0" w:color="404040"/>
              <w:right w:val="single" w:sz="2" w:space="0" w:color="404040"/>
            </w:tcBorders>
            <w:vAlign w:val="center"/>
          </w:tcPr>
          <w:p w14:paraId="2F609973"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周边商服物业分布较分散，商业繁华度较差</w:t>
            </w:r>
          </w:p>
        </w:tc>
        <w:tc>
          <w:tcPr>
            <w:tcW w:w="1464" w:type="dxa"/>
            <w:tcBorders>
              <w:top w:val="single" w:sz="2" w:space="0" w:color="404040"/>
              <w:left w:val="single" w:sz="2" w:space="0" w:color="404040"/>
              <w:bottom w:val="single" w:sz="2" w:space="0" w:color="404040"/>
              <w:right w:val="single" w:sz="2" w:space="0" w:color="404040"/>
            </w:tcBorders>
            <w:vAlign w:val="center"/>
          </w:tcPr>
          <w:p w14:paraId="27EB9796"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周边暂无商服物业分布，商业繁华度差</w:t>
            </w:r>
          </w:p>
        </w:tc>
      </w:tr>
      <w:tr w:rsidR="0062768B" w14:paraId="2B44B16C" w14:textId="77777777" w:rsidTr="004532BF">
        <w:trPr>
          <w:cantSplit/>
          <w:trHeight w:val="363"/>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22D918B4"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交通便捷度</w:t>
            </w:r>
          </w:p>
        </w:tc>
        <w:tc>
          <w:tcPr>
            <w:tcW w:w="1463" w:type="dxa"/>
            <w:tcBorders>
              <w:top w:val="single" w:sz="2" w:space="0" w:color="404040"/>
              <w:left w:val="single" w:sz="2" w:space="0" w:color="404040"/>
              <w:bottom w:val="single" w:sz="2" w:space="0" w:color="404040"/>
              <w:right w:val="single" w:sz="2" w:space="0" w:color="404040"/>
            </w:tcBorders>
            <w:vAlign w:val="center"/>
          </w:tcPr>
          <w:p w14:paraId="7D956D2E"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便捷</w:t>
            </w:r>
          </w:p>
        </w:tc>
        <w:tc>
          <w:tcPr>
            <w:tcW w:w="1463" w:type="dxa"/>
            <w:tcBorders>
              <w:top w:val="single" w:sz="2" w:space="0" w:color="404040"/>
              <w:left w:val="single" w:sz="2" w:space="0" w:color="404040"/>
              <w:bottom w:val="single" w:sz="2" w:space="0" w:color="404040"/>
              <w:right w:val="single" w:sz="2" w:space="0" w:color="404040"/>
            </w:tcBorders>
            <w:vAlign w:val="center"/>
          </w:tcPr>
          <w:p w14:paraId="688A7BF7"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较便捷</w:t>
            </w:r>
          </w:p>
        </w:tc>
        <w:tc>
          <w:tcPr>
            <w:tcW w:w="1463" w:type="dxa"/>
            <w:tcBorders>
              <w:top w:val="single" w:sz="2" w:space="0" w:color="404040"/>
              <w:left w:val="single" w:sz="2" w:space="0" w:color="404040"/>
              <w:bottom w:val="single" w:sz="2" w:space="0" w:color="404040"/>
              <w:right w:val="single" w:sz="2" w:space="0" w:color="404040"/>
            </w:tcBorders>
            <w:vAlign w:val="center"/>
          </w:tcPr>
          <w:p w14:paraId="23C28F1E"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一般</w:t>
            </w:r>
          </w:p>
        </w:tc>
        <w:tc>
          <w:tcPr>
            <w:tcW w:w="1463" w:type="dxa"/>
            <w:tcBorders>
              <w:top w:val="single" w:sz="2" w:space="0" w:color="404040"/>
              <w:left w:val="single" w:sz="2" w:space="0" w:color="404040"/>
              <w:bottom w:val="single" w:sz="2" w:space="0" w:color="404040"/>
              <w:right w:val="single" w:sz="2" w:space="0" w:color="404040"/>
            </w:tcBorders>
            <w:vAlign w:val="center"/>
          </w:tcPr>
          <w:p w14:paraId="79F94A50"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较不便捷</w:t>
            </w:r>
          </w:p>
        </w:tc>
        <w:tc>
          <w:tcPr>
            <w:tcW w:w="1464" w:type="dxa"/>
            <w:tcBorders>
              <w:top w:val="single" w:sz="2" w:space="0" w:color="404040"/>
              <w:left w:val="single" w:sz="2" w:space="0" w:color="404040"/>
              <w:bottom w:val="single" w:sz="2" w:space="0" w:color="404040"/>
              <w:right w:val="single" w:sz="2" w:space="0" w:color="404040"/>
            </w:tcBorders>
            <w:vAlign w:val="center"/>
          </w:tcPr>
          <w:p w14:paraId="6BA4C5C9"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不便捷</w:t>
            </w:r>
          </w:p>
        </w:tc>
      </w:tr>
      <w:tr w:rsidR="0062768B" w14:paraId="6A991146" w14:textId="77777777" w:rsidTr="004532BF">
        <w:trPr>
          <w:cantSplit/>
          <w:trHeight w:val="1076"/>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05574A63"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城市规划及区域土地利用方向</w:t>
            </w:r>
          </w:p>
        </w:tc>
        <w:tc>
          <w:tcPr>
            <w:tcW w:w="1463" w:type="dxa"/>
            <w:tcBorders>
              <w:top w:val="single" w:sz="2" w:space="0" w:color="404040"/>
              <w:left w:val="single" w:sz="2" w:space="0" w:color="404040"/>
              <w:bottom w:val="single" w:sz="2" w:space="0" w:color="404040"/>
              <w:right w:val="single" w:sz="2" w:space="0" w:color="404040"/>
            </w:tcBorders>
            <w:vAlign w:val="center"/>
          </w:tcPr>
          <w:p w14:paraId="00CD7CC1"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估价对象用途与周边土地利用方向一致</w:t>
            </w:r>
          </w:p>
        </w:tc>
        <w:tc>
          <w:tcPr>
            <w:tcW w:w="1463" w:type="dxa"/>
            <w:tcBorders>
              <w:top w:val="single" w:sz="2" w:space="0" w:color="404040"/>
              <w:left w:val="single" w:sz="2" w:space="0" w:color="404040"/>
              <w:bottom w:val="single" w:sz="2" w:space="0" w:color="404040"/>
              <w:right w:val="single" w:sz="2" w:space="0" w:color="404040"/>
            </w:tcBorders>
            <w:vAlign w:val="center"/>
          </w:tcPr>
          <w:p w14:paraId="6637A1D9" w14:textId="77777777" w:rsidR="0062768B" w:rsidRDefault="00136729" w:rsidP="004532BF">
            <w:pPr>
              <w:widowControl/>
              <w:adjustRightInd/>
              <w:spacing w:line="240" w:lineRule="atLeast"/>
              <w:rPr>
                <w:rFonts w:ascii="Arial" w:eastAsia="仿宋" w:hAnsi="Arial" w:cs="Arial"/>
                <w:sz w:val="21"/>
                <w:szCs w:val="21"/>
              </w:rPr>
            </w:pPr>
            <w:proofErr w:type="gramStart"/>
            <w:r>
              <w:rPr>
                <w:rFonts w:ascii="Arial" w:eastAsia="仿宋" w:hAnsi="Arial" w:cs="Arial"/>
                <w:sz w:val="21"/>
                <w:szCs w:val="21"/>
              </w:rPr>
              <w:t>零星有</w:t>
            </w:r>
            <w:proofErr w:type="gramEnd"/>
            <w:r>
              <w:rPr>
                <w:rFonts w:ascii="Arial" w:eastAsia="仿宋" w:hAnsi="Arial" w:cs="Arial"/>
                <w:sz w:val="21"/>
                <w:szCs w:val="21"/>
              </w:rPr>
              <w:t>其他用地，基本不影响本宗地</w:t>
            </w:r>
          </w:p>
        </w:tc>
        <w:tc>
          <w:tcPr>
            <w:tcW w:w="1463" w:type="dxa"/>
            <w:tcBorders>
              <w:top w:val="single" w:sz="2" w:space="0" w:color="404040"/>
              <w:left w:val="single" w:sz="2" w:space="0" w:color="404040"/>
              <w:bottom w:val="single" w:sz="2" w:space="0" w:color="404040"/>
              <w:right w:val="single" w:sz="2" w:space="0" w:color="404040"/>
            </w:tcBorders>
            <w:vAlign w:val="center"/>
          </w:tcPr>
          <w:p w14:paraId="7F48E256"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有部分有其他用地，对本宗地略有影响</w:t>
            </w:r>
          </w:p>
        </w:tc>
        <w:tc>
          <w:tcPr>
            <w:tcW w:w="1463" w:type="dxa"/>
            <w:tcBorders>
              <w:top w:val="single" w:sz="2" w:space="0" w:color="404040"/>
              <w:left w:val="single" w:sz="2" w:space="0" w:color="404040"/>
              <w:bottom w:val="single" w:sz="2" w:space="0" w:color="404040"/>
              <w:right w:val="single" w:sz="2" w:space="0" w:color="404040"/>
            </w:tcBorders>
            <w:vAlign w:val="center"/>
          </w:tcPr>
          <w:p w14:paraId="2A20071D"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其他用地较多，对本宗地影响较大</w:t>
            </w:r>
          </w:p>
        </w:tc>
        <w:tc>
          <w:tcPr>
            <w:tcW w:w="1464" w:type="dxa"/>
            <w:tcBorders>
              <w:top w:val="single" w:sz="2" w:space="0" w:color="404040"/>
              <w:left w:val="single" w:sz="2" w:space="0" w:color="404040"/>
              <w:bottom w:val="single" w:sz="2" w:space="0" w:color="404040"/>
              <w:right w:val="single" w:sz="2" w:space="0" w:color="404040"/>
            </w:tcBorders>
            <w:vAlign w:val="center"/>
          </w:tcPr>
          <w:p w14:paraId="29BD9F68"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全部为不同用地，对本宗地有大的影响</w:t>
            </w:r>
          </w:p>
        </w:tc>
      </w:tr>
      <w:tr w:rsidR="0062768B" w14:paraId="2B60CEAB" w14:textId="77777777" w:rsidTr="004532BF">
        <w:trPr>
          <w:cantSplit/>
          <w:trHeight w:val="363"/>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0D38A8FD"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临街宽度和深度</w:t>
            </w:r>
          </w:p>
        </w:tc>
        <w:tc>
          <w:tcPr>
            <w:tcW w:w="1463" w:type="dxa"/>
            <w:tcBorders>
              <w:top w:val="single" w:sz="2" w:space="0" w:color="404040"/>
              <w:left w:val="single" w:sz="2" w:space="0" w:color="404040"/>
              <w:bottom w:val="single" w:sz="2" w:space="0" w:color="404040"/>
              <w:right w:val="single" w:sz="2" w:space="0" w:color="404040"/>
            </w:tcBorders>
            <w:vAlign w:val="center"/>
          </w:tcPr>
          <w:p w14:paraId="51B79D5E"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比例适宜</w:t>
            </w:r>
          </w:p>
        </w:tc>
        <w:tc>
          <w:tcPr>
            <w:tcW w:w="1463" w:type="dxa"/>
            <w:tcBorders>
              <w:top w:val="single" w:sz="2" w:space="0" w:color="404040"/>
              <w:left w:val="single" w:sz="2" w:space="0" w:color="404040"/>
              <w:bottom w:val="single" w:sz="2" w:space="0" w:color="404040"/>
              <w:right w:val="single" w:sz="2" w:space="0" w:color="404040"/>
            </w:tcBorders>
            <w:vAlign w:val="center"/>
          </w:tcPr>
          <w:p w14:paraId="0C1D067A"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比例较适宜</w:t>
            </w:r>
          </w:p>
        </w:tc>
        <w:tc>
          <w:tcPr>
            <w:tcW w:w="1463" w:type="dxa"/>
            <w:tcBorders>
              <w:top w:val="single" w:sz="2" w:space="0" w:color="404040"/>
              <w:left w:val="single" w:sz="2" w:space="0" w:color="404040"/>
              <w:bottom w:val="single" w:sz="2" w:space="0" w:color="404040"/>
              <w:right w:val="single" w:sz="2" w:space="0" w:color="404040"/>
            </w:tcBorders>
            <w:vAlign w:val="center"/>
          </w:tcPr>
          <w:p w14:paraId="508E3C4D"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一般</w:t>
            </w:r>
          </w:p>
        </w:tc>
        <w:tc>
          <w:tcPr>
            <w:tcW w:w="1463" w:type="dxa"/>
            <w:tcBorders>
              <w:top w:val="single" w:sz="2" w:space="0" w:color="404040"/>
              <w:left w:val="single" w:sz="2" w:space="0" w:color="404040"/>
              <w:bottom w:val="single" w:sz="2" w:space="0" w:color="404040"/>
              <w:right w:val="single" w:sz="2" w:space="0" w:color="404040"/>
            </w:tcBorders>
            <w:vAlign w:val="center"/>
          </w:tcPr>
          <w:p w14:paraId="7BAC48D6"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较差</w:t>
            </w:r>
          </w:p>
        </w:tc>
        <w:tc>
          <w:tcPr>
            <w:tcW w:w="1464" w:type="dxa"/>
            <w:tcBorders>
              <w:top w:val="single" w:sz="2" w:space="0" w:color="404040"/>
              <w:left w:val="single" w:sz="2" w:space="0" w:color="404040"/>
              <w:bottom w:val="single" w:sz="2" w:space="0" w:color="404040"/>
              <w:right w:val="single" w:sz="2" w:space="0" w:color="404040"/>
            </w:tcBorders>
            <w:vAlign w:val="center"/>
          </w:tcPr>
          <w:p w14:paraId="1B73250B"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差</w:t>
            </w:r>
          </w:p>
        </w:tc>
      </w:tr>
      <w:tr w:rsidR="0062768B" w14:paraId="5049F406" w14:textId="77777777" w:rsidTr="004532BF">
        <w:trPr>
          <w:cantSplit/>
          <w:trHeight w:val="347"/>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3BE54E63"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临街道路状况</w:t>
            </w:r>
          </w:p>
        </w:tc>
        <w:tc>
          <w:tcPr>
            <w:tcW w:w="1463" w:type="dxa"/>
            <w:tcBorders>
              <w:top w:val="single" w:sz="2" w:space="0" w:color="404040"/>
              <w:left w:val="single" w:sz="2" w:space="0" w:color="404040"/>
              <w:bottom w:val="single" w:sz="2" w:space="0" w:color="404040"/>
              <w:right w:val="single" w:sz="2" w:space="0" w:color="404040"/>
            </w:tcBorders>
            <w:vAlign w:val="center"/>
          </w:tcPr>
          <w:p w14:paraId="66FD04C1"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临高速公路</w:t>
            </w:r>
          </w:p>
        </w:tc>
        <w:tc>
          <w:tcPr>
            <w:tcW w:w="1463" w:type="dxa"/>
            <w:tcBorders>
              <w:top w:val="single" w:sz="2" w:space="0" w:color="404040"/>
              <w:left w:val="single" w:sz="2" w:space="0" w:color="404040"/>
              <w:bottom w:val="single" w:sz="2" w:space="0" w:color="404040"/>
              <w:right w:val="single" w:sz="2" w:space="0" w:color="404040"/>
            </w:tcBorders>
            <w:vAlign w:val="center"/>
          </w:tcPr>
          <w:p w14:paraId="13AC4352" w14:textId="77777777" w:rsidR="0062768B" w:rsidRDefault="00136729" w:rsidP="004532BF">
            <w:pPr>
              <w:widowControl/>
              <w:adjustRightInd/>
              <w:spacing w:line="240" w:lineRule="atLeast"/>
              <w:rPr>
                <w:rFonts w:ascii="Arial" w:eastAsia="仿宋" w:hAnsi="Arial" w:cs="Arial"/>
                <w:sz w:val="21"/>
                <w:szCs w:val="21"/>
              </w:rPr>
            </w:pPr>
            <w:proofErr w:type="gramStart"/>
            <w:r>
              <w:rPr>
                <w:rFonts w:ascii="Arial" w:eastAsia="仿宋" w:hAnsi="Arial" w:cs="Arial"/>
                <w:sz w:val="21"/>
                <w:szCs w:val="21"/>
              </w:rPr>
              <w:t>临城市</w:t>
            </w:r>
            <w:proofErr w:type="gramEnd"/>
            <w:r>
              <w:rPr>
                <w:rFonts w:ascii="Arial" w:eastAsia="仿宋" w:hAnsi="Arial" w:cs="Arial"/>
                <w:sz w:val="21"/>
                <w:szCs w:val="21"/>
              </w:rPr>
              <w:t>快速路</w:t>
            </w:r>
          </w:p>
        </w:tc>
        <w:tc>
          <w:tcPr>
            <w:tcW w:w="1463" w:type="dxa"/>
            <w:tcBorders>
              <w:top w:val="single" w:sz="2" w:space="0" w:color="404040"/>
              <w:left w:val="single" w:sz="2" w:space="0" w:color="404040"/>
              <w:bottom w:val="single" w:sz="2" w:space="0" w:color="404040"/>
              <w:right w:val="single" w:sz="2" w:space="0" w:color="404040"/>
            </w:tcBorders>
            <w:vAlign w:val="center"/>
          </w:tcPr>
          <w:p w14:paraId="529F6725" w14:textId="77777777" w:rsidR="0062768B" w:rsidRDefault="00136729" w:rsidP="004532BF">
            <w:pPr>
              <w:widowControl/>
              <w:adjustRightInd/>
              <w:spacing w:line="240" w:lineRule="atLeast"/>
              <w:rPr>
                <w:rFonts w:ascii="Arial" w:eastAsia="仿宋" w:hAnsi="Arial" w:cs="Arial"/>
                <w:sz w:val="21"/>
                <w:szCs w:val="21"/>
              </w:rPr>
            </w:pPr>
            <w:proofErr w:type="gramStart"/>
            <w:r>
              <w:rPr>
                <w:rFonts w:ascii="Arial" w:eastAsia="仿宋" w:hAnsi="Arial" w:cs="Arial"/>
                <w:sz w:val="21"/>
                <w:szCs w:val="21"/>
              </w:rPr>
              <w:t>临城市</w:t>
            </w:r>
            <w:proofErr w:type="gramEnd"/>
            <w:r>
              <w:rPr>
                <w:rFonts w:ascii="Arial" w:eastAsia="仿宋" w:hAnsi="Arial" w:cs="Arial"/>
                <w:sz w:val="21"/>
                <w:szCs w:val="21"/>
              </w:rPr>
              <w:t>主干道</w:t>
            </w:r>
          </w:p>
        </w:tc>
        <w:tc>
          <w:tcPr>
            <w:tcW w:w="1463" w:type="dxa"/>
            <w:tcBorders>
              <w:top w:val="single" w:sz="2" w:space="0" w:color="404040"/>
              <w:left w:val="single" w:sz="2" w:space="0" w:color="404040"/>
              <w:bottom w:val="single" w:sz="2" w:space="0" w:color="404040"/>
              <w:right w:val="single" w:sz="2" w:space="0" w:color="404040"/>
            </w:tcBorders>
            <w:vAlign w:val="center"/>
          </w:tcPr>
          <w:p w14:paraId="4844E5C9" w14:textId="77777777" w:rsidR="0062768B" w:rsidRDefault="00136729" w:rsidP="004532BF">
            <w:pPr>
              <w:widowControl/>
              <w:adjustRightInd/>
              <w:spacing w:line="240" w:lineRule="atLeast"/>
              <w:rPr>
                <w:rFonts w:ascii="Arial" w:eastAsia="仿宋" w:hAnsi="Arial" w:cs="Arial"/>
                <w:sz w:val="21"/>
                <w:szCs w:val="21"/>
              </w:rPr>
            </w:pPr>
            <w:proofErr w:type="gramStart"/>
            <w:r>
              <w:rPr>
                <w:rFonts w:ascii="Arial" w:eastAsia="仿宋" w:hAnsi="Arial" w:cs="Arial"/>
                <w:sz w:val="21"/>
                <w:szCs w:val="21"/>
              </w:rPr>
              <w:t>临城市</w:t>
            </w:r>
            <w:proofErr w:type="gramEnd"/>
            <w:r>
              <w:rPr>
                <w:rFonts w:ascii="Arial" w:eastAsia="仿宋" w:hAnsi="Arial" w:cs="Arial"/>
                <w:sz w:val="21"/>
                <w:szCs w:val="21"/>
              </w:rPr>
              <w:t>次干道</w:t>
            </w:r>
          </w:p>
        </w:tc>
        <w:tc>
          <w:tcPr>
            <w:tcW w:w="1464" w:type="dxa"/>
            <w:tcBorders>
              <w:top w:val="single" w:sz="2" w:space="0" w:color="404040"/>
              <w:left w:val="single" w:sz="2" w:space="0" w:color="404040"/>
              <w:bottom w:val="single" w:sz="2" w:space="0" w:color="404040"/>
              <w:right w:val="single" w:sz="2" w:space="0" w:color="404040"/>
            </w:tcBorders>
            <w:vAlign w:val="center"/>
          </w:tcPr>
          <w:p w14:paraId="163026B7" w14:textId="77777777" w:rsidR="0062768B" w:rsidRDefault="00136729" w:rsidP="004532BF">
            <w:pPr>
              <w:widowControl/>
              <w:adjustRightInd/>
              <w:spacing w:line="240" w:lineRule="atLeast"/>
              <w:rPr>
                <w:rFonts w:ascii="Arial" w:eastAsia="仿宋" w:hAnsi="Arial" w:cs="Arial"/>
                <w:sz w:val="21"/>
                <w:szCs w:val="21"/>
              </w:rPr>
            </w:pPr>
            <w:proofErr w:type="gramStart"/>
            <w:r>
              <w:rPr>
                <w:rFonts w:ascii="Arial" w:eastAsia="仿宋" w:hAnsi="Arial" w:cs="Arial"/>
                <w:sz w:val="21"/>
                <w:szCs w:val="21"/>
              </w:rPr>
              <w:t>临城市</w:t>
            </w:r>
            <w:proofErr w:type="gramEnd"/>
            <w:r>
              <w:rPr>
                <w:rFonts w:ascii="Arial" w:eastAsia="仿宋" w:hAnsi="Arial" w:cs="Arial"/>
                <w:sz w:val="21"/>
                <w:szCs w:val="21"/>
              </w:rPr>
              <w:t>支路</w:t>
            </w:r>
          </w:p>
        </w:tc>
      </w:tr>
      <w:tr w:rsidR="0062768B" w14:paraId="37E50447" w14:textId="77777777" w:rsidTr="004532BF">
        <w:trPr>
          <w:cantSplit/>
          <w:trHeight w:val="1076"/>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40237733"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宗地形状及可利用程度</w:t>
            </w:r>
          </w:p>
        </w:tc>
        <w:tc>
          <w:tcPr>
            <w:tcW w:w="1463" w:type="dxa"/>
            <w:tcBorders>
              <w:top w:val="single" w:sz="2" w:space="0" w:color="404040"/>
              <w:left w:val="single" w:sz="2" w:space="0" w:color="404040"/>
              <w:bottom w:val="single" w:sz="2" w:space="0" w:color="404040"/>
              <w:right w:val="single" w:sz="2" w:space="0" w:color="404040"/>
            </w:tcBorders>
            <w:vAlign w:val="center"/>
          </w:tcPr>
          <w:p w14:paraId="2BA0C462"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宗地形状规则，可利用程度好</w:t>
            </w:r>
          </w:p>
        </w:tc>
        <w:tc>
          <w:tcPr>
            <w:tcW w:w="1463" w:type="dxa"/>
            <w:tcBorders>
              <w:top w:val="single" w:sz="2" w:space="0" w:color="404040"/>
              <w:left w:val="single" w:sz="2" w:space="0" w:color="404040"/>
              <w:bottom w:val="single" w:sz="2" w:space="0" w:color="404040"/>
              <w:right w:val="single" w:sz="2" w:space="0" w:color="404040"/>
            </w:tcBorders>
            <w:vAlign w:val="center"/>
          </w:tcPr>
          <w:p w14:paraId="519AA9CF"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宗地形状较规则，可利用程度较好</w:t>
            </w:r>
          </w:p>
        </w:tc>
        <w:tc>
          <w:tcPr>
            <w:tcW w:w="1463" w:type="dxa"/>
            <w:tcBorders>
              <w:top w:val="single" w:sz="2" w:space="0" w:color="404040"/>
              <w:left w:val="single" w:sz="2" w:space="0" w:color="404040"/>
              <w:bottom w:val="single" w:sz="2" w:space="0" w:color="404040"/>
              <w:right w:val="single" w:sz="2" w:space="0" w:color="404040"/>
            </w:tcBorders>
            <w:vAlign w:val="center"/>
          </w:tcPr>
          <w:p w14:paraId="35714B9B"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宗地形状不规则，但对宗地利用影响较小</w:t>
            </w:r>
          </w:p>
        </w:tc>
        <w:tc>
          <w:tcPr>
            <w:tcW w:w="1463" w:type="dxa"/>
            <w:tcBorders>
              <w:top w:val="single" w:sz="2" w:space="0" w:color="404040"/>
              <w:left w:val="single" w:sz="2" w:space="0" w:color="404040"/>
              <w:bottom w:val="single" w:sz="2" w:space="0" w:color="404040"/>
              <w:right w:val="single" w:sz="2" w:space="0" w:color="404040"/>
            </w:tcBorders>
            <w:vAlign w:val="center"/>
          </w:tcPr>
          <w:p w14:paraId="566E583E"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宗地形状不规则，对宗地利用有影响</w:t>
            </w:r>
          </w:p>
        </w:tc>
        <w:tc>
          <w:tcPr>
            <w:tcW w:w="1464" w:type="dxa"/>
            <w:tcBorders>
              <w:top w:val="single" w:sz="2" w:space="0" w:color="404040"/>
              <w:left w:val="single" w:sz="2" w:space="0" w:color="404040"/>
              <w:bottom w:val="single" w:sz="2" w:space="0" w:color="404040"/>
              <w:right w:val="single" w:sz="2" w:space="0" w:color="404040"/>
            </w:tcBorders>
            <w:vAlign w:val="center"/>
          </w:tcPr>
          <w:p w14:paraId="623C21AE"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宗地形状极其不规则，对宗地利用影响很大</w:t>
            </w:r>
          </w:p>
        </w:tc>
      </w:tr>
      <w:tr w:rsidR="0062768B" w14:paraId="4EDFCE8F" w14:textId="77777777" w:rsidTr="004532BF">
        <w:trPr>
          <w:cantSplit/>
          <w:trHeight w:val="728"/>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67E1D921"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公共服务设施状况</w:t>
            </w:r>
          </w:p>
        </w:tc>
        <w:tc>
          <w:tcPr>
            <w:tcW w:w="1463" w:type="dxa"/>
            <w:tcBorders>
              <w:top w:val="single" w:sz="2" w:space="0" w:color="404040"/>
              <w:left w:val="single" w:sz="2" w:space="0" w:color="404040"/>
              <w:bottom w:val="single" w:sz="2" w:space="0" w:color="404040"/>
              <w:right w:val="single" w:sz="2" w:space="0" w:color="404040"/>
            </w:tcBorders>
            <w:vAlign w:val="center"/>
          </w:tcPr>
          <w:p w14:paraId="5E53AFD0"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配套完善</w:t>
            </w:r>
          </w:p>
        </w:tc>
        <w:tc>
          <w:tcPr>
            <w:tcW w:w="1463" w:type="dxa"/>
            <w:tcBorders>
              <w:top w:val="single" w:sz="2" w:space="0" w:color="404040"/>
              <w:left w:val="single" w:sz="2" w:space="0" w:color="404040"/>
              <w:bottom w:val="single" w:sz="2" w:space="0" w:color="404040"/>
              <w:right w:val="single" w:sz="2" w:space="0" w:color="404040"/>
            </w:tcBorders>
            <w:vAlign w:val="center"/>
          </w:tcPr>
          <w:p w14:paraId="4B8C9CD2"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配套较完善</w:t>
            </w:r>
          </w:p>
        </w:tc>
        <w:tc>
          <w:tcPr>
            <w:tcW w:w="1463" w:type="dxa"/>
            <w:tcBorders>
              <w:top w:val="single" w:sz="2" w:space="0" w:color="404040"/>
              <w:left w:val="single" w:sz="2" w:space="0" w:color="404040"/>
              <w:bottom w:val="single" w:sz="2" w:space="0" w:color="404040"/>
              <w:right w:val="single" w:sz="2" w:space="0" w:color="404040"/>
            </w:tcBorders>
            <w:vAlign w:val="center"/>
          </w:tcPr>
          <w:p w14:paraId="6C691175"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配套基本满足需要</w:t>
            </w:r>
          </w:p>
        </w:tc>
        <w:tc>
          <w:tcPr>
            <w:tcW w:w="1463" w:type="dxa"/>
            <w:tcBorders>
              <w:top w:val="single" w:sz="2" w:space="0" w:color="404040"/>
              <w:left w:val="single" w:sz="2" w:space="0" w:color="404040"/>
              <w:bottom w:val="single" w:sz="2" w:space="0" w:color="404040"/>
              <w:right w:val="single" w:sz="2" w:space="0" w:color="404040"/>
            </w:tcBorders>
            <w:vAlign w:val="center"/>
          </w:tcPr>
          <w:p w14:paraId="15CFA84C"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配套少</w:t>
            </w:r>
          </w:p>
        </w:tc>
        <w:tc>
          <w:tcPr>
            <w:tcW w:w="1464" w:type="dxa"/>
            <w:tcBorders>
              <w:top w:val="single" w:sz="2" w:space="0" w:color="404040"/>
              <w:left w:val="single" w:sz="2" w:space="0" w:color="404040"/>
              <w:bottom w:val="single" w:sz="2" w:space="0" w:color="404040"/>
              <w:right w:val="single" w:sz="2" w:space="0" w:color="404040"/>
            </w:tcBorders>
            <w:vAlign w:val="center"/>
          </w:tcPr>
          <w:p w14:paraId="5A782993"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配套极少</w:t>
            </w:r>
          </w:p>
        </w:tc>
      </w:tr>
      <w:tr w:rsidR="0062768B" w14:paraId="55D160BD" w14:textId="77777777" w:rsidTr="004532BF">
        <w:trPr>
          <w:cantSplit/>
          <w:trHeight w:val="347"/>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7B041BD6"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基础设施完备状况</w:t>
            </w:r>
          </w:p>
        </w:tc>
        <w:tc>
          <w:tcPr>
            <w:tcW w:w="1463" w:type="dxa"/>
            <w:tcBorders>
              <w:top w:val="single" w:sz="2" w:space="0" w:color="404040"/>
              <w:left w:val="single" w:sz="2" w:space="0" w:color="404040"/>
              <w:bottom w:val="single" w:sz="2" w:space="0" w:color="404040"/>
              <w:right w:val="single" w:sz="2" w:space="0" w:color="404040"/>
            </w:tcBorders>
            <w:vAlign w:val="center"/>
          </w:tcPr>
          <w:p w14:paraId="67ACE36A"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七通</w:t>
            </w:r>
          </w:p>
        </w:tc>
        <w:tc>
          <w:tcPr>
            <w:tcW w:w="1463" w:type="dxa"/>
            <w:tcBorders>
              <w:top w:val="single" w:sz="2" w:space="0" w:color="404040"/>
              <w:left w:val="single" w:sz="2" w:space="0" w:color="404040"/>
              <w:bottom w:val="single" w:sz="2" w:space="0" w:color="404040"/>
              <w:right w:val="single" w:sz="2" w:space="0" w:color="404040"/>
            </w:tcBorders>
            <w:vAlign w:val="center"/>
          </w:tcPr>
          <w:p w14:paraId="6E9D5151"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六通</w:t>
            </w:r>
          </w:p>
        </w:tc>
        <w:tc>
          <w:tcPr>
            <w:tcW w:w="1463" w:type="dxa"/>
            <w:tcBorders>
              <w:top w:val="single" w:sz="2" w:space="0" w:color="404040"/>
              <w:left w:val="single" w:sz="2" w:space="0" w:color="404040"/>
              <w:bottom w:val="single" w:sz="2" w:space="0" w:color="404040"/>
              <w:right w:val="single" w:sz="2" w:space="0" w:color="404040"/>
            </w:tcBorders>
            <w:vAlign w:val="center"/>
          </w:tcPr>
          <w:p w14:paraId="24457B47"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五通</w:t>
            </w:r>
          </w:p>
        </w:tc>
        <w:tc>
          <w:tcPr>
            <w:tcW w:w="1463" w:type="dxa"/>
            <w:tcBorders>
              <w:top w:val="single" w:sz="2" w:space="0" w:color="404040"/>
              <w:left w:val="single" w:sz="2" w:space="0" w:color="404040"/>
              <w:bottom w:val="single" w:sz="2" w:space="0" w:color="404040"/>
              <w:right w:val="single" w:sz="2" w:space="0" w:color="404040"/>
            </w:tcBorders>
            <w:vAlign w:val="center"/>
          </w:tcPr>
          <w:p w14:paraId="1897072C"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四通</w:t>
            </w:r>
          </w:p>
        </w:tc>
        <w:tc>
          <w:tcPr>
            <w:tcW w:w="1464" w:type="dxa"/>
            <w:tcBorders>
              <w:top w:val="single" w:sz="2" w:space="0" w:color="404040"/>
              <w:left w:val="single" w:sz="2" w:space="0" w:color="404040"/>
              <w:bottom w:val="single" w:sz="2" w:space="0" w:color="404040"/>
              <w:right w:val="single" w:sz="2" w:space="0" w:color="404040"/>
            </w:tcBorders>
            <w:vAlign w:val="center"/>
          </w:tcPr>
          <w:p w14:paraId="74FAD52F"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三通</w:t>
            </w:r>
          </w:p>
        </w:tc>
      </w:tr>
      <w:tr w:rsidR="0062768B" w14:paraId="5AAEB23A" w14:textId="77777777" w:rsidTr="004532BF">
        <w:trPr>
          <w:cantSplit/>
          <w:trHeight w:val="363"/>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5C790574"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自然和人文环境状况</w:t>
            </w:r>
          </w:p>
        </w:tc>
        <w:tc>
          <w:tcPr>
            <w:tcW w:w="1463" w:type="dxa"/>
            <w:tcBorders>
              <w:top w:val="single" w:sz="2" w:space="0" w:color="404040"/>
              <w:left w:val="single" w:sz="2" w:space="0" w:color="404040"/>
              <w:bottom w:val="single" w:sz="2" w:space="0" w:color="404040"/>
              <w:right w:val="single" w:sz="2" w:space="0" w:color="404040"/>
            </w:tcBorders>
            <w:vAlign w:val="center"/>
          </w:tcPr>
          <w:p w14:paraId="29D32855"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好</w:t>
            </w:r>
          </w:p>
        </w:tc>
        <w:tc>
          <w:tcPr>
            <w:tcW w:w="1463" w:type="dxa"/>
            <w:tcBorders>
              <w:top w:val="single" w:sz="2" w:space="0" w:color="404040"/>
              <w:left w:val="single" w:sz="2" w:space="0" w:color="404040"/>
              <w:bottom w:val="single" w:sz="2" w:space="0" w:color="404040"/>
              <w:right w:val="single" w:sz="2" w:space="0" w:color="404040"/>
            </w:tcBorders>
            <w:vAlign w:val="center"/>
          </w:tcPr>
          <w:p w14:paraId="24BEFBA7"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较好</w:t>
            </w:r>
          </w:p>
        </w:tc>
        <w:tc>
          <w:tcPr>
            <w:tcW w:w="1463" w:type="dxa"/>
            <w:tcBorders>
              <w:top w:val="single" w:sz="2" w:space="0" w:color="404040"/>
              <w:left w:val="single" w:sz="2" w:space="0" w:color="404040"/>
              <w:bottom w:val="single" w:sz="2" w:space="0" w:color="404040"/>
              <w:right w:val="single" w:sz="2" w:space="0" w:color="404040"/>
            </w:tcBorders>
            <w:vAlign w:val="center"/>
          </w:tcPr>
          <w:p w14:paraId="4DC9070A"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一般</w:t>
            </w:r>
          </w:p>
        </w:tc>
        <w:tc>
          <w:tcPr>
            <w:tcW w:w="1463" w:type="dxa"/>
            <w:tcBorders>
              <w:top w:val="single" w:sz="2" w:space="0" w:color="404040"/>
              <w:left w:val="single" w:sz="2" w:space="0" w:color="404040"/>
              <w:bottom w:val="single" w:sz="2" w:space="0" w:color="404040"/>
              <w:right w:val="single" w:sz="2" w:space="0" w:color="404040"/>
            </w:tcBorders>
            <w:vAlign w:val="center"/>
          </w:tcPr>
          <w:p w14:paraId="341FEE83"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较差</w:t>
            </w:r>
          </w:p>
        </w:tc>
        <w:tc>
          <w:tcPr>
            <w:tcW w:w="1464" w:type="dxa"/>
            <w:tcBorders>
              <w:top w:val="single" w:sz="2" w:space="0" w:color="404040"/>
              <w:left w:val="single" w:sz="2" w:space="0" w:color="404040"/>
              <w:bottom w:val="single" w:sz="2" w:space="0" w:color="404040"/>
              <w:right w:val="single" w:sz="2" w:space="0" w:color="404040"/>
            </w:tcBorders>
            <w:vAlign w:val="center"/>
          </w:tcPr>
          <w:p w14:paraId="480DF64D"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差</w:t>
            </w:r>
          </w:p>
        </w:tc>
      </w:tr>
    </w:tbl>
    <w:p w14:paraId="1F1B3FEE" w14:textId="77777777" w:rsidR="0062768B" w:rsidRDefault="00136729">
      <w:pPr>
        <w:spacing w:line="300" w:lineRule="auto"/>
        <w:ind w:firstLineChars="200" w:firstLine="560"/>
        <w:jc w:val="both"/>
        <w:rPr>
          <w:rFonts w:ascii="Arial" w:eastAsia="仿宋_GB2312" w:hAnsi="Arial" w:cs="Arial"/>
          <w:sz w:val="28"/>
        </w:rPr>
      </w:pPr>
      <w:r>
        <w:rPr>
          <w:rFonts w:ascii="Arial" w:eastAsia="仿宋" w:hAnsi="Arial" w:cs="Arial"/>
          <w:sz w:val="28"/>
          <w:szCs w:val="28"/>
        </w:rPr>
        <w:t>估价对象地处</w:t>
      </w:r>
      <w:r>
        <w:rPr>
          <w:rFonts w:ascii="Arial" w:eastAsia="仿宋" w:hAnsi="Arial" w:cs="Arial" w:hint="eastAsia"/>
          <w:sz w:val="28"/>
          <w:szCs w:val="28"/>
        </w:rPr>
        <w:t>商业</w:t>
      </w:r>
      <w:r>
        <w:rPr>
          <w:rFonts w:ascii="Arial" w:eastAsia="仿宋" w:hAnsi="Arial" w:cs="Arial"/>
          <w:sz w:val="28"/>
          <w:szCs w:val="28"/>
        </w:rPr>
        <w:t>类</w:t>
      </w:r>
      <w:r>
        <w:rPr>
          <w:rFonts w:ascii="Arial" w:eastAsia="仿宋_GB2312" w:hAnsi="Arial" w:cs="Arial" w:hint="eastAsia"/>
          <w:sz w:val="28"/>
        </w:rPr>
        <w:t>九级</w:t>
      </w:r>
      <w:r>
        <w:rPr>
          <w:rFonts w:ascii="Arial" w:eastAsia="仿宋_GB2312" w:hAnsi="Arial" w:cs="Arial"/>
          <w:sz w:val="28"/>
        </w:rPr>
        <w:t>IX-</w:t>
      </w:r>
      <w:r>
        <w:rPr>
          <w:rFonts w:ascii="Arial" w:eastAsia="仿宋_GB2312" w:hAnsi="Arial" w:cs="Arial" w:hint="eastAsia"/>
          <w:sz w:val="28"/>
        </w:rPr>
        <w:t>顺</w:t>
      </w:r>
      <w:r>
        <w:rPr>
          <w:rFonts w:ascii="Arial" w:eastAsia="仿宋_GB2312" w:hAnsi="Arial" w:cs="Arial" w:hint="eastAsia"/>
          <w:sz w:val="28"/>
        </w:rPr>
        <w:t>5</w:t>
      </w:r>
      <w:r>
        <w:rPr>
          <w:rFonts w:ascii="Arial" w:eastAsia="仿宋" w:hAnsi="Arial" w:cs="Arial"/>
          <w:sz w:val="28"/>
          <w:szCs w:val="28"/>
        </w:rPr>
        <w:t>区片，依据前述《北京市基准地价因素权重表》、《区片基准地价因素总修正幅度表》及《因素等级说明表》，整理《等级系数表》如下：</w:t>
      </w:r>
    </w:p>
    <w:p w14:paraId="73705A8F" w14:textId="77777777" w:rsidR="0062768B" w:rsidRDefault="00136729">
      <w:pPr>
        <w:adjustRightInd/>
        <w:spacing w:line="300" w:lineRule="auto"/>
        <w:jc w:val="center"/>
        <w:rPr>
          <w:rFonts w:ascii="Arial" w:eastAsia="仿宋_GB2312" w:hAnsi="Arial" w:cs="Arial"/>
          <w:szCs w:val="24"/>
        </w:rPr>
      </w:pPr>
      <w:r>
        <w:rPr>
          <w:rFonts w:ascii="Arial" w:eastAsia="仿宋" w:hAnsi="Arial" w:cs="Arial"/>
          <w:sz w:val="28"/>
          <w:szCs w:val="28"/>
        </w:rPr>
        <w:t>等级系数表</w:t>
      </w:r>
      <w:r>
        <w:rPr>
          <w:rFonts w:ascii="Arial" w:eastAsia="仿宋" w:hAnsi="Arial" w:cs="Arial"/>
          <w:sz w:val="28"/>
          <w:szCs w:val="28"/>
        </w:rPr>
        <w:t xml:space="preserve">  </w:t>
      </w:r>
      <w:r>
        <w:rPr>
          <w:rFonts w:ascii="Arial" w:eastAsia="仿宋_GB2312" w:hAnsi="Arial" w:cs="Arial"/>
          <w:szCs w:val="24"/>
        </w:rPr>
        <w:t xml:space="preserve">                    </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382"/>
        <w:gridCol w:w="1275"/>
        <w:gridCol w:w="1355"/>
        <w:gridCol w:w="1456"/>
        <w:gridCol w:w="1390"/>
        <w:gridCol w:w="1440"/>
      </w:tblGrid>
      <w:tr w:rsidR="0062768B" w14:paraId="00A345EC" w14:textId="77777777">
        <w:trPr>
          <w:cantSplit/>
          <w:trHeight w:val="90"/>
          <w:tblHeader/>
          <w:jc w:val="center"/>
        </w:trPr>
        <w:tc>
          <w:tcPr>
            <w:tcW w:w="2382" w:type="dxa"/>
            <w:tcBorders>
              <w:tl2br w:val="single" w:sz="2" w:space="0" w:color="404040"/>
            </w:tcBorders>
            <w:vAlign w:val="center"/>
          </w:tcPr>
          <w:p w14:paraId="384F1CA1" w14:textId="77777777" w:rsidR="0062768B" w:rsidRDefault="00136729" w:rsidP="004532BF">
            <w:pPr>
              <w:widowControl/>
              <w:adjustRightInd/>
              <w:spacing w:line="240" w:lineRule="atLeast"/>
              <w:jc w:val="right"/>
              <w:textAlignment w:val="auto"/>
              <w:rPr>
                <w:rFonts w:ascii="Arial" w:eastAsia="仿宋" w:hAnsi="Arial" w:cs="Arial"/>
                <w:sz w:val="21"/>
                <w:szCs w:val="21"/>
              </w:rPr>
            </w:pPr>
            <w:r>
              <w:rPr>
                <w:rFonts w:ascii="Arial" w:eastAsia="仿宋" w:hAnsi="Arial" w:cs="Arial"/>
                <w:sz w:val="21"/>
                <w:szCs w:val="21"/>
              </w:rPr>
              <w:t>等级</w:t>
            </w:r>
          </w:p>
          <w:p w14:paraId="4E0A2FEB" w14:textId="77777777" w:rsidR="0062768B" w:rsidRDefault="00136729" w:rsidP="004532BF">
            <w:pPr>
              <w:widowControl/>
              <w:adjustRightInd/>
              <w:spacing w:line="240" w:lineRule="atLeast"/>
              <w:jc w:val="right"/>
              <w:textAlignment w:val="auto"/>
              <w:rPr>
                <w:rFonts w:ascii="Arial" w:eastAsia="仿宋" w:hAnsi="Arial" w:cs="Arial"/>
                <w:sz w:val="21"/>
                <w:szCs w:val="21"/>
              </w:rPr>
            </w:pPr>
            <w:r>
              <w:rPr>
                <w:rFonts w:ascii="Arial" w:eastAsia="仿宋" w:hAnsi="Arial" w:cs="Arial"/>
                <w:sz w:val="21"/>
                <w:szCs w:val="21"/>
              </w:rPr>
              <w:t xml:space="preserve">     </w:t>
            </w:r>
          </w:p>
          <w:p w14:paraId="77DD25A1" w14:textId="77777777" w:rsidR="0062768B" w:rsidRDefault="00136729" w:rsidP="004532BF">
            <w:pPr>
              <w:widowControl/>
              <w:adjustRightInd/>
              <w:spacing w:line="240" w:lineRule="atLeast"/>
              <w:textAlignment w:val="auto"/>
              <w:rPr>
                <w:rFonts w:ascii="Arial" w:eastAsia="仿宋" w:hAnsi="Arial" w:cs="Arial"/>
                <w:sz w:val="21"/>
                <w:szCs w:val="21"/>
              </w:rPr>
            </w:pPr>
            <w:r>
              <w:rPr>
                <w:rFonts w:ascii="Arial" w:eastAsia="仿宋" w:hAnsi="Arial" w:cs="Arial"/>
                <w:sz w:val="21"/>
                <w:szCs w:val="21"/>
              </w:rPr>
              <w:t>影响因素</w:t>
            </w:r>
          </w:p>
        </w:tc>
        <w:tc>
          <w:tcPr>
            <w:tcW w:w="1275" w:type="dxa"/>
            <w:vAlign w:val="center"/>
          </w:tcPr>
          <w:p w14:paraId="79F99AD4" w14:textId="77777777" w:rsidR="0062768B" w:rsidRDefault="00136729" w:rsidP="004532BF">
            <w:pPr>
              <w:widowControl/>
              <w:adjustRightInd/>
              <w:spacing w:line="240" w:lineRule="atLeast"/>
              <w:textAlignment w:val="auto"/>
              <w:rPr>
                <w:rFonts w:ascii="Arial" w:eastAsia="仿宋" w:hAnsi="Arial" w:cs="Arial"/>
                <w:sz w:val="21"/>
                <w:szCs w:val="21"/>
              </w:rPr>
            </w:pPr>
            <w:r>
              <w:rPr>
                <w:rFonts w:ascii="Arial" w:eastAsia="仿宋" w:hAnsi="Arial" w:cs="Arial"/>
                <w:sz w:val="21"/>
                <w:szCs w:val="21"/>
              </w:rPr>
              <w:t>好</w:t>
            </w:r>
          </w:p>
        </w:tc>
        <w:tc>
          <w:tcPr>
            <w:tcW w:w="1355" w:type="dxa"/>
            <w:vAlign w:val="center"/>
          </w:tcPr>
          <w:p w14:paraId="77B5B544"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较好</w:t>
            </w:r>
          </w:p>
        </w:tc>
        <w:tc>
          <w:tcPr>
            <w:tcW w:w="1456" w:type="dxa"/>
            <w:vAlign w:val="center"/>
          </w:tcPr>
          <w:p w14:paraId="10F7F475"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一般</w:t>
            </w:r>
          </w:p>
        </w:tc>
        <w:tc>
          <w:tcPr>
            <w:tcW w:w="1390" w:type="dxa"/>
            <w:vAlign w:val="center"/>
          </w:tcPr>
          <w:p w14:paraId="1369DEA2"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较差</w:t>
            </w:r>
          </w:p>
        </w:tc>
        <w:tc>
          <w:tcPr>
            <w:tcW w:w="1440" w:type="dxa"/>
            <w:vAlign w:val="center"/>
          </w:tcPr>
          <w:p w14:paraId="5F8EB42F"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差</w:t>
            </w:r>
          </w:p>
        </w:tc>
      </w:tr>
      <w:tr w:rsidR="0062768B" w14:paraId="1E3D1BA8" w14:textId="77777777">
        <w:trPr>
          <w:cantSplit/>
          <w:trHeight w:val="90"/>
          <w:jc w:val="center"/>
        </w:trPr>
        <w:tc>
          <w:tcPr>
            <w:tcW w:w="2382" w:type="dxa"/>
            <w:vAlign w:val="center"/>
          </w:tcPr>
          <w:p w14:paraId="12BE0FDB"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商业繁华程度</w:t>
            </w:r>
          </w:p>
        </w:tc>
        <w:tc>
          <w:tcPr>
            <w:tcW w:w="1275" w:type="dxa"/>
            <w:vAlign w:val="center"/>
          </w:tcPr>
          <w:p w14:paraId="207302FA" w14:textId="77777777" w:rsidR="0062768B" w:rsidRDefault="00136729" w:rsidP="004532BF">
            <w:pPr>
              <w:widowControl/>
              <w:adjustRightInd/>
              <w:spacing w:line="240" w:lineRule="atLeast"/>
              <w:textAlignment w:val="auto"/>
              <w:rPr>
                <w:rFonts w:ascii="Arial" w:hAnsi="Arial" w:cs="Arial"/>
                <w:sz w:val="22"/>
                <w:szCs w:val="22"/>
              </w:rPr>
            </w:pPr>
            <w:r>
              <w:rPr>
                <w:rFonts w:ascii="Arial" w:hAnsi="Arial" w:cs="Arial"/>
                <w:sz w:val="22"/>
                <w:szCs w:val="22"/>
              </w:rPr>
              <w:t>4.50</w:t>
            </w:r>
          </w:p>
        </w:tc>
        <w:tc>
          <w:tcPr>
            <w:tcW w:w="1355" w:type="dxa"/>
            <w:vAlign w:val="center"/>
          </w:tcPr>
          <w:p w14:paraId="7745FB8F" w14:textId="77777777" w:rsidR="0062768B" w:rsidRDefault="00136729" w:rsidP="004532BF">
            <w:pPr>
              <w:spacing w:line="240" w:lineRule="atLeast"/>
              <w:rPr>
                <w:rFonts w:ascii="Arial" w:hAnsi="Arial" w:cs="Arial"/>
                <w:sz w:val="22"/>
                <w:szCs w:val="22"/>
              </w:rPr>
            </w:pPr>
            <w:r>
              <w:rPr>
                <w:rFonts w:ascii="Arial" w:hAnsi="Arial" w:cs="Arial"/>
                <w:sz w:val="22"/>
                <w:szCs w:val="22"/>
              </w:rPr>
              <w:t>2.25</w:t>
            </w:r>
          </w:p>
        </w:tc>
        <w:tc>
          <w:tcPr>
            <w:tcW w:w="1456" w:type="dxa"/>
            <w:vAlign w:val="center"/>
          </w:tcPr>
          <w:p w14:paraId="52D09120"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265C57B6" w14:textId="77777777" w:rsidR="0062768B" w:rsidRDefault="00136729" w:rsidP="004532BF">
            <w:pPr>
              <w:spacing w:line="240" w:lineRule="atLeast"/>
              <w:rPr>
                <w:rFonts w:ascii="Arial" w:hAnsi="Arial" w:cs="Arial"/>
                <w:sz w:val="22"/>
                <w:szCs w:val="22"/>
              </w:rPr>
            </w:pPr>
            <w:r>
              <w:rPr>
                <w:rFonts w:ascii="Arial" w:hAnsi="Arial" w:cs="Arial"/>
                <w:sz w:val="22"/>
                <w:szCs w:val="22"/>
              </w:rPr>
              <w:t>-2.25</w:t>
            </w:r>
          </w:p>
        </w:tc>
        <w:tc>
          <w:tcPr>
            <w:tcW w:w="1440" w:type="dxa"/>
            <w:vAlign w:val="center"/>
          </w:tcPr>
          <w:p w14:paraId="3F9DA7DA" w14:textId="77777777" w:rsidR="0062768B" w:rsidRDefault="00136729" w:rsidP="004532BF">
            <w:pPr>
              <w:spacing w:line="240" w:lineRule="atLeast"/>
              <w:rPr>
                <w:rFonts w:ascii="Arial" w:hAnsi="Arial" w:cs="Arial"/>
                <w:sz w:val="22"/>
                <w:szCs w:val="22"/>
              </w:rPr>
            </w:pPr>
            <w:r>
              <w:rPr>
                <w:rFonts w:ascii="Arial" w:hAnsi="Arial" w:cs="Arial"/>
                <w:sz w:val="22"/>
                <w:szCs w:val="22"/>
              </w:rPr>
              <w:t>-4.50</w:t>
            </w:r>
          </w:p>
        </w:tc>
      </w:tr>
      <w:tr w:rsidR="0062768B" w14:paraId="6BA02A0F" w14:textId="77777777">
        <w:trPr>
          <w:cantSplit/>
          <w:trHeight w:val="90"/>
          <w:jc w:val="center"/>
        </w:trPr>
        <w:tc>
          <w:tcPr>
            <w:tcW w:w="2382" w:type="dxa"/>
            <w:vAlign w:val="center"/>
          </w:tcPr>
          <w:p w14:paraId="295ABE1F"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交通便捷度</w:t>
            </w:r>
          </w:p>
        </w:tc>
        <w:tc>
          <w:tcPr>
            <w:tcW w:w="1275" w:type="dxa"/>
            <w:vAlign w:val="center"/>
          </w:tcPr>
          <w:p w14:paraId="193C66AF" w14:textId="77777777" w:rsidR="0062768B" w:rsidRDefault="00136729" w:rsidP="004532BF">
            <w:pPr>
              <w:spacing w:line="240" w:lineRule="atLeast"/>
              <w:rPr>
                <w:rFonts w:ascii="Arial" w:hAnsi="Arial" w:cs="Arial"/>
                <w:sz w:val="22"/>
                <w:szCs w:val="22"/>
              </w:rPr>
            </w:pPr>
            <w:r>
              <w:rPr>
                <w:rFonts w:ascii="Arial" w:hAnsi="Arial" w:cs="Arial"/>
                <w:sz w:val="22"/>
                <w:szCs w:val="22"/>
              </w:rPr>
              <w:t>3.30</w:t>
            </w:r>
          </w:p>
        </w:tc>
        <w:tc>
          <w:tcPr>
            <w:tcW w:w="1355" w:type="dxa"/>
            <w:vAlign w:val="center"/>
          </w:tcPr>
          <w:p w14:paraId="3D3BFCA0" w14:textId="77777777" w:rsidR="0062768B" w:rsidRDefault="00136729" w:rsidP="004532BF">
            <w:pPr>
              <w:spacing w:line="240" w:lineRule="atLeast"/>
              <w:rPr>
                <w:rFonts w:ascii="Arial" w:hAnsi="Arial" w:cs="Arial"/>
                <w:sz w:val="22"/>
                <w:szCs w:val="22"/>
              </w:rPr>
            </w:pPr>
            <w:r>
              <w:rPr>
                <w:rFonts w:ascii="Arial" w:hAnsi="Arial" w:cs="Arial"/>
                <w:sz w:val="22"/>
                <w:szCs w:val="22"/>
              </w:rPr>
              <w:t>1.65</w:t>
            </w:r>
          </w:p>
        </w:tc>
        <w:tc>
          <w:tcPr>
            <w:tcW w:w="1456" w:type="dxa"/>
            <w:vAlign w:val="center"/>
          </w:tcPr>
          <w:p w14:paraId="415750AE"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4DBEF2C9" w14:textId="77777777" w:rsidR="0062768B" w:rsidRDefault="00136729" w:rsidP="004532BF">
            <w:pPr>
              <w:spacing w:line="240" w:lineRule="atLeast"/>
              <w:rPr>
                <w:rFonts w:ascii="Arial" w:hAnsi="Arial" w:cs="Arial"/>
                <w:sz w:val="22"/>
                <w:szCs w:val="22"/>
              </w:rPr>
            </w:pPr>
            <w:r>
              <w:rPr>
                <w:rFonts w:ascii="Arial" w:hAnsi="Arial" w:cs="Arial"/>
                <w:sz w:val="22"/>
                <w:szCs w:val="22"/>
              </w:rPr>
              <w:t>-1.65</w:t>
            </w:r>
          </w:p>
        </w:tc>
        <w:tc>
          <w:tcPr>
            <w:tcW w:w="1440" w:type="dxa"/>
            <w:vAlign w:val="center"/>
          </w:tcPr>
          <w:p w14:paraId="3174DF1D" w14:textId="77777777" w:rsidR="0062768B" w:rsidRDefault="00136729" w:rsidP="004532BF">
            <w:pPr>
              <w:spacing w:line="240" w:lineRule="atLeast"/>
              <w:rPr>
                <w:rFonts w:ascii="Arial" w:hAnsi="Arial" w:cs="Arial"/>
                <w:sz w:val="22"/>
                <w:szCs w:val="22"/>
              </w:rPr>
            </w:pPr>
            <w:r>
              <w:rPr>
                <w:rFonts w:ascii="Arial" w:hAnsi="Arial" w:cs="Arial"/>
                <w:sz w:val="22"/>
                <w:szCs w:val="22"/>
              </w:rPr>
              <w:t>-3.30</w:t>
            </w:r>
          </w:p>
        </w:tc>
      </w:tr>
      <w:tr w:rsidR="0062768B" w14:paraId="3755492B" w14:textId="77777777">
        <w:trPr>
          <w:cantSplit/>
          <w:trHeight w:val="90"/>
          <w:jc w:val="center"/>
        </w:trPr>
        <w:tc>
          <w:tcPr>
            <w:tcW w:w="2382" w:type="dxa"/>
            <w:vAlign w:val="center"/>
          </w:tcPr>
          <w:p w14:paraId="7A7A6912"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区域土地利用方向</w:t>
            </w:r>
          </w:p>
        </w:tc>
        <w:tc>
          <w:tcPr>
            <w:tcW w:w="1275" w:type="dxa"/>
            <w:vAlign w:val="center"/>
          </w:tcPr>
          <w:p w14:paraId="451DDFD5" w14:textId="77777777" w:rsidR="0062768B" w:rsidRDefault="00136729" w:rsidP="004532BF">
            <w:pPr>
              <w:spacing w:line="240" w:lineRule="atLeast"/>
              <w:rPr>
                <w:rFonts w:ascii="Arial" w:hAnsi="Arial" w:cs="Arial"/>
                <w:sz w:val="22"/>
                <w:szCs w:val="22"/>
              </w:rPr>
            </w:pPr>
            <w:r>
              <w:rPr>
                <w:rFonts w:ascii="Arial" w:hAnsi="Arial" w:cs="Arial"/>
                <w:sz w:val="22"/>
                <w:szCs w:val="22"/>
              </w:rPr>
              <w:t>1.80</w:t>
            </w:r>
          </w:p>
        </w:tc>
        <w:tc>
          <w:tcPr>
            <w:tcW w:w="1355" w:type="dxa"/>
            <w:vAlign w:val="center"/>
          </w:tcPr>
          <w:p w14:paraId="2620D7CE" w14:textId="77777777" w:rsidR="0062768B" w:rsidRDefault="00136729" w:rsidP="004532BF">
            <w:pPr>
              <w:spacing w:line="240" w:lineRule="atLeast"/>
              <w:rPr>
                <w:rFonts w:ascii="Arial" w:hAnsi="Arial" w:cs="Arial"/>
                <w:sz w:val="22"/>
                <w:szCs w:val="22"/>
              </w:rPr>
            </w:pPr>
            <w:r>
              <w:rPr>
                <w:rFonts w:ascii="Arial" w:hAnsi="Arial" w:cs="Arial"/>
                <w:sz w:val="22"/>
                <w:szCs w:val="22"/>
              </w:rPr>
              <w:t>0.90</w:t>
            </w:r>
          </w:p>
        </w:tc>
        <w:tc>
          <w:tcPr>
            <w:tcW w:w="1456" w:type="dxa"/>
            <w:vAlign w:val="center"/>
          </w:tcPr>
          <w:p w14:paraId="5503C31D"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0C61221B" w14:textId="77777777" w:rsidR="0062768B" w:rsidRDefault="00136729" w:rsidP="004532BF">
            <w:pPr>
              <w:spacing w:line="240" w:lineRule="atLeast"/>
              <w:rPr>
                <w:rFonts w:ascii="Arial" w:hAnsi="Arial" w:cs="Arial"/>
                <w:sz w:val="22"/>
                <w:szCs w:val="22"/>
              </w:rPr>
            </w:pPr>
            <w:r>
              <w:rPr>
                <w:rFonts w:ascii="Arial" w:hAnsi="Arial" w:cs="Arial"/>
                <w:sz w:val="22"/>
                <w:szCs w:val="22"/>
              </w:rPr>
              <w:t>-0.90</w:t>
            </w:r>
          </w:p>
        </w:tc>
        <w:tc>
          <w:tcPr>
            <w:tcW w:w="1440" w:type="dxa"/>
            <w:vAlign w:val="center"/>
          </w:tcPr>
          <w:p w14:paraId="05660EE0" w14:textId="77777777" w:rsidR="0062768B" w:rsidRDefault="00136729" w:rsidP="004532BF">
            <w:pPr>
              <w:spacing w:line="240" w:lineRule="atLeast"/>
              <w:rPr>
                <w:rFonts w:ascii="Arial" w:hAnsi="Arial" w:cs="Arial"/>
                <w:sz w:val="22"/>
                <w:szCs w:val="22"/>
              </w:rPr>
            </w:pPr>
            <w:r>
              <w:rPr>
                <w:rFonts w:ascii="Arial" w:hAnsi="Arial" w:cs="Arial"/>
                <w:sz w:val="22"/>
                <w:szCs w:val="22"/>
              </w:rPr>
              <w:t>-1.80</w:t>
            </w:r>
          </w:p>
        </w:tc>
      </w:tr>
      <w:tr w:rsidR="0062768B" w14:paraId="5F867D6F" w14:textId="77777777">
        <w:trPr>
          <w:cantSplit/>
          <w:trHeight w:val="90"/>
          <w:jc w:val="center"/>
        </w:trPr>
        <w:tc>
          <w:tcPr>
            <w:tcW w:w="2382" w:type="dxa"/>
            <w:vAlign w:val="center"/>
          </w:tcPr>
          <w:p w14:paraId="5DE4CD63"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临街宽度和深度</w:t>
            </w:r>
          </w:p>
        </w:tc>
        <w:tc>
          <w:tcPr>
            <w:tcW w:w="1275" w:type="dxa"/>
            <w:vAlign w:val="center"/>
          </w:tcPr>
          <w:p w14:paraId="2DA835D8"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c>
          <w:tcPr>
            <w:tcW w:w="1355" w:type="dxa"/>
            <w:vAlign w:val="center"/>
          </w:tcPr>
          <w:p w14:paraId="29266202"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56" w:type="dxa"/>
            <w:vAlign w:val="center"/>
          </w:tcPr>
          <w:p w14:paraId="408AA597"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21FF7AE8"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40" w:type="dxa"/>
            <w:vAlign w:val="center"/>
          </w:tcPr>
          <w:p w14:paraId="611AE315"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r>
      <w:tr w:rsidR="0062768B" w14:paraId="6738BF19" w14:textId="77777777">
        <w:trPr>
          <w:cantSplit/>
          <w:trHeight w:val="90"/>
          <w:jc w:val="center"/>
        </w:trPr>
        <w:tc>
          <w:tcPr>
            <w:tcW w:w="2382" w:type="dxa"/>
            <w:vAlign w:val="center"/>
          </w:tcPr>
          <w:p w14:paraId="4586FF3D"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临街道路状况</w:t>
            </w:r>
          </w:p>
        </w:tc>
        <w:tc>
          <w:tcPr>
            <w:tcW w:w="1275" w:type="dxa"/>
            <w:vAlign w:val="center"/>
          </w:tcPr>
          <w:p w14:paraId="66FAA0EC" w14:textId="77777777" w:rsidR="0062768B" w:rsidRDefault="00136729" w:rsidP="004532BF">
            <w:pPr>
              <w:spacing w:line="240" w:lineRule="atLeast"/>
              <w:rPr>
                <w:rFonts w:ascii="Arial" w:hAnsi="Arial" w:cs="Arial"/>
                <w:sz w:val="22"/>
                <w:szCs w:val="22"/>
              </w:rPr>
            </w:pPr>
            <w:r>
              <w:rPr>
                <w:rFonts w:ascii="Arial" w:hAnsi="Arial" w:cs="Arial"/>
                <w:sz w:val="22"/>
                <w:szCs w:val="22"/>
              </w:rPr>
              <w:t>1.20</w:t>
            </w:r>
          </w:p>
        </w:tc>
        <w:tc>
          <w:tcPr>
            <w:tcW w:w="1355" w:type="dxa"/>
            <w:vAlign w:val="center"/>
          </w:tcPr>
          <w:p w14:paraId="37FC6ECD" w14:textId="77777777" w:rsidR="0062768B" w:rsidRDefault="00136729" w:rsidP="004532BF">
            <w:pPr>
              <w:spacing w:line="240" w:lineRule="atLeast"/>
              <w:rPr>
                <w:rFonts w:ascii="Arial" w:hAnsi="Arial" w:cs="Arial"/>
                <w:sz w:val="22"/>
                <w:szCs w:val="22"/>
              </w:rPr>
            </w:pPr>
            <w:r>
              <w:rPr>
                <w:rFonts w:ascii="Arial" w:hAnsi="Arial" w:cs="Arial"/>
                <w:sz w:val="22"/>
                <w:szCs w:val="22"/>
              </w:rPr>
              <w:t>0.60</w:t>
            </w:r>
          </w:p>
        </w:tc>
        <w:tc>
          <w:tcPr>
            <w:tcW w:w="1456" w:type="dxa"/>
            <w:vAlign w:val="center"/>
          </w:tcPr>
          <w:p w14:paraId="6A338BFB"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568E1065" w14:textId="77777777" w:rsidR="0062768B" w:rsidRDefault="00136729" w:rsidP="004532BF">
            <w:pPr>
              <w:spacing w:line="240" w:lineRule="atLeast"/>
              <w:rPr>
                <w:rFonts w:ascii="Arial" w:hAnsi="Arial" w:cs="Arial"/>
                <w:sz w:val="22"/>
                <w:szCs w:val="22"/>
              </w:rPr>
            </w:pPr>
            <w:r>
              <w:rPr>
                <w:rFonts w:ascii="Arial" w:hAnsi="Arial" w:cs="Arial"/>
                <w:sz w:val="22"/>
                <w:szCs w:val="22"/>
              </w:rPr>
              <w:t>-0.60</w:t>
            </w:r>
          </w:p>
        </w:tc>
        <w:tc>
          <w:tcPr>
            <w:tcW w:w="1440" w:type="dxa"/>
            <w:vAlign w:val="center"/>
          </w:tcPr>
          <w:p w14:paraId="2317E855" w14:textId="77777777" w:rsidR="0062768B" w:rsidRDefault="00136729" w:rsidP="004532BF">
            <w:pPr>
              <w:spacing w:line="240" w:lineRule="atLeast"/>
              <w:rPr>
                <w:rFonts w:ascii="Arial" w:hAnsi="Arial" w:cs="Arial"/>
                <w:sz w:val="22"/>
                <w:szCs w:val="22"/>
              </w:rPr>
            </w:pPr>
            <w:r>
              <w:rPr>
                <w:rFonts w:ascii="Arial" w:hAnsi="Arial" w:cs="Arial"/>
                <w:sz w:val="22"/>
                <w:szCs w:val="22"/>
              </w:rPr>
              <w:t>-1.20</w:t>
            </w:r>
          </w:p>
        </w:tc>
      </w:tr>
      <w:tr w:rsidR="0062768B" w14:paraId="767E2D06" w14:textId="77777777">
        <w:trPr>
          <w:cantSplit/>
          <w:trHeight w:val="90"/>
          <w:jc w:val="center"/>
        </w:trPr>
        <w:tc>
          <w:tcPr>
            <w:tcW w:w="2382" w:type="dxa"/>
            <w:vAlign w:val="center"/>
          </w:tcPr>
          <w:p w14:paraId="07080118"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宗地形状及可利用程度</w:t>
            </w:r>
          </w:p>
        </w:tc>
        <w:tc>
          <w:tcPr>
            <w:tcW w:w="1275" w:type="dxa"/>
            <w:vAlign w:val="center"/>
          </w:tcPr>
          <w:p w14:paraId="591EB57B"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c>
          <w:tcPr>
            <w:tcW w:w="1355" w:type="dxa"/>
            <w:vAlign w:val="center"/>
          </w:tcPr>
          <w:p w14:paraId="0A251FA1"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56" w:type="dxa"/>
            <w:vAlign w:val="center"/>
          </w:tcPr>
          <w:p w14:paraId="4D3B2533"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710EFAD4"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40" w:type="dxa"/>
            <w:vAlign w:val="center"/>
          </w:tcPr>
          <w:p w14:paraId="66B98708"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r>
      <w:tr w:rsidR="0062768B" w14:paraId="484C6D0C" w14:textId="77777777">
        <w:trPr>
          <w:cantSplit/>
          <w:trHeight w:val="90"/>
          <w:jc w:val="center"/>
        </w:trPr>
        <w:tc>
          <w:tcPr>
            <w:tcW w:w="2382" w:type="dxa"/>
            <w:vAlign w:val="center"/>
          </w:tcPr>
          <w:p w14:paraId="61922754"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公共服务设施状况</w:t>
            </w:r>
          </w:p>
        </w:tc>
        <w:tc>
          <w:tcPr>
            <w:tcW w:w="1275" w:type="dxa"/>
            <w:vAlign w:val="center"/>
          </w:tcPr>
          <w:p w14:paraId="3EFBADF0"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c>
          <w:tcPr>
            <w:tcW w:w="1355" w:type="dxa"/>
            <w:vAlign w:val="center"/>
          </w:tcPr>
          <w:p w14:paraId="584CA3A8"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56" w:type="dxa"/>
            <w:vAlign w:val="center"/>
          </w:tcPr>
          <w:p w14:paraId="0F2F4B36"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24650EAA"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40" w:type="dxa"/>
            <w:vAlign w:val="center"/>
          </w:tcPr>
          <w:p w14:paraId="53F06480"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r>
      <w:tr w:rsidR="0062768B" w14:paraId="32670F2D" w14:textId="77777777">
        <w:trPr>
          <w:cantSplit/>
          <w:trHeight w:val="90"/>
          <w:jc w:val="center"/>
        </w:trPr>
        <w:tc>
          <w:tcPr>
            <w:tcW w:w="2382" w:type="dxa"/>
            <w:vAlign w:val="center"/>
          </w:tcPr>
          <w:p w14:paraId="37004A70"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lastRenderedPageBreak/>
              <w:t>基础设施完备状况</w:t>
            </w:r>
          </w:p>
        </w:tc>
        <w:tc>
          <w:tcPr>
            <w:tcW w:w="1275" w:type="dxa"/>
            <w:vAlign w:val="center"/>
          </w:tcPr>
          <w:p w14:paraId="213485CD" w14:textId="77777777" w:rsidR="0062768B" w:rsidRDefault="00136729" w:rsidP="004532BF">
            <w:pPr>
              <w:spacing w:line="240" w:lineRule="atLeast"/>
              <w:rPr>
                <w:rFonts w:ascii="Arial" w:hAnsi="Arial" w:cs="Arial"/>
                <w:sz w:val="22"/>
                <w:szCs w:val="22"/>
              </w:rPr>
            </w:pPr>
            <w:r>
              <w:rPr>
                <w:rFonts w:ascii="Arial" w:hAnsi="Arial" w:cs="Arial"/>
                <w:sz w:val="22"/>
                <w:szCs w:val="22"/>
              </w:rPr>
              <w:t>1.20</w:t>
            </w:r>
          </w:p>
        </w:tc>
        <w:tc>
          <w:tcPr>
            <w:tcW w:w="1355" w:type="dxa"/>
            <w:vAlign w:val="center"/>
          </w:tcPr>
          <w:p w14:paraId="76FDDE83" w14:textId="77777777" w:rsidR="0062768B" w:rsidRDefault="00136729" w:rsidP="004532BF">
            <w:pPr>
              <w:spacing w:line="240" w:lineRule="atLeast"/>
              <w:rPr>
                <w:rFonts w:ascii="Arial" w:hAnsi="Arial" w:cs="Arial"/>
                <w:sz w:val="22"/>
                <w:szCs w:val="22"/>
              </w:rPr>
            </w:pPr>
            <w:r>
              <w:rPr>
                <w:rFonts w:ascii="Arial" w:hAnsi="Arial" w:cs="Arial"/>
                <w:sz w:val="22"/>
                <w:szCs w:val="22"/>
              </w:rPr>
              <w:t>0.60</w:t>
            </w:r>
          </w:p>
        </w:tc>
        <w:tc>
          <w:tcPr>
            <w:tcW w:w="1456" w:type="dxa"/>
            <w:vAlign w:val="center"/>
          </w:tcPr>
          <w:p w14:paraId="044E4E04"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4B139DD5" w14:textId="77777777" w:rsidR="0062768B" w:rsidRDefault="00136729" w:rsidP="004532BF">
            <w:pPr>
              <w:spacing w:line="240" w:lineRule="atLeast"/>
              <w:rPr>
                <w:rFonts w:ascii="Arial" w:hAnsi="Arial" w:cs="Arial"/>
                <w:sz w:val="22"/>
                <w:szCs w:val="22"/>
              </w:rPr>
            </w:pPr>
            <w:r>
              <w:rPr>
                <w:rFonts w:ascii="Arial" w:hAnsi="Arial" w:cs="Arial"/>
                <w:sz w:val="22"/>
                <w:szCs w:val="22"/>
              </w:rPr>
              <w:t>-0.60</w:t>
            </w:r>
          </w:p>
        </w:tc>
        <w:tc>
          <w:tcPr>
            <w:tcW w:w="1440" w:type="dxa"/>
            <w:vAlign w:val="center"/>
          </w:tcPr>
          <w:p w14:paraId="4A9ADEED" w14:textId="77777777" w:rsidR="0062768B" w:rsidRDefault="00136729" w:rsidP="004532BF">
            <w:pPr>
              <w:spacing w:line="240" w:lineRule="atLeast"/>
              <w:rPr>
                <w:rFonts w:ascii="Arial" w:hAnsi="Arial" w:cs="Arial"/>
                <w:sz w:val="22"/>
                <w:szCs w:val="22"/>
              </w:rPr>
            </w:pPr>
            <w:r>
              <w:rPr>
                <w:rFonts w:ascii="Arial" w:hAnsi="Arial" w:cs="Arial"/>
                <w:sz w:val="22"/>
                <w:szCs w:val="22"/>
              </w:rPr>
              <w:t>-1.20</w:t>
            </w:r>
          </w:p>
        </w:tc>
      </w:tr>
      <w:tr w:rsidR="0062768B" w14:paraId="29C9E28F" w14:textId="77777777">
        <w:trPr>
          <w:cantSplit/>
          <w:trHeight w:val="90"/>
          <w:jc w:val="center"/>
        </w:trPr>
        <w:tc>
          <w:tcPr>
            <w:tcW w:w="2382" w:type="dxa"/>
            <w:vAlign w:val="center"/>
          </w:tcPr>
          <w:p w14:paraId="36BE0C76"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自然和人文环境状况</w:t>
            </w:r>
          </w:p>
        </w:tc>
        <w:tc>
          <w:tcPr>
            <w:tcW w:w="1275" w:type="dxa"/>
            <w:vAlign w:val="center"/>
          </w:tcPr>
          <w:p w14:paraId="33F0DFE9"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c>
          <w:tcPr>
            <w:tcW w:w="1355" w:type="dxa"/>
            <w:vAlign w:val="center"/>
          </w:tcPr>
          <w:p w14:paraId="3ACACDB4"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56" w:type="dxa"/>
            <w:vAlign w:val="center"/>
          </w:tcPr>
          <w:p w14:paraId="114246FD"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36AA0E29"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40" w:type="dxa"/>
            <w:vAlign w:val="center"/>
          </w:tcPr>
          <w:p w14:paraId="34EE01DA"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r>
    </w:tbl>
    <w:p w14:paraId="41056409" w14:textId="77777777" w:rsidR="0062768B" w:rsidRDefault="00136729">
      <w:pPr>
        <w:spacing w:line="300" w:lineRule="auto"/>
        <w:ind w:firstLineChars="200" w:firstLine="360"/>
        <w:jc w:val="both"/>
        <w:rPr>
          <w:rFonts w:ascii="Arial" w:eastAsia="仿宋_GB2312" w:hAnsi="Arial" w:cs="Arial"/>
          <w:sz w:val="28"/>
        </w:rPr>
      </w:pPr>
      <w:r>
        <w:rPr>
          <w:rFonts w:ascii="Arial" w:eastAsia="华文细黑" w:hAnsi="Arial" w:cs="宋体" w:hint="eastAsia"/>
          <w:sz w:val="18"/>
          <w:szCs w:val="24"/>
        </w:rPr>
        <w:t>单位：</w:t>
      </w:r>
      <w:r>
        <w:rPr>
          <w:rFonts w:ascii="Arial" w:eastAsia="华文细黑" w:hAnsi="Arial" w:cs="宋体" w:hint="eastAsia"/>
          <w:sz w:val="18"/>
          <w:szCs w:val="24"/>
        </w:rPr>
        <w:t>%</w:t>
      </w:r>
    </w:p>
    <w:p w14:paraId="06DB902E"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按照因素等级情况说明表、等级系数表以及估价对象的区域因素和个别因素条件，编制估价对象因素修正系数表如下：</w:t>
      </w:r>
    </w:p>
    <w:p w14:paraId="3036DF32" w14:textId="77777777" w:rsidR="0062768B" w:rsidRDefault="00136729">
      <w:pPr>
        <w:spacing w:line="300" w:lineRule="auto"/>
        <w:jc w:val="center"/>
        <w:rPr>
          <w:rFonts w:ascii="Arial" w:eastAsia="仿宋" w:hAnsi="Arial" w:cs="Arial"/>
          <w:sz w:val="28"/>
        </w:rPr>
      </w:pPr>
      <w:r>
        <w:rPr>
          <w:rFonts w:ascii="Arial" w:eastAsia="仿宋" w:hAnsi="Arial" w:cs="Arial"/>
          <w:sz w:val="28"/>
        </w:rPr>
        <w:t>估价对象因素修正系数表</w:t>
      </w:r>
    </w:p>
    <w:tbl>
      <w:tblPr>
        <w:tblW w:w="937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8"/>
        <w:gridCol w:w="2265"/>
        <w:gridCol w:w="5150"/>
        <w:gridCol w:w="709"/>
        <w:gridCol w:w="823"/>
      </w:tblGrid>
      <w:tr w:rsidR="0062768B" w14:paraId="2D0CA266" w14:textId="77777777">
        <w:trPr>
          <w:cantSplit/>
          <w:tblHeader/>
          <w:jc w:val="center"/>
        </w:trPr>
        <w:tc>
          <w:tcPr>
            <w:tcW w:w="428" w:type="dxa"/>
            <w:vAlign w:val="center"/>
          </w:tcPr>
          <w:p w14:paraId="441D5AA1"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序号</w:t>
            </w:r>
          </w:p>
        </w:tc>
        <w:tc>
          <w:tcPr>
            <w:tcW w:w="2265" w:type="dxa"/>
            <w:vAlign w:val="center"/>
          </w:tcPr>
          <w:p w14:paraId="352AA7AF"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影响因素</w:t>
            </w:r>
          </w:p>
        </w:tc>
        <w:tc>
          <w:tcPr>
            <w:tcW w:w="5150" w:type="dxa"/>
            <w:vAlign w:val="center"/>
          </w:tcPr>
          <w:p w14:paraId="406FAC35"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估价对象情况</w:t>
            </w:r>
          </w:p>
        </w:tc>
        <w:tc>
          <w:tcPr>
            <w:tcW w:w="709" w:type="dxa"/>
            <w:vAlign w:val="center"/>
          </w:tcPr>
          <w:p w14:paraId="172E399C"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等级</w:t>
            </w:r>
          </w:p>
        </w:tc>
        <w:tc>
          <w:tcPr>
            <w:tcW w:w="823" w:type="dxa"/>
            <w:vAlign w:val="center"/>
          </w:tcPr>
          <w:p w14:paraId="6364CCAB"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修正系数</w:t>
            </w:r>
          </w:p>
        </w:tc>
      </w:tr>
      <w:tr w:rsidR="0062768B" w14:paraId="0C2826EA" w14:textId="77777777">
        <w:trPr>
          <w:cantSplit/>
          <w:jc w:val="center"/>
        </w:trPr>
        <w:tc>
          <w:tcPr>
            <w:tcW w:w="428" w:type="dxa"/>
            <w:vAlign w:val="center"/>
          </w:tcPr>
          <w:p w14:paraId="58BEFA92"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w:t>
            </w:r>
          </w:p>
        </w:tc>
        <w:tc>
          <w:tcPr>
            <w:tcW w:w="2265" w:type="dxa"/>
            <w:vAlign w:val="center"/>
          </w:tcPr>
          <w:p w14:paraId="319F92E0"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商业繁华程度</w:t>
            </w:r>
          </w:p>
        </w:tc>
        <w:tc>
          <w:tcPr>
            <w:tcW w:w="5150" w:type="dxa"/>
            <w:vAlign w:val="center"/>
          </w:tcPr>
          <w:p w14:paraId="51D25B10" w14:textId="77777777" w:rsidR="0062768B" w:rsidRDefault="00136729">
            <w:pPr>
              <w:adjustRightInd/>
              <w:spacing w:line="240" w:lineRule="exact"/>
              <w:rPr>
                <w:rFonts w:ascii="Arial" w:eastAsia="仿宋" w:hAnsi="Arial" w:cs="Arial"/>
                <w:sz w:val="21"/>
                <w:szCs w:val="21"/>
              </w:rPr>
            </w:pPr>
            <w:r>
              <w:rPr>
                <w:rFonts w:ascii="Arial" w:eastAsia="仿宋" w:hAnsi="Arial" w:cs="Arial" w:hint="eastAsia"/>
                <w:sz w:val="21"/>
                <w:szCs w:val="21"/>
              </w:rPr>
              <w:t>估价对象位于北京市顺义区高丽营镇夏县营村，周边</w:t>
            </w:r>
            <w:r>
              <w:rPr>
                <w:rFonts w:ascii="Arial" w:eastAsia="仿宋" w:hAnsi="Arial" w:cs="Arial" w:hint="eastAsia"/>
                <w:sz w:val="21"/>
                <w:szCs w:val="21"/>
              </w:rPr>
              <w:t>2</w:t>
            </w:r>
            <w:r>
              <w:rPr>
                <w:rFonts w:ascii="Arial" w:eastAsia="仿宋" w:hAnsi="Arial" w:cs="Arial" w:hint="eastAsia"/>
                <w:sz w:val="21"/>
                <w:szCs w:val="21"/>
              </w:rPr>
              <w:t>公里范围内有社区商业街，北京超天商贸中心、</w:t>
            </w:r>
            <w:proofErr w:type="gramStart"/>
            <w:r>
              <w:rPr>
                <w:rFonts w:ascii="Arial" w:eastAsia="仿宋" w:hAnsi="Arial" w:cs="Arial" w:hint="eastAsia"/>
                <w:sz w:val="21"/>
                <w:szCs w:val="21"/>
              </w:rPr>
              <w:t>隆华购物中心</w:t>
            </w:r>
            <w:proofErr w:type="gramEnd"/>
            <w:r>
              <w:rPr>
                <w:rFonts w:ascii="Arial" w:eastAsia="仿宋" w:hAnsi="Arial" w:cs="Arial" w:hint="eastAsia"/>
                <w:sz w:val="21"/>
                <w:szCs w:val="21"/>
              </w:rPr>
              <w:t>以及零星临街商铺，无大型购物中心，商业繁华度一般。</w:t>
            </w:r>
          </w:p>
        </w:tc>
        <w:tc>
          <w:tcPr>
            <w:tcW w:w="709" w:type="dxa"/>
            <w:vAlign w:val="center"/>
          </w:tcPr>
          <w:p w14:paraId="0DFC5DCA"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较差</w:t>
            </w:r>
          </w:p>
        </w:tc>
        <w:tc>
          <w:tcPr>
            <w:tcW w:w="823" w:type="dxa"/>
            <w:vAlign w:val="center"/>
          </w:tcPr>
          <w:p w14:paraId="25A6D438"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-2.25%</w:t>
            </w:r>
          </w:p>
        </w:tc>
      </w:tr>
      <w:tr w:rsidR="0062768B" w14:paraId="69BDC6D0" w14:textId="77777777">
        <w:trPr>
          <w:cantSplit/>
          <w:jc w:val="center"/>
        </w:trPr>
        <w:tc>
          <w:tcPr>
            <w:tcW w:w="428" w:type="dxa"/>
            <w:vAlign w:val="center"/>
          </w:tcPr>
          <w:p w14:paraId="7B6985D1"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w:t>
            </w:r>
          </w:p>
        </w:tc>
        <w:tc>
          <w:tcPr>
            <w:tcW w:w="2265" w:type="dxa"/>
            <w:vAlign w:val="center"/>
          </w:tcPr>
          <w:p w14:paraId="1A3FA694"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交通便捷度</w:t>
            </w:r>
          </w:p>
        </w:tc>
        <w:tc>
          <w:tcPr>
            <w:tcW w:w="5150" w:type="dxa"/>
            <w:vAlign w:val="center"/>
          </w:tcPr>
          <w:p w14:paraId="16E634CA"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估价对象属于北京市顺义区高丽营镇夏县营村，估价对象紧</w:t>
            </w:r>
            <w:proofErr w:type="gramStart"/>
            <w:r>
              <w:rPr>
                <w:rFonts w:ascii="Arial" w:eastAsia="仿宋" w:hAnsi="Arial" w:cs="Arial" w:hint="eastAsia"/>
                <w:sz w:val="21"/>
                <w:szCs w:val="21"/>
                <w:lang w:bidi="ar"/>
              </w:rPr>
              <w:t>临城市</w:t>
            </w:r>
            <w:proofErr w:type="gramEnd"/>
            <w:r>
              <w:rPr>
                <w:rFonts w:ascii="Arial" w:eastAsia="仿宋" w:hAnsi="Arial" w:cs="Arial" w:hint="eastAsia"/>
                <w:sz w:val="21"/>
                <w:szCs w:val="21"/>
                <w:lang w:bidi="ar"/>
              </w:rPr>
              <w:t>主干道——</w:t>
            </w:r>
            <w:proofErr w:type="gramStart"/>
            <w:r>
              <w:rPr>
                <w:rFonts w:ascii="Arial" w:eastAsia="仿宋" w:hAnsi="Arial" w:cs="Arial" w:hint="eastAsia"/>
                <w:sz w:val="21"/>
                <w:szCs w:val="21"/>
                <w:lang w:bidi="ar"/>
              </w:rPr>
              <w:t>火寺路</w:t>
            </w:r>
            <w:proofErr w:type="gramEnd"/>
            <w:r>
              <w:rPr>
                <w:rFonts w:ascii="Arial" w:eastAsia="仿宋" w:hAnsi="Arial" w:cs="Arial" w:hint="eastAsia"/>
                <w:sz w:val="21"/>
                <w:szCs w:val="21"/>
                <w:lang w:bidi="ar"/>
              </w:rPr>
              <w:t>、周边</w:t>
            </w:r>
            <w:r>
              <w:rPr>
                <w:rFonts w:ascii="Arial" w:eastAsia="仿宋" w:hAnsi="Arial" w:cs="Arial" w:hint="eastAsia"/>
                <w:sz w:val="21"/>
                <w:szCs w:val="21"/>
                <w:lang w:bidi="ar"/>
              </w:rPr>
              <w:t>1</w:t>
            </w:r>
            <w:r>
              <w:rPr>
                <w:rFonts w:ascii="Arial" w:eastAsia="仿宋" w:hAnsi="Arial" w:cs="Arial" w:hint="eastAsia"/>
                <w:sz w:val="21"/>
                <w:szCs w:val="21"/>
                <w:lang w:bidi="ar"/>
              </w:rPr>
              <w:t>公里范围内有顺</w:t>
            </w:r>
            <w:r>
              <w:rPr>
                <w:rFonts w:ascii="Arial" w:eastAsia="仿宋" w:hAnsi="Arial" w:cs="Arial" w:hint="eastAsia"/>
                <w:sz w:val="21"/>
                <w:szCs w:val="21"/>
                <w:lang w:bidi="ar"/>
              </w:rPr>
              <w:t>25</w:t>
            </w:r>
            <w:r>
              <w:rPr>
                <w:rFonts w:ascii="Arial" w:eastAsia="仿宋" w:hAnsi="Arial" w:cs="Arial" w:hint="eastAsia"/>
                <w:sz w:val="21"/>
                <w:szCs w:val="21"/>
                <w:lang w:bidi="ar"/>
              </w:rPr>
              <w:t>路、顺</w:t>
            </w:r>
            <w:r>
              <w:rPr>
                <w:rFonts w:ascii="Arial" w:eastAsia="仿宋" w:hAnsi="Arial" w:cs="Arial" w:hint="eastAsia"/>
                <w:sz w:val="21"/>
                <w:szCs w:val="21"/>
                <w:lang w:bidi="ar"/>
              </w:rPr>
              <w:t>42</w:t>
            </w:r>
            <w:r>
              <w:rPr>
                <w:rFonts w:ascii="Arial" w:eastAsia="仿宋" w:hAnsi="Arial" w:cs="Arial" w:hint="eastAsia"/>
                <w:sz w:val="21"/>
                <w:szCs w:val="21"/>
                <w:lang w:bidi="ar"/>
              </w:rPr>
              <w:t>路、顺</w:t>
            </w:r>
            <w:r>
              <w:rPr>
                <w:rFonts w:ascii="Arial" w:eastAsia="仿宋" w:hAnsi="Arial" w:cs="Arial" w:hint="eastAsia"/>
                <w:sz w:val="21"/>
                <w:szCs w:val="21"/>
                <w:lang w:bidi="ar"/>
              </w:rPr>
              <w:t>49</w:t>
            </w:r>
            <w:r>
              <w:rPr>
                <w:rFonts w:ascii="Arial" w:eastAsia="仿宋" w:hAnsi="Arial" w:cs="Arial" w:hint="eastAsia"/>
                <w:sz w:val="21"/>
                <w:szCs w:val="21"/>
                <w:lang w:bidi="ar"/>
              </w:rPr>
              <w:t>路、顺</w:t>
            </w:r>
            <w:r>
              <w:rPr>
                <w:rFonts w:ascii="Arial" w:eastAsia="仿宋" w:hAnsi="Arial" w:cs="Arial" w:hint="eastAsia"/>
                <w:sz w:val="21"/>
                <w:szCs w:val="21"/>
                <w:lang w:bidi="ar"/>
              </w:rPr>
              <w:t>69</w:t>
            </w:r>
            <w:r>
              <w:rPr>
                <w:rFonts w:ascii="Arial" w:eastAsia="仿宋" w:hAnsi="Arial" w:cs="Arial" w:hint="eastAsia"/>
                <w:sz w:val="21"/>
                <w:szCs w:val="21"/>
                <w:lang w:bidi="ar"/>
              </w:rPr>
              <w:t>路等公交线路，区域内交通一般，区域间通达性较差，综合评价交通便捷度较差。</w:t>
            </w:r>
          </w:p>
        </w:tc>
        <w:tc>
          <w:tcPr>
            <w:tcW w:w="709" w:type="dxa"/>
            <w:vAlign w:val="center"/>
          </w:tcPr>
          <w:p w14:paraId="1883E5A1"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较差</w:t>
            </w:r>
          </w:p>
        </w:tc>
        <w:tc>
          <w:tcPr>
            <w:tcW w:w="823" w:type="dxa"/>
            <w:vAlign w:val="center"/>
          </w:tcPr>
          <w:p w14:paraId="170D0677"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-1.65 %</w:t>
            </w:r>
          </w:p>
        </w:tc>
      </w:tr>
      <w:tr w:rsidR="0062768B" w14:paraId="2A4910E0" w14:textId="77777777">
        <w:trPr>
          <w:cantSplit/>
          <w:jc w:val="center"/>
        </w:trPr>
        <w:tc>
          <w:tcPr>
            <w:tcW w:w="428" w:type="dxa"/>
            <w:vAlign w:val="center"/>
          </w:tcPr>
          <w:p w14:paraId="3081139F"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sz w:val="21"/>
                <w:szCs w:val="21"/>
              </w:rPr>
              <w:t>）</w:t>
            </w:r>
          </w:p>
        </w:tc>
        <w:tc>
          <w:tcPr>
            <w:tcW w:w="2265" w:type="dxa"/>
            <w:vAlign w:val="center"/>
          </w:tcPr>
          <w:p w14:paraId="62DA907A"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区域土地利用方向</w:t>
            </w:r>
          </w:p>
        </w:tc>
        <w:tc>
          <w:tcPr>
            <w:tcW w:w="5150" w:type="dxa"/>
            <w:vAlign w:val="center"/>
          </w:tcPr>
          <w:p w14:paraId="75E590B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lang w:bidi="ar"/>
              </w:rPr>
              <w:t>估价对象周边有部分其他用途用地，基本不影响本宗地。</w:t>
            </w:r>
          </w:p>
        </w:tc>
        <w:tc>
          <w:tcPr>
            <w:tcW w:w="709" w:type="dxa"/>
            <w:vAlign w:val="center"/>
          </w:tcPr>
          <w:p w14:paraId="02EE2BCE"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较好</w:t>
            </w:r>
          </w:p>
        </w:tc>
        <w:tc>
          <w:tcPr>
            <w:tcW w:w="823" w:type="dxa"/>
            <w:vAlign w:val="center"/>
          </w:tcPr>
          <w:p w14:paraId="0613379C"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0.90%</w:t>
            </w:r>
          </w:p>
        </w:tc>
      </w:tr>
      <w:tr w:rsidR="0062768B" w14:paraId="27A5ED1E" w14:textId="77777777">
        <w:trPr>
          <w:cantSplit/>
          <w:jc w:val="center"/>
        </w:trPr>
        <w:tc>
          <w:tcPr>
            <w:tcW w:w="428" w:type="dxa"/>
            <w:vAlign w:val="center"/>
          </w:tcPr>
          <w:p w14:paraId="50192A7F"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sz w:val="21"/>
                <w:szCs w:val="21"/>
              </w:rPr>
              <w:t>）</w:t>
            </w:r>
          </w:p>
        </w:tc>
        <w:tc>
          <w:tcPr>
            <w:tcW w:w="2265" w:type="dxa"/>
            <w:vAlign w:val="center"/>
          </w:tcPr>
          <w:p w14:paraId="70801F84"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临街宽度和深度</w:t>
            </w:r>
          </w:p>
        </w:tc>
        <w:tc>
          <w:tcPr>
            <w:tcW w:w="5150" w:type="dxa"/>
            <w:vAlign w:val="center"/>
          </w:tcPr>
          <w:p w14:paraId="7E45F725"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临街宽度及深度比例一般。</w:t>
            </w:r>
          </w:p>
        </w:tc>
        <w:tc>
          <w:tcPr>
            <w:tcW w:w="709" w:type="dxa"/>
            <w:vAlign w:val="center"/>
          </w:tcPr>
          <w:p w14:paraId="5D2751BB"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rPr>
              <w:t>一般</w:t>
            </w:r>
          </w:p>
        </w:tc>
        <w:tc>
          <w:tcPr>
            <w:tcW w:w="823" w:type="dxa"/>
            <w:vAlign w:val="center"/>
          </w:tcPr>
          <w:p w14:paraId="4877668C"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62768B" w14:paraId="00C15B17" w14:textId="77777777">
        <w:trPr>
          <w:cantSplit/>
          <w:jc w:val="center"/>
        </w:trPr>
        <w:tc>
          <w:tcPr>
            <w:tcW w:w="428" w:type="dxa"/>
            <w:vAlign w:val="center"/>
          </w:tcPr>
          <w:p w14:paraId="23864CBA"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5</w:t>
            </w:r>
            <w:r>
              <w:rPr>
                <w:rFonts w:ascii="Arial" w:eastAsia="仿宋" w:hAnsi="Arial" w:cs="Arial"/>
                <w:sz w:val="21"/>
                <w:szCs w:val="21"/>
              </w:rPr>
              <w:t>）</w:t>
            </w:r>
          </w:p>
        </w:tc>
        <w:tc>
          <w:tcPr>
            <w:tcW w:w="2265" w:type="dxa"/>
            <w:vAlign w:val="center"/>
          </w:tcPr>
          <w:p w14:paraId="723A3137"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临街道路状况</w:t>
            </w:r>
          </w:p>
        </w:tc>
        <w:tc>
          <w:tcPr>
            <w:tcW w:w="5150" w:type="dxa"/>
            <w:vAlign w:val="center"/>
          </w:tcPr>
          <w:p w14:paraId="3D7F0D48"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lang w:bidi="ar"/>
              </w:rPr>
              <w:t>估价对象毗邻</w:t>
            </w:r>
            <w:r>
              <w:rPr>
                <w:rFonts w:ascii="Arial" w:eastAsia="仿宋" w:hAnsi="Arial" w:cs="Arial" w:hint="eastAsia"/>
                <w:sz w:val="21"/>
                <w:szCs w:val="21"/>
                <w:lang w:bidi="ar"/>
              </w:rPr>
              <w:t>城市主干道——</w:t>
            </w:r>
            <w:proofErr w:type="gramStart"/>
            <w:r>
              <w:rPr>
                <w:rFonts w:ascii="Arial" w:eastAsia="仿宋" w:hAnsi="Arial" w:cs="Arial" w:hint="eastAsia"/>
                <w:sz w:val="21"/>
                <w:szCs w:val="21"/>
                <w:lang w:bidi="ar"/>
              </w:rPr>
              <w:t>火寺路</w:t>
            </w:r>
            <w:proofErr w:type="gramEnd"/>
          </w:p>
        </w:tc>
        <w:tc>
          <w:tcPr>
            <w:tcW w:w="709" w:type="dxa"/>
            <w:vAlign w:val="center"/>
          </w:tcPr>
          <w:p w14:paraId="4E2D5833"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较好</w:t>
            </w:r>
          </w:p>
        </w:tc>
        <w:tc>
          <w:tcPr>
            <w:tcW w:w="823" w:type="dxa"/>
            <w:vAlign w:val="center"/>
          </w:tcPr>
          <w:p w14:paraId="3C9D7C96"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0.60%</w:t>
            </w:r>
          </w:p>
        </w:tc>
      </w:tr>
      <w:tr w:rsidR="0062768B" w14:paraId="37BA7CF2" w14:textId="77777777">
        <w:trPr>
          <w:cantSplit/>
          <w:jc w:val="center"/>
        </w:trPr>
        <w:tc>
          <w:tcPr>
            <w:tcW w:w="428" w:type="dxa"/>
            <w:vAlign w:val="center"/>
          </w:tcPr>
          <w:p w14:paraId="14D0379B"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6</w:t>
            </w:r>
            <w:r>
              <w:rPr>
                <w:rFonts w:ascii="Arial" w:eastAsia="仿宋" w:hAnsi="Arial" w:cs="Arial"/>
                <w:sz w:val="21"/>
                <w:szCs w:val="21"/>
              </w:rPr>
              <w:t>）</w:t>
            </w:r>
          </w:p>
        </w:tc>
        <w:tc>
          <w:tcPr>
            <w:tcW w:w="2265" w:type="dxa"/>
            <w:vAlign w:val="center"/>
          </w:tcPr>
          <w:p w14:paraId="12F1FC45"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宗地形状及可利用程度</w:t>
            </w:r>
          </w:p>
        </w:tc>
        <w:tc>
          <w:tcPr>
            <w:tcW w:w="5150" w:type="dxa"/>
            <w:vAlign w:val="center"/>
          </w:tcPr>
          <w:p w14:paraId="6867A291"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rPr>
              <w:t>宗地形状规则，可利用程度好</w:t>
            </w:r>
            <w:r>
              <w:rPr>
                <w:rFonts w:ascii="Arial" w:eastAsia="仿宋" w:hAnsi="Arial" w:cs="Arial"/>
                <w:sz w:val="21"/>
                <w:szCs w:val="21"/>
                <w:lang w:bidi="ar"/>
              </w:rPr>
              <w:t>。</w:t>
            </w:r>
          </w:p>
        </w:tc>
        <w:tc>
          <w:tcPr>
            <w:tcW w:w="709" w:type="dxa"/>
            <w:vAlign w:val="center"/>
          </w:tcPr>
          <w:p w14:paraId="6AD47F69"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好</w:t>
            </w:r>
          </w:p>
        </w:tc>
        <w:tc>
          <w:tcPr>
            <w:tcW w:w="823" w:type="dxa"/>
            <w:vAlign w:val="center"/>
          </w:tcPr>
          <w:p w14:paraId="7528C27F"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0.74%</w:t>
            </w:r>
          </w:p>
        </w:tc>
      </w:tr>
      <w:tr w:rsidR="0062768B" w14:paraId="5CB3AA9A" w14:textId="77777777">
        <w:trPr>
          <w:cantSplit/>
          <w:jc w:val="center"/>
        </w:trPr>
        <w:tc>
          <w:tcPr>
            <w:tcW w:w="428" w:type="dxa"/>
            <w:vAlign w:val="center"/>
          </w:tcPr>
          <w:p w14:paraId="08581EAB"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7</w:t>
            </w:r>
            <w:r>
              <w:rPr>
                <w:rFonts w:ascii="Arial" w:eastAsia="仿宋" w:hAnsi="Arial" w:cs="Arial"/>
                <w:sz w:val="21"/>
                <w:szCs w:val="21"/>
              </w:rPr>
              <w:t>）</w:t>
            </w:r>
          </w:p>
        </w:tc>
        <w:tc>
          <w:tcPr>
            <w:tcW w:w="2265" w:type="dxa"/>
            <w:vAlign w:val="center"/>
          </w:tcPr>
          <w:p w14:paraId="379D35ED"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公共服务设施状况</w:t>
            </w:r>
          </w:p>
        </w:tc>
        <w:tc>
          <w:tcPr>
            <w:tcW w:w="5150" w:type="dxa"/>
            <w:vAlign w:val="center"/>
          </w:tcPr>
          <w:p w14:paraId="252A9A98"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rPr>
              <w:t>估价对象周边</w:t>
            </w:r>
            <w:r>
              <w:rPr>
                <w:rFonts w:ascii="Arial" w:eastAsia="仿宋" w:hAnsi="Arial" w:cs="Arial" w:hint="eastAsia"/>
                <w:sz w:val="21"/>
                <w:szCs w:val="21"/>
              </w:rPr>
              <w:t>2</w:t>
            </w:r>
            <w:r>
              <w:rPr>
                <w:rFonts w:ascii="Arial" w:eastAsia="仿宋" w:hAnsi="Arial" w:cs="Arial" w:hint="eastAsia"/>
                <w:sz w:val="21"/>
                <w:szCs w:val="21"/>
              </w:rPr>
              <w:t>公里范围内有北京超天商贸中心、</w:t>
            </w:r>
            <w:proofErr w:type="gramStart"/>
            <w:r>
              <w:rPr>
                <w:rFonts w:ascii="Arial" w:eastAsia="仿宋" w:hAnsi="Arial" w:cs="Arial" w:hint="eastAsia"/>
                <w:sz w:val="21"/>
                <w:szCs w:val="21"/>
              </w:rPr>
              <w:t>隆华购物中心</w:t>
            </w:r>
            <w:proofErr w:type="gramEnd"/>
            <w:r>
              <w:rPr>
                <w:rFonts w:ascii="Arial" w:eastAsia="仿宋" w:hAnsi="Arial" w:cs="Arial" w:hint="eastAsia"/>
                <w:sz w:val="21"/>
                <w:szCs w:val="21"/>
              </w:rPr>
              <w:t>、社区商业街、</w:t>
            </w:r>
            <w:proofErr w:type="gramStart"/>
            <w:r>
              <w:rPr>
                <w:rFonts w:ascii="Arial" w:eastAsia="仿宋" w:hAnsi="Arial" w:cs="Arial" w:hint="eastAsia"/>
                <w:sz w:val="21"/>
                <w:szCs w:val="21"/>
              </w:rPr>
              <w:t>世纪华</w:t>
            </w:r>
            <w:proofErr w:type="gramEnd"/>
            <w:r>
              <w:rPr>
                <w:rFonts w:ascii="Arial" w:eastAsia="仿宋" w:hAnsi="Arial" w:cs="Arial" w:hint="eastAsia"/>
                <w:sz w:val="21"/>
                <w:szCs w:val="21"/>
              </w:rPr>
              <w:t>联超市等商业服务设施；北京农商银行张喜庄分理处、北京</w:t>
            </w:r>
            <w:proofErr w:type="gramStart"/>
            <w:r>
              <w:rPr>
                <w:rFonts w:ascii="Arial" w:eastAsia="仿宋" w:hAnsi="Arial" w:cs="Arial" w:hint="eastAsia"/>
                <w:sz w:val="21"/>
                <w:szCs w:val="21"/>
              </w:rPr>
              <w:t>顺义银</w:t>
            </w:r>
            <w:proofErr w:type="gramEnd"/>
            <w:r>
              <w:rPr>
                <w:rFonts w:ascii="Arial" w:eastAsia="仿宋" w:hAnsi="Arial" w:cs="Arial" w:hint="eastAsia"/>
                <w:sz w:val="21"/>
                <w:szCs w:val="21"/>
              </w:rPr>
              <w:t>座村镇银行高丽营支行、中国邮政储蓄银行</w:t>
            </w:r>
            <w:proofErr w:type="gramStart"/>
            <w:r>
              <w:rPr>
                <w:rFonts w:ascii="Arial" w:eastAsia="仿宋" w:hAnsi="Arial" w:cs="Arial" w:hint="eastAsia"/>
                <w:sz w:val="21"/>
                <w:szCs w:val="21"/>
              </w:rPr>
              <w:t>张喜庄邮政储蓄</w:t>
            </w:r>
            <w:proofErr w:type="gramEnd"/>
            <w:r>
              <w:rPr>
                <w:rFonts w:ascii="Arial" w:eastAsia="仿宋" w:hAnsi="Arial" w:cs="Arial" w:hint="eastAsia"/>
                <w:sz w:val="21"/>
                <w:szCs w:val="21"/>
              </w:rPr>
              <w:t>等金融机构；高丽营第一幼儿园、高丽营第二小学、高丽营第二中学等教育资源；北京顺义天苑医院、北京市顺义区高丽营镇</w:t>
            </w:r>
            <w:proofErr w:type="gramStart"/>
            <w:r>
              <w:rPr>
                <w:rFonts w:ascii="Arial" w:eastAsia="仿宋" w:hAnsi="Arial" w:cs="Arial" w:hint="eastAsia"/>
                <w:sz w:val="21"/>
                <w:szCs w:val="21"/>
              </w:rPr>
              <w:t>张喜庄卫生院</w:t>
            </w:r>
            <w:proofErr w:type="gramEnd"/>
            <w:r>
              <w:rPr>
                <w:rFonts w:ascii="Arial" w:eastAsia="仿宋" w:hAnsi="Arial" w:cs="Arial" w:hint="eastAsia"/>
                <w:sz w:val="21"/>
                <w:szCs w:val="21"/>
              </w:rPr>
              <w:t>、北京市顺义区高丽营镇河津营村卫生室等医疗设施，公共配套设施齐备情况一般。</w:t>
            </w:r>
          </w:p>
        </w:tc>
        <w:tc>
          <w:tcPr>
            <w:tcW w:w="709" w:type="dxa"/>
            <w:vAlign w:val="center"/>
          </w:tcPr>
          <w:p w14:paraId="6E79765C"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一般</w:t>
            </w:r>
          </w:p>
        </w:tc>
        <w:tc>
          <w:tcPr>
            <w:tcW w:w="823" w:type="dxa"/>
            <w:vAlign w:val="center"/>
          </w:tcPr>
          <w:p w14:paraId="44BE89A7"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62768B" w14:paraId="79312CB8" w14:textId="77777777">
        <w:trPr>
          <w:cantSplit/>
          <w:jc w:val="center"/>
        </w:trPr>
        <w:tc>
          <w:tcPr>
            <w:tcW w:w="428" w:type="dxa"/>
            <w:vAlign w:val="center"/>
          </w:tcPr>
          <w:p w14:paraId="73A4B51A"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8</w:t>
            </w:r>
            <w:r>
              <w:rPr>
                <w:rFonts w:ascii="Arial" w:eastAsia="仿宋" w:hAnsi="Arial" w:cs="Arial"/>
                <w:sz w:val="21"/>
                <w:szCs w:val="21"/>
              </w:rPr>
              <w:t>）</w:t>
            </w:r>
          </w:p>
        </w:tc>
        <w:tc>
          <w:tcPr>
            <w:tcW w:w="2265" w:type="dxa"/>
            <w:vAlign w:val="center"/>
          </w:tcPr>
          <w:p w14:paraId="10C49A83"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基础设施完备状况</w:t>
            </w:r>
          </w:p>
        </w:tc>
        <w:tc>
          <w:tcPr>
            <w:tcW w:w="5150" w:type="dxa"/>
            <w:vAlign w:val="center"/>
          </w:tcPr>
          <w:p w14:paraId="61685500"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估价对象所在区域内基础设施配套条件达到</w:t>
            </w:r>
            <w:r>
              <w:rPr>
                <w:rFonts w:ascii="Arial" w:eastAsia="仿宋" w:hAnsi="Arial" w:cs="Arial"/>
                <w:sz w:val="21"/>
                <w:szCs w:val="21"/>
              </w:rPr>
              <w:t>“</w:t>
            </w:r>
            <w:r>
              <w:rPr>
                <w:rFonts w:ascii="Arial" w:eastAsia="仿宋" w:hAnsi="Arial" w:cs="Arial"/>
                <w:sz w:val="21"/>
                <w:szCs w:val="21"/>
              </w:rPr>
              <w:t>七通</w:t>
            </w:r>
            <w:r>
              <w:rPr>
                <w:rFonts w:ascii="Arial" w:eastAsia="仿宋" w:hAnsi="Arial" w:cs="Arial"/>
                <w:sz w:val="21"/>
                <w:szCs w:val="21"/>
              </w:rPr>
              <w:t>”</w:t>
            </w:r>
          </w:p>
        </w:tc>
        <w:tc>
          <w:tcPr>
            <w:tcW w:w="709" w:type="dxa"/>
            <w:vAlign w:val="center"/>
          </w:tcPr>
          <w:p w14:paraId="7A91D0CA"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好</w:t>
            </w:r>
          </w:p>
        </w:tc>
        <w:tc>
          <w:tcPr>
            <w:tcW w:w="823" w:type="dxa"/>
            <w:vAlign w:val="center"/>
          </w:tcPr>
          <w:p w14:paraId="4703D5E2"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1.2%</w:t>
            </w:r>
          </w:p>
        </w:tc>
      </w:tr>
      <w:tr w:rsidR="0062768B" w14:paraId="650B6F7F" w14:textId="77777777">
        <w:trPr>
          <w:cantSplit/>
          <w:jc w:val="center"/>
        </w:trPr>
        <w:tc>
          <w:tcPr>
            <w:tcW w:w="428" w:type="dxa"/>
            <w:vAlign w:val="center"/>
          </w:tcPr>
          <w:p w14:paraId="6E8D8514"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9</w:t>
            </w:r>
            <w:r>
              <w:rPr>
                <w:rFonts w:ascii="Arial" w:eastAsia="仿宋" w:hAnsi="Arial" w:cs="Arial"/>
                <w:sz w:val="21"/>
                <w:szCs w:val="21"/>
              </w:rPr>
              <w:t>）</w:t>
            </w:r>
          </w:p>
        </w:tc>
        <w:tc>
          <w:tcPr>
            <w:tcW w:w="2265" w:type="dxa"/>
            <w:vAlign w:val="center"/>
          </w:tcPr>
          <w:p w14:paraId="46374262"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自然和人文环境状况</w:t>
            </w:r>
          </w:p>
        </w:tc>
        <w:tc>
          <w:tcPr>
            <w:tcW w:w="5150" w:type="dxa"/>
            <w:vAlign w:val="center"/>
          </w:tcPr>
          <w:p w14:paraId="50FA75A7"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rPr>
              <w:t>估价对位于北京市顺义区高丽营镇夏县营村，周边</w:t>
            </w:r>
            <w:r>
              <w:rPr>
                <w:rFonts w:ascii="Arial" w:eastAsia="仿宋" w:hAnsi="Arial" w:cs="Arial" w:hint="eastAsia"/>
                <w:sz w:val="21"/>
                <w:szCs w:val="21"/>
              </w:rPr>
              <w:t>2</w:t>
            </w:r>
            <w:r>
              <w:rPr>
                <w:rFonts w:ascii="Arial" w:eastAsia="仿宋" w:hAnsi="Arial" w:cs="Arial" w:hint="eastAsia"/>
                <w:sz w:val="21"/>
                <w:szCs w:val="21"/>
              </w:rPr>
              <w:t>公里南郎中休闲公园、口袋公园、方氏渠等自然环境；无人文环境；综合评价环境状况一般。</w:t>
            </w:r>
          </w:p>
        </w:tc>
        <w:tc>
          <w:tcPr>
            <w:tcW w:w="709" w:type="dxa"/>
            <w:vAlign w:val="center"/>
          </w:tcPr>
          <w:p w14:paraId="33806F85"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823" w:type="dxa"/>
            <w:vAlign w:val="center"/>
          </w:tcPr>
          <w:p w14:paraId="614311B6"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62768B" w14:paraId="7DE091DC" w14:textId="77777777">
        <w:trPr>
          <w:cantSplit/>
          <w:jc w:val="center"/>
        </w:trPr>
        <w:tc>
          <w:tcPr>
            <w:tcW w:w="8552" w:type="dxa"/>
            <w:gridSpan w:val="4"/>
            <w:vAlign w:val="center"/>
          </w:tcPr>
          <w:p w14:paraId="02C14910"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合计（</w:t>
            </w:r>
            <w:r>
              <w:rPr>
                <w:rFonts w:ascii="Arial" w:eastAsia="仿宋" w:hAnsi="Arial" w:cs="Arial"/>
                <w:sz w:val="21"/>
                <w:szCs w:val="21"/>
              </w:rPr>
              <w:t>∑K</w:t>
            </w:r>
            <w:r>
              <w:rPr>
                <w:rFonts w:ascii="Arial" w:eastAsia="仿宋" w:hAnsi="Arial" w:cs="Arial"/>
                <w:sz w:val="21"/>
                <w:szCs w:val="21"/>
                <w:vertAlign w:val="subscript"/>
              </w:rPr>
              <w:t>i</w:t>
            </w:r>
            <w:r>
              <w:rPr>
                <w:rFonts w:ascii="Arial" w:eastAsia="仿宋" w:hAnsi="Arial" w:cs="Arial"/>
                <w:sz w:val="21"/>
                <w:szCs w:val="21"/>
              </w:rPr>
              <w:t>）</w:t>
            </w:r>
          </w:p>
        </w:tc>
        <w:tc>
          <w:tcPr>
            <w:tcW w:w="823" w:type="dxa"/>
          </w:tcPr>
          <w:p w14:paraId="4C1C89D5"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-0.46%</w:t>
            </w:r>
          </w:p>
        </w:tc>
      </w:tr>
      <w:tr w:rsidR="0062768B" w14:paraId="528F7FAE" w14:textId="77777777">
        <w:trPr>
          <w:cantSplit/>
          <w:jc w:val="center"/>
        </w:trPr>
        <w:tc>
          <w:tcPr>
            <w:tcW w:w="8552" w:type="dxa"/>
            <w:gridSpan w:val="4"/>
            <w:vAlign w:val="center"/>
          </w:tcPr>
          <w:p w14:paraId="2B48A1D4"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因素修正系数（</w:t>
            </w:r>
            <w:r>
              <w:rPr>
                <w:rFonts w:ascii="Arial" w:eastAsia="仿宋" w:hAnsi="Arial" w:cs="Arial"/>
                <w:sz w:val="21"/>
                <w:szCs w:val="21"/>
              </w:rPr>
              <w:t>1+∑K</w:t>
            </w:r>
            <w:r>
              <w:rPr>
                <w:rFonts w:ascii="Arial" w:eastAsia="仿宋" w:hAnsi="Arial" w:cs="Arial"/>
                <w:sz w:val="21"/>
                <w:szCs w:val="21"/>
                <w:vertAlign w:val="subscript"/>
              </w:rPr>
              <w:t>i</w:t>
            </w:r>
            <w:r>
              <w:rPr>
                <w:rFonts w:ascii="Arial" w:eastAsia="仿宋" w:hAnsi="Arial" w:cs="Arial"/>
                <w:sz w:val="21"/>
                <w:szCs w:val="21"/>
              </w:rPr>
              <w:t>）</w:t>
            </w:r>
          </w:p>
        </w:tc>
        <w:tc>
          <w:tcPr>
            <w:tcW w:w="823" w:type="dxa"/>
          </w:tcPr>
          <w:p w14:paraId="1C751411"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0.9954</w:t>
            </w:r>
          </w:p>
        </w:tc>
      </w:tr>
    </w:tbl>
    <w:p w14:paraId="66221631" w14:textId="77777777" w:rsidR="0062768B" w:rsidRDefault="0062768B">
      <w:pPr>
        <w:adjustRightInd/>
        <w:spacing w:line="300" w:lineRule="auto"/>
        <w:ind w:firstLineChars="200" w:firstLine="560"/>
        <w:rPr>
          <w:rFonts w:ascii="Arial" w:eastAsia="仿宋" w:hAnsi="Arial" w:cs="Arial"/>
          <w:sz w:val="28"/>
          <w:szCs w:val="28"/>
        </w:rPr>
      </w:pPr>
    </w:p>
    <w:p w14:paraId="44BA49CA"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G.</w:t>
      </w:r>
      <w:r>
        <w:rPr>
          <w:rFonts w:ascii="Arial" w:eastAsia="仿宋" w:hAnsi="Arial" w:cs="Arial"/>
          <w:sz w:val="28"/>
          <w:szCs w:val="28"/>
        </w:rPr>
        <w:t>估价</w:t>
      </w:r>
      <w:proofErr w:type="gramStart"/>
      <w:r>
        <w:rPr>
          <w:rFonts w:ascii="Arial" w:eastAsia="仿宋" w:hAnsi="Arial" w:cs="Arial"/>
          <w:sz w:val="28"/>
          <w:szCs w:val="28"/>
        </w:rPr>
        <w:t>对象楼</w:t>
      </w:r>
      <w:proofErr w:type="gramEnd"/>
      <w:r>
        <w:rPr>
          <w:rFonts w:ascii="Arial" w:eastAsia="仿宋" w:hAnsi="Arial" w:cs="Arial"/>
          <w:sz w:val="28"/>
          <w:szCs w:val="28"/>
        </w:rPr>
        <w:t>面熟地价</w:t>
      </w:r>
    </w:p>
    <w:p w14:paraId="39ADAB1E"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商业</w:t>
      </w:r>
      <w:proofErr w:type="gramStart"/>
      <w:r>
        <w:rPr>
          <w:rFonts w:ascii="Arial" w:eastAsia="仿宋" w:hAnsi="Arial" w:cs="Arial"/>
          <w:sz w:val="28"/>
          <w:szCs w:val="28"/>
        </w:rPr>
        <w:t>用途楼</w:t>
      </w:r>
      <w:proofErr w:type="gramEnd"/>
      <w:r>
        <w:rPr>
          <w:rFonts w:ascii="Arial" w:eastAsia="仿宋" w:hAnsi="Arial" w:cs="Arial"/>
          <w:sz w:val="28"/>
          <w:szCs w:val="28"/>
        </w:rPr>
        <w:t>面熟地价</w:t>
      </w:r>
    </w:p>
    <w:p w14:paraId="568A647B"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＝适用的基准地价</w:t>
      </w:r>
      <w:r>
        <w:rPr>
          <w:rFonts w:ascii="Arial" w:eastAsia="仿宋" w:hAnsi="Arial" w:cs="Arial"/>
          <w:sz w:val="28"/>
          <w:szCs w:val="28"/>
        </w:rPr>
        <w:t>×</w:t>
      </w:r>
      <w:r>
        <w:rPr>
          <w:rFonts w:ascii="Arial" w:eastAsia="仿宋" w:hAnsi="Arial" w:cs="Arial"/>
          <w:sz w:val="28"/>
          <w:szCs w:val="28"/>
        </w:rPr>
        <w:t>用途修正系数</w:t>
      </w:r>
      <w:r>
        <w:rPr>
          <w:rFonts w:ascii="Arial" w:eastAsia="仿宋" w:hAnsi="Arial" w:cs="Arial"/>
          <w:sz w:val="28"/>
          <w:szCs w:val="28"/>
        </w:rPr>
        <w:t>×</w:t>
      </w:r>
      <w:r>
        <w:rPr>
          <w:rFonts w:ascii="Arial" w:eastAsia="仿宋" w:hAnsi="Arial" w:cs="Arial"/>
          <w:sz w:val="28"/>
          <w:szCs w:val="28"/>
        </w:rPr>
        <w:t>期日修正系数</w:t>
      </w:r>
      <w:r>
        <w:rPr>
          <w:rFonts w:ascii="Arial" w:eastAsia="仿宋" w:hAnsi="Arial" w:cs="Arial"/>
          <w:sz w:val="28"/>
          <w:szCs w:val="28"/>
        </w:rPr>
        <w:t>×</w:t>
      </w:r>
      <w:r>
        <w:rPr>
          <w:rFonts w:ascii="Arial" w:eastAsia="仿宋" w:hAnsi="Arial" w:cs="Arial"/>
          <w:sz w:val="28"/>
          <w:szCs w:val="28"/>
        </w:rPr>
        <w:t>年期修正系数</w:t>
      </w:r>
      <w:r>
        <w:rPr>
          <w:rFonts w:ascii="Arial" w:eastAsia="仿宋" w:hAnsi="Arial" w:cs="Arial"/>
          <w:sz w:val="28"/>
          <w:szCs w:val="28"/>
        </w:rPr>
        <w:t>×</w:t>
      </w:r>
      <w:r>
        <w:rPr>
          <w:rFonts w:ascii="Arial" w:eastAsia="仿宋" w:hAnsi="Arial" w:cs="Arial"/>
          <w:sz w:val="28"/>
          <w:szCs w:val="28"/>
        </w:rPr>
        <w:t>容积率修正系数</w:t>
      </w:r>
      <w:r>
        <w:rPr>
          <w:rFonts w:ascii="Arial" w:eastAsia="仿宋" w:hAnsi="Arial" w:cs="Arial"/>
          <w:sz w:val="28"/>
          <w:szCs w:val="28"/>
        </w:rPr>
        <w:t>×</w:t>
      </w:r>
      <w:r>
        <w:rPr>
          <w:rFonts w:ascii="Arial" w:eastAsia="仿宋" w:hAnsi="Arial" w:cs="Arial"/>
          <w:sz w:val="28"/>
          <w:szCs w:val="28"/>
        </w:rPr>
        <w:t>因素修正系数</w:t>
      </w:r>
    </w:p>
    <w:p w14:paraId="163DA092"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w:t>
      </w:r>
      <w:r>
        <w:rPr>
          <w:rFonts w:ascii="Arial" w:eastAsia="仿宋" w:hAnsi="Arial" w:cs="Arial"/>
          <w:sz w:val="28"/>
          <w:szCs w:val="28"/>
        </w:rPr>
        <w:t>5320+30</w:t>
      </w:r>
      <w:r>
        <w:rPr>
          <w:rFonts w:ascii="Arial" w:eastAsia="仿宋" w:hAnsi="Arial" w:cs="Arial"/>
          <w:sz w:val="28"/>
          <w:szCs w:val="28"/>
        </w:rPr>
        <w:t>）</w:t>
      </w:r>
      <w:r>
        <w:rPr>
          <w:rFonts w:ascii="Arial" w:eastAsia="仿宋" w:hAnsi="Arial" w:cs="Arial"/>
          <w:sz w:val="28"/>
          <w:szCs w:val="28"/>
        </w:rPr>
        <w:t>×0.8×1.0380×1×1.1528×0.9954</w:t>
      </w:r>
    </w:p>
    <w:p w14:paraId="5545CB5E" w14:textId="77777777" w:rsidR="0062768B" w:rsidRDefault="00136729">
      <w:pPr>
        <w:spacing w:line="300" w:lineRule="auto"/>
        <w:ind w:firstLineChars="200" w:firstLine="560"/>
        <w:jc w:val="both"/>
        <w:rPr>
          <w:rFonts w:ascii="Arial" w:eastAsia="仿宋_GB2312" w:hAnsi="Arial" w:cs="Arial"/>
          <w:sz w:val="28"/>
        </w:rPr>
      </w:pPr>
      <w:r>
        <w:rPr>
          <w:rFonts w:ascii="Arial" w:eastAsia="仿宋" w:hAnsi="Arial" w:cs="Arial"/>
          <w:sz w:val="28"/>
          <w:szCs w:val="28"/>
        </w:rPr>
        <w:t>＝</w:t>
      </w:r>
      <w:r>
        <w:rPr>
          <w:rFonts w:ascii="Arial" w:eastAsia="仿宋" w:hAnsi="Arial" w:cs="Arial"/>
          <w:sz w:val="28"/>
          <w:szCs w:val="28"/>
        </w:rPr>
        <w:t>5098</w:t>
      </w:r>
      <w:r>
        <w:rPr>
          <w:rFonts w:ascii="Arial" w:eastAsia="仿宋" w:hAnsi="Arial" w:cs="Arial"/>
          <w:sz w:val="28"/>
          <w:szCs w:val="28"/>
        </w:rPr>
        <w:t>（元</w:t>
      </w:r>
      <w:r>
        <w:rPr>
          <w:rFonts w:ascii="Arial" w:eastAsia="仿宋" w:hAnsi="Arial" w:cs="Arial"/>
          <w:sz w:val="28"/>
          <w:szCs w:val="28"/>
        </w:rPr>
        <w:t>/</w:t>
      </w:r>
      <w:r>
        <w:rPr>
          <w:rFonts w:ascii="Arial" w:eastAsia="仿宋" w:hAnsi="Arial" w:cs="Arial"/>
          <w:sz w:val="28"/>
          <w:szCs w:val="28"/>
        </w:rPr>
        <w:t>平方米）</w:t>
      </w:r>
    </w:p>
    <w:p w14:paraId="7197B62E"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3</w:t>
      </w:r>
      <w:r>
        <w:rPr>
          <w:rFonts w:ascii="Arial" w:eastAsia="仿宋" w:hAnsi="Arial" w:cs="Arial"/>
          <w:sz w:val="28"/>
          <w:szCs w:val="28"/>
        </w:rPr>
        <w:t>）求取估价对象公共服务用地楼面熟地价</w:t>
      </w:r>
    </w:p>
    <w:p w14:paraId="6434E52A"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A.</w:t>
      </w:r>
      <w:r>
        <w:rPr>
          <w:rFonts w:ascii="Arial" w:eastAsia="仿宋" w:hAnsi="Arial" w:cs="Arial"/>
          <w:sz w:val="28"/>
          <w:szCs w:val="28"/>
        </w:rPr>
        <w:t>宗地适用基准地价水平的确定</w:t>
      </w:r>
    </w:p>
    <w:p w14:paraId="5C48702C"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A</w:t>
      </w:r>
      <w:r>
        <w:rPr>
          <w:rFonts w:ascii="Arial" w:eastAsia="仿宋" w:hAnsi="Arial" w:cs="Arial"/>
          <w:sz w:val="28"/>
          <w:szCs w:val="28"/>
        </w:rPr>
        <w:t>）根据《北京市基准地价更新成果》，估价对象公共服务相应用途基准地价参照《北京市区片基准地价表》确定。估价对象位于北京市顺义区</w:t>
      </w:r>
      <w:r>
        <w:rPr>
          <w:rFonts w:ascii="Arial" w:eastAsia="仿宋" w:hAnsi="Arial" w:cs="Arial" w:hint="eastAsia"/>
          <w:sz w:val="28"/>
          <w:szCs w:val="28"/>
        </w:rPr>
        <w:t>高丽营镇</w:t>
      </w:r>
      <w:r>
        <w:rPr>
          <w:rFonts w:ascii="Arial" w:eastAsia="仿宋" w:hAnsi="Arial" w:cs="Arial"/>
          <w:sz w:val="28"/>
          <w:szCs w:val="28"/>
        </w:rPr>
        <w:t>夏县营</w:t>
      </w:r>
      <w:r>
        <w:rPr>
          <w:rFonts w:ascii="Arial" w:eastAsia="仿宋" w:hAnsi="Arial" w:cs="Arial" w:hint="eastAsia"/>
          <w:sz w:val="28"/>
          <w:szCs w:val="28"/>
        </w:rPr>
        <w:t>村</w:t>
      </w:r>
      <w:r>
        <w:rPr>
          <w:rFonts w:ascii="Arial" w:eastAsia="仿宋" w:hAnsi="Arial" w:cs="Arial"/>
          <w:sz w:val="28"/>
          <w:szCs w:val="28"/>
        </w:rPr>
        <w:t>，土地级别为公共服务类</w:t>
      </w:r>
      <w:r>
        <w:rPr>
          <w:rFonts w:ascii="Arial" w:eastAsia="仿宋" w:hAnsi="Arial" w:cs="Arial" w:hint="eastAsia"/>
          <w:sz w:val="28"/>
          <w:szCs w:val="28"/>
        </w:rPr>
        <w:t>九</w:t>
      </w:r>
      <w:r>
        <w:rPr>
          <w:rFonts w:ascii="Arial" w:eastAsia="仿宋" w:hAnsi="Arial" w:cs="Arial"/>
          <w:sz w:val="28"/>
          <w:szCs w:val="28"/>
        </w:rPr>
        <w:t>级地价区，属公共服务用途</w:t>
      </w:r>
      <w:r>
        <w:rPr>
          <w:rFonts w:ascii="Arial" w:eastAsia="仿宋_GB2312" w:hAnsi="Arial" w:cs="Arial"/>
          <w:sz w:val="28"/>
        </w:rPr>
        <w:t>IX-</w:t>
      </w:r>
      <w:r>
        <w:rPr>
          <w:rFonts w:ascii="Arial" w:eastAsia="仿宋_GB2312" w:hAnsi="Arial" w:cs="Arial" w:hint="eastAsia"/>
          <w:sz w:val="28"/>
        </w:rPr>
        <w:t>顺</w:t>
      </w:r>
      <w:r>
        <w:rPr>
          <w:rFonts w:ascii="Arial" w:eastAsia="仿宋_GB2312" w:hAnsi="Arial" w:cs="Arial" w:hint="eastAsia"/>
          <w:sz w:val="28"/>
        </w:rPr>
        <w:t>5</w:t>
      </w:r>
      <w:r>
        <w:rPr>
          <w:rFonts w:ascii="Arial" w:eastAsia="仿宋" w:hAnsi="Arial" w:cs="Arial"/>
          <w:sz w:val="28"/>
          <w:szCs w:val="28"/>
        </w:rPr>
        <w:t>。北京市各用途</w:t>
      </w:r>
      <w:r>
        <w:rPr>
          <w:rFonts w:ascii="Arial" w:eastAsia="仿宋" w:hAnsi="Arial" w:cs="Arial" w:hint="eastAsia"/>
          <w:sz w:val="28"/>
          <w:szCs w:val="28"/>
        </w:rPr>
        <w:t>九</w:t>
      </w:r>
      <w:r>
        <w:rPr>
          <w:rFonts w:ascii="Arial" w:eastAsia="仿宋" w:hAnsi="Arial" w:cs="Arial"/>
          <w:sz w:val="28"/>
          <w:szCs w:val="28"/>
        </w:rPr>
        <w:t>级区片基准地价详见前述，即，估价对象所在公共服务用途</w:t>
      </w:r>
      <w:r>
        <w:rPr>
          <w:rFonts w:ascii="Arial" w:eastAsia="仿宋" w:hAnsi="Arial" w:cs="Arial" w:hint="eastAsia"/>
          <w:sz w:val="28"/>
          <w:szCs w:val="28"/>
        </w:rPr>
        <w:t>九</w:t>
      </w:r>
      <w:r>
        <w:rPr>
          <w:rFonts w:ascii="Arial" w:eastAsia="仿宋" w:hAnsi="Arial" w:cs="Arial"/>
          <w:sz w:val="28"/>
          <w:szCs w:val="28"/>
        </w:rPr>
        <w:t>级</w:t>
      </w:r>
      <w:r>
        <w:rPr>
          <w:rFonts w:ascii="Arial" w:eastAsia="仿宋_GB2312" w:hAnsi="Arial" w:cs="Arial"/>
          <w:sz w:val="28"/>
        </w:rPr>
        <w:t>IX-</w:t>
      </w:r>
      <w:r>
        <w:rPr>
          <w:rFonts w:ascii="Arial" w:eastAsia="仿宋_GB2312" w:hAnsi="Arial" w:cs="Arial" w:hint="eastAsia"/>
          <w:sz w:val="28"/>
        </w:rPr>
        <w:t>顺</w:t>
      </w:r>
      <w:r>
        <w:rPr>
          <w:rFonts w:ascii="Arial" w:eastAsia="仿宋_GB2312" w:hAnsi="Arial" w:cs="Arial" w:hint="eastAsia"/>
          <w:sz w:val="28"/>
        </w:rPr>
        <w:t>5</w:t>
      </w:r>
      <w:r>
        <w:rPr>
          <w:rFonts w:ascii="Arial" w:eastAsia="仿宋" w:hAnsi="Arial" w:cs="Arial"/>
          <w:sz w:val="28"/>
          <w:szCs w:val="28"/>
        </w:rPr>
        <w:t>区片的区片基准地价为</w:t>
      </w:r>
      <w:r>
        <w:rPr>
          <w:rFonts w:ascii="Arial" w:eastAsia="仿宋" w:hAnsi="Arial" w:cs="Arial"/>
          <w:sz w:val="28"/>
          <w:szCs w:val="28"/>
        </w:rPr>
        <w:t>3170</w:t>
      </w:r>
      <w:r>
        <w:rPr>
          <w:rFonts w:ascii="Arial" w:eastAsia="仿宋" w:hAnsi="Arial" w:cs="Arial"/>
          <w:sz w:val="28"/>
          <w:szCs w:val="28"/>
        </w:rPr>
        <w:t>元</w:t>
      </w:r>
      <w:r>
        <w:rPr>
          <w:rFonts w:ascii="Arial" w:eastAsia="仿宋" w:hAnsi="Arial" w:cs="Arial"/>
          <w:sz w:val="28"/>
          <w:szCs w:val="28"/>
        </w:rPr>
        <w:t>/</w:t>
      </w:r>
      <w:r>
        <w:rPr>
          <w:rFonts w:ascii="Arial" w:eastAsia="仿宋" w:hAnsi="Arial" w:cs="Arial"/>
          <w:sz w:val="28"/>
          <w:szCs w:val="28"/>
        </w:rPr>
        <w:t>平方米。</w:t>
      </w:r>
    </w:p>
    <w:p w14:paraId="620421BF"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B</w:t>
      </w:r>
      <w:r>
        <w:rPr>
          <w:rFonts w:ascii="Arial" w:eastAsia="仿宋" w:hAnsi="Arial" w:cs="Arial"/>
          <w:sz w:val="28"/>
          <w:szCs w:val="28"/>
        </w:rPr>
        <w:t>）土地开发程度修正</w:t>
      </w:r>
    </w:p>
    <w:p w14:paraId="538F8D74" w14:textId="5BA5BE6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估价对象设定宗地土地开发程度为</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sidR="00835791">
        <w:rPr>
          <w:rFonts w:ascii="仿宋_GB2312" w:eastAsia="仿宋_GB2312" w:hAnsi="Arial" w:hint="eastAsia"/>
          <w:sz w:val="28"/>
        </w:rPr>
        <w:t>（通路、通上水（自来水、中水）、通下水（雨水、污水）、通电、通燃气、通热力）</w:t>
      </w:r>
      <w:r>
        <w:rPr>
          <w:rFonts w:ascii="Arial" w:eastAsia="仿宋" w:hAnsi="Arial" w:cs="Arial"/>
          <w:sz w:val="28"/>
          <w:szCs w:val="28"/>
        </w:rPr>
        <w:t>，估价对象所在区域为</w:t>
      </w:r>
      <w:r>
        <w:rPr>
          <w:rFonts w:ascii="Arial" w:eastAsia="仿宋" w:hAnsi="Arial" w:cs="Arial" w:hint="eastAsia"/>
          <w:sz w:val="28"/>
          <w:szCs w:val="28"/>
        </w:rPr>
        <w:t>九</w:t>
      </w:r>
      <w:r>
        <w:rPr>
          <w:rFonts w:ascii="Arial" w:eastAsia="仿宋" w:hAnsi="Arial" w:cs="Arial"/>
          <w:sz w:val="28"/>
          <w:szCs w:val="28"/>
        </w:rPr>
        <w:t>级地价区，级别基准地价土地开发程度为</w:t>
      </w:r>
      <w:r>
        <w:rPr>
          <w:rFonts w:ascii="Arial" w:eastAsia="仿宋" w:hAnsi="Arial" w:cs="Arial"/>
          <w:sz w:val="28"/>
          <w:szCs w:val="28"/>
        </w:rPr>
        <w:t>“</w:t>
      </w:r>
      <w:r>
        <w:rPr>
          <w:rFonts w:ascii="Arial" w:eastAsia="仿宋" w:hAnsi="Arial" w:cs="Arial"/>
          <w:sz w:val="28"/>
          <w:szCs w:val="28"/>
        </w:rPr>
        <w:t>五通一平</w:t>
      </w:r>
      <w:r>
        <w:rPr>
          <w:rFonts w:ascii="Arial" w:eastAsia="仿宋" w:hAnsi="Arial" w:cs="Arial"/>
          <w:sz w:val="28"/>
          <w:szCs w:val="28"/>
        </w:rPr>
        <w:t>”</w:t>
      </w:r>
      <w:r>
        <w:rPr>
          <w:rFonts w:ascii="Arial" w:eastAsia="仿宋" w:hAnsi="Arial" w:cs="Arial"/>
          <w:sz w:val="28"/>
          <w:szCs w:val="28"/>
        </w:rPr>
        <w:t>（即通路、通电、通上水、通下水、通</w:t>
      </w:r>
      <w:r>
        <w:rPr>
          <w:rFonts w:ascii="Arial" w:eastAsia="仿宋" w:hAnsi="Arial" w:cs="Arial" w:hint="eastAsia"/>
          <w:sz w:val="28"/>
          <w:szCs w:val="28"/>
        </w:rPr>
        <w:t>讯</w:t>
      </w:r>
      <w:r>
        <w:rPr>
          <w:rFonts w:ascii="Arial" w:eastAsia="仿宋" w:hAnsi="Arial" w:cs="Arial"/>
          <w:sz w:val="28"/>
          <w:szCs w:val="28"/>
        </w:rPr>
        <w:t>），相应用途级别平均容积率为</w:t>
      </w:r>
      <w:r>
        <w:rPr>
          <w:rFonts w:ascii="Arial" w:eastAsia="仿宋" w:hAnsi="Arial" w:cs="Arial"/>
          <w:sz w:val="28"/>
          <w:szCs w:val="28"/>
        </w:rPr>
        <w:t>1.5</w:t>
      </w:r>
      <w:r>
        <w:rPr>
          <w:rFonts w:ascii="Arial" w:eastAsia="仿宋" w:hAnsi="Arial" w:cs="Arial"/>
          <w:sz w:val="28"/>
          <w:szCs w:val="28"/>
        </w:rPr>
        <w:t>。估价对象设定状况与级别开发程度不一致，需进行修正。修正表如下：</w:t>
      </w:r>
    </w:p>
    <w:p w14:paraId="453278A7" w14:textId="77777777" w:rsidR="0062768B" w:rsidRDefault="00136729">
      <w:pPr>
        <w:spacing w:line="240" w:lineRule="auto"/>
        <w:jc w:val="center"/>
        <w:rPr>
          <w:rFonts w:ascii="仿宋" w:eastAsia="仿宋" w:hAnsi="仿宋" w:cs="宋体"/>
          <w:bCs/>
          <w:color w:val="000000"/>
          <w:sz w:val="28"/>
          <w:szCs w:val="28"/>
        </w:rPr>
      </w:pPr>
      <w:r>
        <w:rPr>
          <w:rFonts w:ascii="仿宋" w:eastAsia="仿宋" w:hAnsi="仿宋" w:cs="宋体" w:hint="eastAsia"/>
          <w:bCs/>
          <w:color w:val="000000"/>
          <w:sz w:val="28"/>
          <w:szCs w:val="28"/>
        </w:rPr>
        <w:t>基础设施建设费（土地开发费）</w:t>
      </w:r>
    </w:p>
    <w:p w14:paraId="3C4B6C85" w14:textId="77777777" w:rsidR="0062768B" w:rsidRDefault="00136729">
      <w:pPr>
        <w:adjustRightInd/>
        <w:spacing w:line="240" w:lineRule="auto"/>
        <w:jc w:val="right"/>
        <w:rPr>
          <w:rFonts w:ascii="Arial" w:hAnsi="Arial"/>
          <w:sz w:val="21"/>
        </w:rPr>
      </w:pPr>
      <w:r>
        <w:rPr>
          <w:rFonts w:ascii="Arial" w:eastAsia="华文细黑" w:hAnsi="Arial" w:cs="宋体" w:hint="eastAsia"/>
          <w:color w:val="000000"/>
          <w:sz w:val="18"/>
          <w:szCs w:val="24"/>
        </w:rPr>
        <w:t>单位：元</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62768B" w14:paraId="4F86AF2E" w14:textId="77777777">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348EF997" w14:textId="77777777" w:rsidR="0062768B" w:rsidRDefault="00136729">
            <w:pPr>
              <w:widowControl/>
              <w:adjustRightInd/>
              <w:spacing w:line="240" w:lineRule="exact"/>
              <w:ind w:firstLineChars="450" w:firstLine="945"/>
              <w:jc w:val="right"/>
              <w:textAlignment w:val="auto"/>
              <w:rPr>
                <w:rFonts w:ascii="Arial" w:eastAsia="仿宋" w:hAnsi="Arial" w:cs="Arial"/>
                <w:color w:val="000000"/>
                <w:sz w:val="21"/>
                <w:szCs w:val="21"/>
              </w:rPr>
            </w:pPr>
            <w:r>
              <w:rPr>
                <w:rFonts w:ascii="Arial" w:eastAsia="仿宋" w:hAnsi="Arial" w:cs="Arial"/>
                <w:color w:val="000000"/>
                <w:sz w:val="21"/>
                <w:szCs w:val="21"/>
              </w:rPr>
              <w:t>费用</w:t>
            </w:r>
          </w:p>
          <w:p w14:paraId="6C09F670" w14:textId="77777777" w:rsidR="0062768B" w:rsidRDefault="00136729">
            <w:pPr>
              <w:spacing w:line="240" w:lineRule="exact"/>
              <w:rPr>
                <w:rFonts w:ascii="Arial" w:eastAsia="仿宋" w:hAnsi="Arial" w:cs="Arial"/>
                <w:color w:val="000000"/>
                <w:sz w:val="21"/>
                <w:szCs w:val="21"/>
              </w:rPr>
            </w:pPr>
            <w:r>
              <w:rPr>
                <w:rFonts w:ascii="Arial" w:eastAsia="仿宋" w:hAnsi="Arial" w:cs="Arial"/>
                <w:color w:val="000000"/>
                <w:sz w:val="21"/>
                <w:szCs w:val="21"/>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4005B2"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763CB"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C2C53"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D543B"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851A60"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19E87"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B9017"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37D53"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BB11F"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合计</w:t>
            </w:r>
          </w:p>
        </w:tc>
      </w:tr>
      <w:tr w:rsidR="0062768B" w14:paraId="6AB66A70"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B4509"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4557E"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099EB"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D895D"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B8915"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6AB5E"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90C98"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4D5B8"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7DE05"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BD280D"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375</w:t>
            </w:r>
          </w:p>
        </w:tc>
      </w:tr>
      <w:tr w:rsidR="0062768B" w14:paraId="0B190F88"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E4438"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C0A02"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88DDB3"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DCFF5"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F98C3"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43181"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BF256"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CAA3A"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B5CDE"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E69CC5"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315</w:t>
            </w:r>
          </w:p>
        </w:tc>
      </w:tr>
      <w:tr w:rsidR="0062768B" w14:paraId="13B2BD9E"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57F57"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30984"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0EFC9"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BBBE7"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44424"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6EDE5"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15BB4"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80FB6"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F94C1"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A8F93"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255</w:t>
            </w:r>
          </w:p>
        </w:tc>
      </w:tr>
    </w:tbl>
    <w:p w14:paraId="4B210740" w14:textId="77777777" w:rsidR="0062768B" w:rsidRDefault="0062768B">
      <w:pPr>
        <w:widowControl/>
        <w:adjustRightInd/>
        <w:spacing w:line="240" w:lineRule="exact"/>
        <w:textAlignment w:val="auto"/>
        <w:rPr>
          <w:rFonts w:ascii="Arial" w:eastAsia="华文细黑" w:hAnsi="Arial" w:cs="宋体"/>
          <w:color w:val="000000"/>
          <w:sz w:val="18"/>
          <w:szCs w:val="24"/>
        </w:rPr>
      </w:pPr>
    </w:p>
    <w:p w14:paraId="4D200C93"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土地开发程度修正</w:t>
      </w:r>
    </w:p>
    <w:p w14:paraId="618F3393"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60+50+20+35+40+30+10</w:t>
      </w:r>
      <w:r>
        <w:rPr>
          <w:rFonts w:ascii="Arial" w:eastAsia="仿宋" w:hAnsi="Arial" w:cs="Arial" w:hint="eastAsia"/>
          <w:sz w:val="28"/>
          <w:szCs w:val="28"/>
        </w:rPr>
        <w:t>）</w:t>
      </w:r>
      <w:r>
        <w:rPr>
          <w:rFonts w:ascii="Arial" w:eastAsia="仿宋" w:hAnsi="Arial" w:cs="Arial"/>
          <w:sz w:val="28"/>
          <w:szCs w:val="28"/>
        </w:rPr>
        <w:t>-185</w:t>
      </w:r>
      <w:r>
        <w:rPr>
          <w:rFonts w:ascii="Arial" w:eastAsia="仿宋" w:hAnsi="Arial" w:cs="Arial"/>
          <w:sz w:val="28"/>
          <w:szCs w:val="28"/>
        </w:rPr>
        <w:t>）</w:t>
      </w:r>
      <w:r>
        <w:rPr>
          <w:rFonts w:ascii="Arial" w:eastAsia="仿宋" w:hAnsi="Arial" w:cs="Arial"/>
          <w:sz w:val="28"/>
          <w:szCs w:val="28"/>
        </w:rPr>
        <w:t>÷1.5</w:t>
      </w:r>
    </w:p>
    <w:p w14:paraId="4DBA75E1"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40</w:t>
      </w:r>
      <w:r>
        <w:rPr>
          <w:rFonts w:ascii="Arial" w:eastAsia="仿宋" w:hAnsi="Arial" w:cs="Arial"/>
          <w:sz w:val="28"/>
          <w:szCs w:val="28"/>
        </w:rPr>
        <w:t>（元</w:t>
      </w:r>
      <w:r>
        <w:rPr>
          <w:rFonts w:ascii="Arial" w:eastAsia="仿宋" w:hAnsi="Arial" w:cs="Arial"/>
          <w:sz w:val="28"/>
          <w:szCs w:val="28"/>
        </w:rPr>
        <w:t>/</w:t>
      </w:r>
      <w:r>
        <w:rPr>
          <w:rFonts w:ascii="Arial" w:eastAsia="仿宋" w:hAnsi="Arial" w:cs="Arial"/>
          <w:sz w:val="28"/>
          <w:szCs w:val="28"/>
        </w:rPr>
        <w:t>平方米）</w:t>
      </w:r>
    </w:p>
    <w:p w14:paraId="05490CA9"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B.</w:t>
      </w:r>
      <w:r>
        <w:rPr>
          <w:rFonts w:ascii="Arial" w:eastAsia="仿宋" w:hAnsi="Arial" w:cs="Arial"/>
          <w:sz w:val="28"/>
          <w:szCs w:val="28"/>
        </w:rPr>
        <w:t>用途修正系数的确定</w:t>
      </w:r>
    </w:p>
    <w:p w14:paraId="5E7773A7"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t>《北京市出让国有建设用地使用权基准地价更新成果》根据《土地利用现状分类》（</w:t>
      </w:r>
      <w:r>
        <w:rPr>
          <w:rFonts w:ascii="Arial" w:eastAsia="仿宋" w:hAnsi="Arial" w:cs="Arial"/>
          <w:sz w:val="28"/>
          <w:szCs w:val="28"/>
        </w:rPr>
        <w:t>GB/T21010-2007</w:t>
      </w:r>
      <w:r>
        <w:rPr>
          <w:rFonts w:ascii="Arial" w:eastAsia="仿宋" w:hAnsi="Arial" w:cs="Arial"/>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279CB9B7"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t>地上部分：</w:t>
      </w:r>
    </w:p>
    <w:p w14:paraId="428D7879"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估价对象地上用途为公共服务</w:t>
      </w:r>
      <w:r>
        <w:rPr>
          <w:rFonts w:ascii="Arial" w:eastAsia="仿宋" w:hAnsi="Arial" w:cs="Arial"/>
          <w:sz w:val="28"/>
          <w:szCs w:val="28"/>
        </w:rPr>
        <w:t>——</w:t>
      </w:r>
      <w:r>
        <w:rPr>
          <w:rFonts w:ascii="Arial" w:eastAsia="仿宋" w:hAnsi="Arial" w:cs="Arial"/>
          <w:sz w:val="28"/>
          <w:szCs w:val="28"/>
        </w:rPr>
        <w:t>机关团体用地，需依据《北京市基准地价土地用途二级分类用地修正系数表》进行用途修正。</w:t>
      </w:r>
    </w:p>
    <w:p w14:paraId="48538F60" w14:textId="77777777" w:rsidR="0062768B" w:rsidRDefault="00136729">
      <w:pPr>
        <w:overflowPunct w:val="0"/>
        <w:spacing w:line="300" w:lineRule="auto"/>
        <w:jc w:val="center"/>
        <w:textAlignment w:val="auto"/>
        <w:rPr>
          <w:rFonts w:ascii="Arial" w:eastAsia="仿宋" w:hAnsi="Arial" w:cs="Arial"/>
          <w:bCs/>
          <w:sz w:val="28"/>
          <w:szCs w:val="28"/>
        </w:rPr>
      </w:pPr>
      <w:r>
        <w:rPr>
          <w:rFonts w:ascii="Arial" w:eastAsia="仿宋" w:hAnsi="Arial" w:cs="Arial"/>
          <w:bCs/>
          <w:sz w:val="28"/>
          <w:szCs w:val="28"/>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4"/>
        <w:gridCol w:w="1842"/>
        <w:gridCol w:w="4536"/>
        <w:gridCol w:w="1134"/>
        <w:gridCol w:w="793"/>
      </w:tblGrid>
      <w:tr w:rsidR="0062768B" w14:paraId="1F45EE0F" w14:textId="77777777">
        <w:trPr>
          <w:cantSplit/>
          <w:jc w:val="center"/>
        </w:trPr>
        <w:tc>
          <w:tcPr>
            <w:tcW w:w="994" w:type="dxa"/>
            <w:shd w:val="clear" w:color="auto" w:fill="auto"/>
            <w:noWrap/>
            <w:vAlign w:val="center"/>
          </w:tcPr>
          <w:p w14:paraId="48B0326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一级类</w:t>
            </w:r>
          </w:p>
        </w:tc>
        <w:tc>
          <w:tcPr>
            <w:tcW w:w="1842" w:type="dxa"/>
            <w:shd w:val="clear" w:color="auto" w:fill="auto"/>
            <w:noWrap/>
            <w:vAlign w:val="center"/>
          </w:tcPr>
          <w:p w14:paraId="2A8ACC8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二级类</w:t>
            </w:r>
          </w:p>
        </w:tc>
        <w:tc>
          <w:tcPr>
            <w:tcW w:w="4536" w:type="dxa"/>
            <w:shd w:val="clear" w:color="auto" w:fill="auto"/>
            <w:noWrap/>
            <w:vAlign w:val="center"/>
          </w:tcPr>
          <w:p w14:paraId="29D4029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含义</w:t>
            </w:r>
          </w:p>
        </w:tc>
        <w:tc>
          <w:tcPr>
            <w:tcW w:w="1134" w:type="dxa"/>
            <w:shd w:val="clear" w:color="auto" w:fill="auto"/>
            <w:noWrap/>
            <w:vAlign w:val="center"/>
          </w:tcPr>
          <w:p w14:paraId="4575697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参照基准</w:t>
            </w:r>
          </w:p>
        </w:tc>
        <w:tc>
          <w:tcPr>
            <w:tcW w:w="793" w:type="dxa"/>
            <w:shd w:val="clear" w:color="auto" w:fill="auto"/>
            <w:noWrap/>
            <w:vAlign w:val="center"/>
          </w:tcPr>
          <w:p w14:paraId="445C2D6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用途修正系数</w:t>
            </w:r>
          </w:p>
        </w:tc>
      </w:tr>
      <w:tr w:rsidR="0062768B" w14:paraId="37ED0CF7" w14:textId="77777777">
        <w:trPr>
          <w:cantSplit/>
          <w:jc w:val="center"/>
        </w:trPr>
        <w:tc>
          <w:tcPr>
            <w:tcW w:w="994" w:type="dxa"/>
            <w:vMerge w:val="restart"/>
            <w:shd w:val="clear" w:color="auto" w:fill="auto"/>
            <w:noWrap/>
            <w:vAlign w:val="center"/>
          </w:tcPr>
          <w:p w14:paraId="58CA66A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w:t>
            </w:r>
          </w:p>
        </w:tc>
        <w:tc>
          <w:tcPr>
            <w:tcW w:w="1842" w:type="dxa"/>
            <w:shd w:val="clear" w:color="auto" w:fill="auto"/>
            <w:noWrap/>
            <w:vAlign w:val="center"/>
          </w:tcPr>
          <w:p w14:paraId="67D1E1A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机关团体用地</w:t>
            </w:r>
          </w:p>
        </w:tc>
        <w:tc>
          <w:tcPr>
            <w:tcW w:w="4536" w:type="dxa"/>
            <w:shd w:val="clear" w:color="auto" w:fill="auto"/>
            <w:noWrap/>
            <w:vAlign w:val="center"/>
          </w:tcPr>
          <w:p w14:paraId="79CA7F3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指用于党政机关、社会团体、群众自治组织等的用地。</w:t>
            </w:r>
          </w:p>
        </w:tc>
        <w:tc>
          <w:tcPr>
            <w:tcW w:w="1134" w:type="dxa"/>
            <w:vMerge w:val="restart"/>
            <w:shd w:val="clear" w:color="auto" w:fill="auto"/>
            <w:noWrap/>
            <w:vAlign w:val="center"/>
          </w:tcPr>
          <w:p w14:paraId="68800A2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公共服务类</w:t>
            </w:r>
          </w:p>
        </w:tc>
        <w:tc>
          <w:tcPr>
            <w:tcW w:w="793" w:type="dxa"/>
            <w:shd w:val="clear" w:color="auto" w:fill="auto"/>
            <w:noWrap/>
            <w:vAlign w:val="center"/>
          </w:tcPr>
          <w:p w14:paraId="1312164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w:t>
            </w:r>
          </w:p>
        </w:tc>
      </w:tr>
      <w:tr w:rsidR="0062768B" w14:paraId="4AEED6AC" w14:textId="77777777">
        <w:trPr>
          <w:cantSplit/>
          <w:jc w:val="center"/>
        </w:trPr>
        <w:tc>
          <w:tcPr>
            <w:tcW w:w="994" w:type="dxa"/>
            <w:vMerge/>
            <w:shd w:val="clear" w:color="auto" w:fill="auto"/>
            <w:vAlign w:val="center"/>
          </w:tcPr>
          <w:p w14:paraId="1C17268A"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shd w:val="clear" w:color="auto" w:fill="auto"/>
            <w:noWrap/>
            <w:vAlign w:val="center"/>
          </w:tcPr>
          <w:p w14:paraId="3F2E488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新闻出版用地</w:t>
            </w:r>
          </w:p>
        </w:tc>
        <w:tc>
          <w:tcPr>
            <w:tcW w:w="4536" w:type="dxa"/>
            <w:shd w:val="clear" w:color="auto" w:fill="auto"/>
            <w:noWrap/>
            <w:vAlign w:val="center"/>
          </w:tcPr>
          <w:p w14:paraId="6DA27A4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指用于广播电台、电视台、电影厂、报社、杂志社、通讯社、出版社等的用地。</w:t>
            </w:r>
          </w:p>
        </w:tc>
        <w:tc>
          <w:tcPr>
            <w:tcW w:w="1134" w:type="dxa"/>
            <w:vMerge/>
            <w:shd w:val="clear" w:color="auto" w:fill="auto"/>
            <w:vAlign w:val="center"/>
          </w:tcPr>
          <w:p w14:paraId="0D39D7F4" w14:textId="77777777" w:rsidR="0062768B" w:rsidRDefault="0062768B">
            <w:pPr>
              <w:widowControl/>
              <w:adjustRightInd/>
              <w:spacing w:line="240" w:lineRule="exact"/>
              <w:textAlignment w:val="auto"/>
              <w:rPr>
                <w:rFonts w:ascii="Arial" w:eastAsia="仿宋" w:hAnsi="Arial" w:cs="Arial"/>
                <w:sz w:val="21"/>
                <w:szCs w:val="21"/>
              </w:rPr>
            </w:pPr>
          </w:p>
        </w:tc>
        <w:tc>
          <w:tcPr>
            <w:tcW w:w="793" w:type="dxa"/>
            <w:shd w:val="clear" w:color="auto" w:fill="auto"/>
            <w:noWrap/>
            <w:vAlign w:val="center"/>
          </w:tcPr>
          <w:p w14:paraId="7F1E5D5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w:t>
            </w:r>
          </w:p>
        </w:tc>
      </w:tr>
      <w:tr w:rsidR="0062768B" w14:paraId="0B1C8C87" w14:textId="77777777">
        <w:trPr>
          <w:cantSplit/>
          <w:jc w:val="center"/>
        </w:trPr>
        <w:tc>
          <w:tcPr>
            <w:tcW w:w="994" w:type="dxa"/>
            <w:vMerge/>
            <w:shd w:val="clear" w:color="auto" w:fill="auto"/>
            <w:vAlign w:val="center"/>
          </w:tcPr>
          <w:p w14:paraId="47AE7434"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shd w:val="clear" w:color="auto" w:fill="auto"/>
            <w:noWrap/>
            <w:vAlign w:val="center"/>
          </w:tcPr>
          <w:p w14:paraId="0AACC21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教育用地</w:t>
            </w:r>
          </w:p>
        </w:tc>
        <w:tc>
          <w:tcPr>
            <w:tcW w:w="4536" w:type="dxa"/>
            <w:shd w:val="clear" w:color="auto" w:fill="auto"/>
            <w:noWrap/>
            <w:vAlign w:val="center"/>
          </w:tcPr>
          <w:p w14:paraId="209DAB1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指用于各类教育用地</w:t>
            </w:r>
            <w:r>
              <w:rPr>
                <w:rFonts w:ascii="Arial" w:eastAsia="仿宋" w:hAnsi="Arial" w:cs="Arial"/>
                <w:sz w:val="21"/>
                <w:szCs w:val="21"/>
              </w:rPr>
              <w:t>,</w:t>
            </w:r>
            <w:r>
              <w:rPr>
                <w:rFonts w:ascii="Arial" w:eastAsia="仿宋" w:hAnsi="Arial" w:cs="Arial"/>
                <w:sz w:val="21"/>
                <w:szCs w:val="21"/>
              </w:rPr>
              <w:t>包括高等院校、中等专业学校、中学、小学、幼儿园及其附属设施用地</w:t>
            </w:r>
            <w:r>
              <w:rPr>
                <w:rFonts w:ascii="Arial" w:eastAsia="仿宋" w:hAnsi="Arial" w:cs="Arial"/>
                <w:sz w:val="21"/>
                <w:szCs w:val="21"/>
              </w:rPr>
              <w:t>,</w:t>
            </w:r>
            <w:r>
              <w:rPr>
                <w:rFonts w:ascii="Arial" w:eastAsia="仿宋" w:hAnsi="Arial" w:cs="Arial"/>
                <w:sz w:val="21"/>
                <w:szCs w:val="21"/>
              </w:rPr>
              <w:t>聋、哑、盲人学校及工读学校用地</w:t>
            </w:r>
            <w:r>
              <w:rPr>
                <w:rFonts w:ascii="Arial" w:eastAsia="仿宋" w:hAnsi="Arial" w:cs="Arial"/>
                <w:sz w:val="21"/>
                <w:szCs w:val="21"/>
              </w:rPr>
              <w:t>,</w:t>
            </w:r>
            <w:r>
              <w:rPr>
                <w:rFonts w:ascii="Arial" w:eastAsia="仿宋" w:hAnsi="Arial" w:cs="Arial"/>
                <w:sz w:val="21"/>
                <w:szCs w:val="21"/>
              </w:rPr>
              <w:t>以及为学校配建的独立地段的学生生活用地。</w:t>
            </w:r>
          </w:p>
        </w:tc>
        <w:tc>
          <w:tcPr>
            <w:tcW w:w="1134" w:type="dxa"/>
            <w:vMerge/>
            <w:shd w:val="clear" w:color="auto" w:fill="auto"/>
            <w:vAlign w:val="center"/>
          </w:tcPr>
          <w:p w14:paraId="5BBA666D" w14:textId="77777777" w:rsidR="0062768B" w:rsidRDefault="0062768B">
            <w:pPr>
              <w:widowControl/>
              <w:adjustRightInd/>
              <w:spacing w:line="240" w:lineRule="exact"/>
              <w:textAlignment w:val="auto"/>
              <w:rPr>
                <w:rFonts w:ascii="Arial" w:eastAsia="仿宋" w:hAnsi="Arial" w:cs="Arial"/>
                <w:sz w:val="21"/>
                <w:szCs w:val="21"/>
              </w:rPr>
            </w:pPr>
          </w:p>
        </w:tc>
        <w:tc>
          <w:tcPr>
            <w:tcW w:w="793" w:type="dxa"/>
            <w:shd w:val="clear" w:color="auto" w:fill="auto"/>
            <w:noWrap/>
            <w:vAlign w:val="center"/>
          </w:tcPr>
          <w:p w14:paraId="18F85D3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0.8</w:t>
            </w:r>
          </w:p>
        </w:tc>
      </w:tr>
      <w:tr w:rsidR="0062768B" w14:paraId="7B392EFC" w14:textId="77777777">
        <w:trPr>
          <w:cantSplit/>
          <w:trHeight w:val="450"/>
          <w:jc w:val="center"/>
        </w:trPr>
        <w:tc>
          <w:tcPr>
            <w:tcW w:w="994" w:type="dxa"/>
            <w:vMerge/>
            <w:shd w:val="clear" w:color="auto" w:fill="auto"/>
            <w:vAlign w:val="center"/>
          </w:tcPr>
          <w:p w14:paraId="6147DB73"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vMerge w:val="restart"/>
            <w:shd w:val="clear" w:color="auto" w:fill="auto"/>
            <w:noWrap/>
            <w:vAlign w:val="center"/>
          </w:tcPr>
          <w:p w14:paraId="1CBAC4C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科研用地</w:t>
            </w:r>
          </w:p>
        </w:tc>
        <w:tc>
          <w:tcPr>
            <w:tcW w:w="4536" w:type="dxa"/>
            <w:shd w:val="clear" w:color="auto" w:fill="auto"/>
            <w:noWrap/>
            <w:vAlign w:val="center"/>
          </w:tcPr>
          <w:p w14:paraId="441B3B9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指独立的科研、勘察、研发、设计、检验检测、技术推广、环境评估与监测、科普等科研事业单位及其附属设施用地</w:t>
            </w:r>
            <w:r>
              <w:rPr>
                <w:rFonts w:ascii="Arial" w:eastAsia="仿宋" w:hAnsi="Arial" w:cs="Arial"/>
                <w:sz w:val="21"/>
                <w:szCs w:val="21"/>
              </w:rPr>
              <w:t>(</w:t>
            </w:r>
            <w:r>
              <w:rPr>
                <w:rFonts w:ascii="Arial" w:eastAsia="仿宋" w:hAnsi="Arial" w:cs="Arial"/>
                <w:sz w:val="21"/>
                <w:szCs w:val="21"/>
              </w:rPr>
              <w:t>除</w:t>
            </w:r>
            <w:r>
              <w:rPr>
                <w:rFonts w:ascii="Arial" w:eastAsia="仿宋" w:hAnsi="Arial" w:cs="Arial"/>
                <w:sz w:val="21"/>
                <w:szCs w:val="21"/>
              </w:rPr>
              <w:t xml:space="preserve"> M4 </w:t>
            </w:r>
            <w:r>
              <w:rPr>
                <w:rFonts w:ascii="Arial" w:eastAsia="仿宋" w:hAnsi="Arial" w:cs="Arial"/>
                <w:sz w:val="21"/>
                <w:szCs w:val="21"/>
              </w:rPr>
              <w:t>工业研发用地</w:t>
            </w:r>
            <w:r>
              <w:rPr>
                <w:rFonts w:ascii="Arial" w:eastAsia="仿宋" w:hAnsi="Arial" w:cs="Arial"/>
                <w:sz w:val="21"/>
                <w:szCs w:val="21"/>
              </w:rPr>
              <w:t>)</w:t>
            </w:r>
            <w:r>
              <w:rPr>
                <w:rFonts w:ascii="Arial" w:eastAsia="仿宋" w:hAnsi="Arial" w:cs="Arial"/>
                <w:sz w:val="21"/>
                <w:szCs w:val="21"/>
              </w:rPr>
              <w:t>。</w:t>
            </w:r>
          </w:p>
        </w:tc>
        <w:tc>
          <w:tcPr>
            <w:tcW w:w="1134" w:type="dxa"/>
            <w:vMerge/>
            <w:shd w:val="clear" w:color="auto" w:fill="auto"/>
            <w:vAlign w:val="center"/>
          </w:tcPr>
          <w:p w14:paraId="63C9E605" w14:textId="77777777" w:rsidR="0062768B" w:rsidRDefault="0062768B">
            <w:pPr>
              <w:widowControl/>
              <w:adjustRightInd/>
              <w:spacing w:line="240" w:lineRule="exact"/>
              <w:textAlignment w:val="auto"/>
              <w:rPr>
                <w:rFonts w:ascii="Arial" w:eastAsia="仿宋" w:hAnsi="Arial" w:cs="Arial"/>
                <w:sz w:val="21"/>
                <w:szCs w:val="21"/>
              </w:rPr>
            </w:pPr>
          </w:p>
        </w:tc>
        <w:tc>
          <w:tcPr>
            <w:tcW w:w="793" w:type="dxa"/>
            <w:shd w:val="clear" w:color="auto" w:fill="auto"/>
            <w:noWrap/>
            <w:vAlign w:val="center"/>
          </w:tcPr>
          <w:p w14:paraId="538A49A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0.8</w:t>
            </w:r>
          </w:p>
        </w:tc>
      </w:tr>
      <w:tr w:rsidR="0062768B" w14:paraId="36EFC8A5" w14:textId="77777777">
        <w:trPr>
          <w:cantSplit/>
          <w:trHeight w:val="450"/>
          <w:jc w:val="center"/>
        </w:trPr>
        <w:tc>
          <w:tcPr>
            <w:tcW w:w="994" w:type="dxa"/>
            <w:vMerge/>
            <w:shd w:val="clear" w:color="auto" w:fill="auto"/>
            <w:vAlign w:val="center"/>
          </w:tcPr>
          <w:p w14:paraId="5BCC8224"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vMerge/>
            <w:shd w:val="clear" w:color="auto" w:fill="auto"/>
            <w:noWrap/>
            <w:vAlign w:val="center"/>
          </w:tcPr>
          <w:p w14:paraId="4FA97E03" w14:textId="77777777" w:rsidR="0062768B" w:rsidRDefault="0062768B">
            <w:pPr>
              <w:widowControl/>
              <w:adjustRightInd/>
              <w:spacing w:line="240" w:lineRule="exact"/>
              <w:textAlignment w:val="auto"/>
              <w:rPr>
                <w:rFonts w:ascii="Arial" w:eastAsia="仿宋" w:hAnsi="Arial" w:cs="Arial"/>
                <w:sz w:val="21"/>
                <w:szCs w:val="21"/>
              </w:rPr>
            </w:pPr>
          </w:p>
        </w:tc>
        <w:tc>
          <w:tcPr>
            <w:tcW w:w="4536" w:type="dxa"/>
            <w:shd w:val="clear" w:color="auto" w:fill="auto"/>
            <w:noWrap/>
            <w:vAlign w:val="center"/>
          </w:tcPr>
          <w:p w14:paraId="3454184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工业研发用地</w:t>
            </w:r>
            <w:r>
              <w:rPr>
                <w:rFonts w:ascii="Arial" w:eastAsia="仿宋" w:hAnsi="Arial" w:cs="Arial"/>
                <w:sz w:val="21"/>
                <w:szCs w:val="21"/>
              </w:rPr>
              <w:t>(M4)</w:t>
            </w:r>
            <w:r>
              <w:rPr>
                <w:rFonts w:ascii="Arial" w:eastAsia="仿宋" w:hAnsi="Arial" w:cs="Arial"/>
                <w:sz w:val="21"/>
                <w:szCs w:val="21"/>
              </w:rPr>
              <w:t>指以技术研发、中试为主</w:t>
            </w:r>
            <w:r>
              <w:rPr>
                <w:rFonts w:ascii="Arial" w:eastAsia="仿宋" w:hAnsi="Arial" w:cs="Arial"/>
                <w:sz w:val="21"/>
                <w:szCs w:val="21"/>
              </w:rPr>
              <w:t>,</w:t>
            </w:r>
            <w:r>
              <w:rPr>
                <w:rFonts w:ascii="Arial" w:eastAsia="仿宋" w:hAnsi="Arial" w:cs="Arial"/>
                <w:sz w:val="21"/>
                <w:szCs w:val="21"/>
              </w:rPr>
              <w:t>兼具小规模的生产、技术服务、管理等功能的用地。</w:t>
            </w:r>
          </w:p>
        </w:tc>
        <w:tc>
          <w:tcPr>
            <w:tcW w:w="1134" w:type="dxa"/>
            <w:shd w:val="clear" w:color="auto" w:fill="auto"/>
            <w:vAlign w:val="center"/>
          </w:tcPr>
          <w:p w14:paraId="19331CF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工业类</w:t>
            </w:r>
          </w:p>
        </w:tc>
        <w:tc>
          <w:tcPr>
            <w:tcW w:w="793" w:type="dxa"/>
            <w:shd w:val="clear" w:color="auto" w:fill="auto"/>
            <w:noWrap/>
            <w:vAlign w:val="center"/>
          </w:tcPr>
          <w:p w14:paraId="58EA7DF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w:t>
            </w:r>
          </w:p>
        </w:tc>
      </w:tr>
      <w:tr w:rsidR="0062768B" w14:paraId="191898CB" w14:textId="77777777">
        <w:trPr>
          <w:cantSplit/>
          <w:jc w:val="center"/>
        </w:trPr>
        <w:tc>
          <w:tcPr>
            <w:tcW w:w="994" w:type="dxa"/>
            <w:vMerge/>
            <w:shd w:val="clear" w:color="auto" w:fill="auto"/>
            <w:vAlign w:val="center"/>
          </w:tcPr>
          <w:p w14:paraId="27F14034"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shd w:val="clear" w:color="auto" w:fill="auto"/>
            <w:noWrap/>
            <w:vAlign w:val="center"/>
          </w:tcPr>
          <w:p w14:paraId="6D38D1B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医疗卫生用地</w:t>
            </w:r>
          </w:p>
        </w:tc>
        <w:tc>
          <w:tcPr>
            <w:tcW w:w="4536" w:type="dxa"/>
            <w:shd w:val="clear" w:color="auto" w:fill="auto"/>
            <w:noWrap/>
            <w:vAlign w:val="center"/>
          </w:tcPr>
          <w:p w14:paraId="37D18C7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指医疗、保健、卫生、防疫、康复和急救设施等用地</w:t>
            </w:r>
            <w:r>
              <w:rPr>
                <w:rFonts w:ascii="Arial" w:eastAsia="仿宋" w:hAnsi="Arial" w:cs="Arial"/>
                <w:sz w:val="21"/>
                <w:szCs w:val="21"/>
              </w:rPr>
              <w:t>,</w:t>
            </w:r>
            <w:r>
              <w:rPr>
                <w:rFonts w:ascii="Arial" w:eastAsia="仿宋" w:hAnsi="Arial" w:cs="Arial"/>
                <w:sz w:val="21"/>
                <w:szCs w:val="21"/>
              </w:rPr>
              <w:t>包括综合医院、专科医院、社区卫生服务中心等用地</w:t>
            </w:r>
            <w:r>
              <w:rPr>
                <w:rFonts w:ascii="Arial" w:eastAsia="仿宋" w:hAnsi="Arial" w:cs="Arial"/>
                <w:sz w:val="21"/>
                <w:szCs w:val="21"/>
              </w:rPr>
              <w:t>;</w:t>
            </w:r>
            <w:r>
              <w:rPr>
                <w:rFonts w:ascii="Arial" w:eastAsia="仿宋" w:hAnsi="Arial" w:cs="Arial"/>
                <w:sz w:val="21"/>
                <w:szCs w:val="21"/>
              </w:rPr>
              <w:t>卫生防疫站、专科防治所、检验中心和动物检疫站等用地</w:t>
            </w:r>
            <w:r>
              <w:rPr>
                <w:rFonts w:ascii="Arial" w:eastAsia="仿宋" w:hAnsi="Arial" w:cs="Arial"/>
                <w:sz w:val="21"/>
                <w:szCs w:val="21"/>
              </w:rPr>
              <w:t>;</w:t>
            </w:r>
            <w:r>
              <w:rPr>
                <w:rFonts w:ascii="Arial" w:eastAsia="仿宋" w:hAnsi="Arial" w:cs="Arial"/>
                <w:sz w:val="21"/>
                <w:szCs w:val="21"/>
              </w:rPr>
              <w:t>对环境有特殊要求的传染病、精神病等专科医院用地</w:t>
            </w:r>
            <w:r>
              <w:rPr>
                <w:rFonts w:ascii="Arial" w:eastAsia="仿宋" w:hAnsi="Arial" w:cs="Arial"/>
                <w:sz w:val="21"/>
                <w:szCs w:val="21"/>
              </w:rPr>
              <w:t>;</w:t>
            </w:r>
            <w:r>
              <w:rPr>
                <w:rFonts w:ascii="Arial" w:eastAsia="仿宋" w:hAnsi="Arial" w:cs="Arial"/>
                <w:sz w:val="21"/>
                <w:szCs w:val="21"/>
              </w:rPr>
              <w:t>急救中心、血库等用地。</w:t>
            </w:r>
          </w:p>
        </w:tc>
        <w:tc>
          <w:tcPr>
            <w:tcW w:w="1134" w:type="dxa"/>
            <w:vMerge w:val="restart"/>
            <w:shd w:val="clear" w:color="auto" w:fill="auto"/>
            <w:vAlign w:val="center"/>
          </w:tcPr>
          <w:p w14:paraId="7D06227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公共服务类</w:t>
            </w:r>
          </w:p>
        </w:tc>
        <w:tc>
          <w:tcPr>
            <w:tcW w:w="793" w:type="dxa"/>
            <w:shd w:val="clear" w:color="auto" w:fill="auto"/>
            <w:noWrap/>
            <w:vAlign w:val="center"/>
          </w:tcPr>
          <w:p w14:paraId="6F6537B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0.8</w:t>
            </w:r>
          </w:p>
        </w:tc>
      </w:tr>
      <w:tr w:rsidR="0062768B" w14:paraId="7FBC1030" w14:textId="77777777">
        <w:trPr>
          <w:cantSplit/>
          <w:jc w:val="center"/>
        </w:trPr>
        <w:tc>
          <w:tcPr>
            <w:tcW w:w="994" w:type="dxa"/>
            <w:vMerge/>
            <w:shd w:val="clear" w:color="auto" w:fill="auto"/>
            <w:vAlign w:val="center"/>
          </w:tcPr>
          <w:p w14:paraId="5FAA67B4"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shd w:val="clear" w:color="auto" w:fill="auto"/>
            <w:noWrap/>
            <w:vAlign w:val="center"/>
          </w:tcPr>
          <w:p w14:paraId="27595AE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社会福利用地</w:t>
            </w:r>
          </w:p>
        </w:tc>
        <w:tc>
          <w:tcPr>
            <w:tcW w:w="4536" w:type="dxa"/>
            <w:shd w:val="clear" w:color="auto" w:fill="auto"/>
            <w:noWrap/>
            <w:vAlign w:val="center"/>
          </w:tcPr>
          <w:p w14:paraId="2A021D9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指为社会提供福利和慈善服务的设施及其附属设施用地</w:t>
            </w:r>
            <w:r>
              <w:rPr>
                <w:rFonts w:ascii="Arial" w:eastAsia="仿宋" w:hAnsi="Arial" w:cs="Arial"/>
                <w:sz w:val="21"/>
                <w:szCs w:val="21"/>
              </w:rPr>
              <w:t>,</w:t>
            </w:r>
            <w:r>
              <w:rPr>
                <w:rFonts w:ascii="Arial" w:eastAsia="仿宋" w:hAnsi="Arial" w:cs="Arial"/>
                <w:sz w:val="21"/>
                <w:szCs w:val="21"/>
              </w:rPr>
              <w:t>包括福利院、养老院、孤儿院等用地。</w:t>
            </w:r>
          </w:p>
        </w:tc>
        <w:tc>
          <w:tcPr>
            <w:tcW w:w="1134" w:type="dxa"/>
            <w:vMerge/>
            <w:shd w:val="clear" w:color="auto" w:fill="auto"/>
            <w:vAlign w:val="center"/>
          </w:tcPr>
          <w:p w14:paraId="2E356453" w14:textId="77777777" w:rsidR="0062768B" w:rsidRDefault="0062768B">
            <w:pPr>
              <w:widowControl/>
              <w:adjustRightInd/>
              <w:spacing w:line="240" w:lineRule="exact"/>
              <w:textAlignment w:val="auto"/>
              <w:rPr>
                <w:rFonts w:ascii="Arial" w:eastAsia="仿宋" w:hAnsi="Arial" w:cs="Arial"/>
                <w:sz w:val="21"/>
                <w:szCs w:val="21"/>
              </w:rPr>
            </w:pPr>
          </w:p>
        </w:tc>
        <w:tc>
          <w:tcPr>
            <w:tcW w:w="793" w:type="dxa"/>
            <w:shd w:val="clear" w:color="auto" w:fill="auto"/>
            <w:noWrap/>
            <w:vAlign w:val="center"/>
          </w:tcPr>
          <w:p w14:paraId="5156886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0.7</w:t>
            </w:r>
          </w:p>
        </w:tc>
      </w:tr>
      <w:tr w:rsidR="0062768B" w14:paraId="098C7B22" w14:textId="77777777">
        <w:trPr>
          <w:cantSplit/>
          <w:jc w:val="center"/>
        </w:trPr>
        <w:tc>
          <w:tcPr>
            <w:tcW w:w="994" w:type="dxa"/>
            <w:vMerge/>
            <w:shd w:val="clear" w:color="auto" w:fill="auto"/>
            <w:vAlign w:val="center"/>
          </w:tcPr>
          <w:p w14:paraId="6CC5FECA"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shd w:val="clear" w:color="auto" w:fill="auto"/>
            <w:noWrap/>
            <w:vAlign w:val="center"/>
          </w:tcPr>
          <w:p w14:paraId="02CC873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文化设施用地</w:t>
            </w:r>
          </w:p>
        </w:tc>
        <w:tc>
          <w:tcPr>
            <w:tcW w:w="4536" w:type="dxa"/>
            <w:shd w:val="clear" w:color="auto" w:fill="auto"/>
            <w:noWrap/>
            <w:vAlign w:val="center"/>
          </w:tcPr>
          <w:p w14:paraId="7B6D12B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指图书、展览等公共文化活动设施用地</w:t>
            </w:r>
            <w:r>
              <w:rPr>
                <w:rFonts w:ascii="Arial" w:eastAsia="仿宋" w:hAnsi="Arial" w:cs="Arial"/>
                <w:sz w:val="21"/>
                <w:szCs w:val="21"/>
              </w:rPr>
              <w:t>,</w:t>
            </w:r>
            <w:r>
              <w:rPr>
                <w:rFonts w:ascii="Arial" w:eastAsia="仿宋" w:hAnsi="Arial" w:cs="Arial"/>
                <w:sz w:val="21"/>
                <w:szCs w:val="21"/>
              </w:rPr>
              <w:t>包括公共图书馆、博物馆、档案馆、科技馆、纪念馆、美术馆和展览馆等设施用地</w:t>
            </w:r>
            <w:r>
              <w:rPr>
                <w:rFonts w:ascii="Arial" w:eastAsia="仿宋" w:hAnsi="Arial" w:cs="Arial"/>
                <w:sz w:val="21"/>
                <w:szCs w:val="21"/>
              </w:rPr>
              <w:t>;</w:t>
            </w:r>
            <w:r>
              <w:rPr>
                <w:rFonts w:ascii="Arial" w:eastAsia="仿宋" w:hAnsi="Arial" w:cs="Arial"/>
                <w:sz w:val="21"/>
                <w:szCs w:val="21"/>
              </w:rPr>
              <w:t>综合文化活动中心、文化馆、青少年宫、儿童活动中心、老年活动中心等设施用地。</w:t>
            </w:r>
          </w:p>
        </w:tc>
        <w:tc>
          <w:tcPr>
            <w:tcW w:w="1134" w:type="dxa"/>
            <w:vMerge/>
            <w:shd w:val="clear" w:color="auto" w:fill="auto"/>
            <w:vAlign w:val="center"/>
          </w:tcPr>
          <w:p w14:paraId="2274C5DD" w14:textId="77777777" w:rsidR="0062768B" w:rsidRDefault="0062768B">
            <w:pPr>
              <w:widowControl/>
              <w:adjustRightInd/>
              <w:spacing w:line="240" w:lineRule="exact"/>
              <w:textAlignment w:val="auto"/>
              <w:rPr>
                <w:rFonts w:ascii="Arial" w:eastAsia="仿宋" w:hAnsi="Arial" w:cs="Arial"/>
                <w:sz w:val="21"/>
                <w:szCs w:val="21"/>
              </w:rPr>
            </w:pPr>
          </w:p>
        </w:tc>
        <w:tc>
          <w:tcPr>
            <w:tcW w:w="793" w:type="dxa"/>
            <w:shd w:val="clear" w:color="auto" w:fill="auto"/>
            <w:noWrap/>
            <w:vAlign w:val="center"/>
          </w:tcPr>
          <w:p w14:paraId="74D77AB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0.8</w:t>
            </w:r>
          </w:p>
        </w:tc>
      </w:tr>
      <w:tr w:rsidR="0062768B" w14:paraId="6E92C203" w14:textId="77777777">
        <w:trPr>
          <w:cantSplit/>
          <w:jc w:val="center"/>
        </w:trPr>
        <w:tc>
          <w:tcPr>
            <w:tcW w:w="994" w:type="dxa"/>
            <w:vMerge/>
            <w:shd w:val="clear" w:color="auto" w:fill="auto"/>
            <w:vAlign w:val="center"/>
          </w:tcPr>
          <w:p w14:paraId="6D5C6C24"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shd w:val="clear" w:color="auto" w:fill="auto"/>
            <w:noWrap/>
            <w:vAlign w:val="center"/>
          </w:tcPr>
          <w:p w14:paraId="0DAD820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体育用地</w:t>
            </w:r>
          </w:p>
        </w:tc>
        <w:tc>
          <w:tcPr>
            <w:tcW w:w="4536" w:type="dxa"/>
            <w:shd w:val="clear" w:color="auto" w:fill="auto"/>
            <w:noWrap/>
            <w:vAlign w:val="center"/>
          </w:tcPr>
          <w:p w14:paraId="54626EE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指体育场馆和体育训练基地等用地</w:t>
            </w:r>
            <w:r>
              <w:rPr>
                <w:rFonts w:ascii="Arial" w:eastAsia="仿宋" w:hAnsi="Arial" w:cs="Arial"/>
                <w:sz w:val="21"/>
                <w:szCs w:val="21"/>
              </w:rPr>
              <w:t>,</w:t>
            </w:r>
            <w:r>
              <w:rPr>
                <w:rFonts w:ascii="Arial" w:eastAsia="仿宋" w:hAnsi="Arial" w:cs="Arial"/>
                <w:sz w:val="21"/>
                <w:szCs w:val="21"/>
              </w:rPr>
              <w:t>包括室内外体育运动用地</w:t>
            </w:r>
            <w:r>
              <w:rPr>
                <w:rFonts w:ascii="Arial" w:eastAsia="仿宋" w:hAnsi="Arial" w:cs="Arial"/>
                <w:sz w:val="21"/>
                <w:szCs w:val="21"/>
              </w:rPr>
              <w:t>,</w:t>
            </w:r>
            <w:r>
              <w:rPr>
                <w:rFonts w:ascii="Arial" w:eastAsia="仿宋" w:hAnsi="Arial" w:cs="Arial"/>
                <w:sz w:val="21"/>
                <w:szCs w:val="21"/>
              </w:rPr>
              <w:t>如体育场馆、游泳场馆、各类球场及其附属的业余体校等用地</w:t>
            </w:r>
            <w:r>
              <w:rPr>
                <w:rFonts w:ascii="Arial" w:eastAsia="仿宋" w:hAnsi="Arial" w:cs="Arial"/>
                <w:sz w:val="21"/>
                <w:szCs w:val="21"/>
              </w:rPr>
              <w:t>,</w:t>
            </w:r>
            <w:r>
              <w:rPr>
                <w:rFonts w:ascii="Arial" w:eastAsia="仿宋" w:hAnsi="Arial" w:cs="Arial"/>
                <w:sz w:val="21"/>
                <w:szCs w:val="21"/>
              </w:rPr>
              <w:t>溜冰场、跳伞场、摩托车场、射击场</w:t>
            </w:r>
            <w:r>
              <w:rPr>
                <w:rFonts w:ascii="Arial" w:eastAsia="仿宋" w:hAnsi="Arial" w:cs="Arial"/>
                <w:sz w:val="21"/>
                <w:szCs w:val="21"/>
              </w:rPr>
              <w:t>,</w:t>
            </w:r>
            <w:r>
              <w:rPr>
                <w:rFonts w:ascii="Arial" w:eastAsia="仿宋" w:hAnsi="Arial" w:cs="Arial"/>
                <w:sz w:val="21"/>
                <w:szCs w:val="21"/>
              </w:rPr>
              <w:t>以及水上运动的陆域部分等用地</w:t>
            </w:r>
            <w:r>
              <w:rPr>
                <w:rFonts w:ascii="Arial" w:eastAsia="仿宋" w:hAnsi="Arial" w:cs="Arial"/>
                <w:sz w:val="21"/>
                <w:szCs w:val="21"/>
              </w:rPr>
              <w:t>,</w:t>
            </w:r>
            <w:r>
              <w:rPr>
                <w:rFonts w:ascii="Arial" w:eastAsia="仿宋" w:hAnsi="Arial" w:cs="Arial"/>
                <w:sz w:val="21"/>
                <w:szCs w:val="21"/>
              </w:rPr>
              <w:t>以及为体育运动专设的训练基地用地</w:t>
            </w:r>
            <w:r>
              <w:rPr>
                <w:rFonts w:ascii="Arial" w:eastAsia="仿宋" w:hAnsi="Arial" w:cs="Arial"/>
                <w:sz w:val="21"/>
                <w:szCs w:val="21"/>
              </w:rPr>
              <w:t>,</w:t>
            </w:r>
            <w:r>
              <w:rPr>
                <w:rFonts w:ascii="Arial" w:eastAsia="仿宋" w:hAnsi="Arial" w:cs="Arial"/>
                <w:sz w:val="21"/>
                <w:szCs w:val="21"/>
              </w:rPr>
              <w:t>不包括学校等机构专用的体育设施用地。</w:t>
            </w:r>
          </w:p>
        </w:tc>
        <w:tc>
          <w:tcPr>
            <w:tcW w:w="1134" w:type="dxa"/>
            <w:vMerge/>
            <w:shd w:val="clear" w:color="auto" w:fill="auto"/>
            <w:vAlign w:val="center"/>
          </w:tcPr>
          <w:p w14:paraId="5F4599BD" w14:textId="77777777" w:rsidR="0062768B" w:rsidRDefault="0062768B">
            <w:pPr>
              <w:widowControl/>
              <w:adjustRightInd/>
              <w:spacing w:line="240" w:lineRule="exact"/>
              <w:textAlignment w:val="auto"/>
              <w:rPr>
                <w:rFonts w:ascii="Arial" w:eastAsia="仿宋" w:hAnsi="Arial" w:cs="Arial"/>
                <w:sz w:val="21"/>
                <w:szCs w:val="21"/>
              </w:rPr>
            </w:pPr>
          </w:p>
        </w:tc>
        <w:tc>
          <w:tcPr>
            <w:tcW w:w="793" w:type="dxa"/>
            <w:shd w:val="clear" w:color="auto" w:fill="auto"/>
            <w:noWrap/>
            <w:vAlign w:val="center"/>
          </w:tcPr>
          <w:p w14:paraId="0C27D13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0.6</w:t>
            </w:r>
          </w:p>
        </w:tc>
      </w:tr>
      <w:tr w:rsidR="0062768B" w14:paraId="77691DFF" w14:textId="77777777">
        <w:trPr>
          <w:cantSplit/>
          <w:jc w:val="center"/>
        </w:trPr>
        <w:tc>
          <w:tcPr>
            <w:tcW w:w="994" w:type="dxa"/>
            <w:vMerge/>
            <w:shd w:val="clear" w:color="auto" w:fill="auto"/>
            <w:vAlign w:val="center"/>
          </w:tcPr>
          <w:p w14:paraId="0F29D76B"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shd w:val="clear" w:color="auto" w:fill="auto"/>
            <w:noWrap/>
            <w:vAlign w:val="center"/>
          </w:tcPr>
          <w:p w14:paraId="5339CDC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公用设施用地</w:t>
            </w:r>
          </w:p>
        </w:tc>
        <w:tc>
          <w:tcPr>
            <w:tcW w:w="4536" w:type="dxa"/>
            <w:shd w:val="clear" w:color="auto" w:fill="auto"/>
            <w:noWrap/>
            <w:vAlign w:val="center"/>
          </w:tcPr>
          <w:p w14:paraId="6B97538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指用于城乡基础设施的用地</w:t>
            </w:r>
            <w:r>
              <w:rPr>
                <w:rFonts w:ascii="Arial" w:eastAsia="仿宋" w:hAnsi="Arial" w:cs="Arial"/>
                <w:sz w:val="21"/>
                <w:szCs w:val="21"/>
              </w:rPr>
              <w:t>,</w:t>
            </w:r>
            <w:r>
              <w:rPr>
                <w:rFonts w:ascii="Arial" w:eastAsia="仿宋" w:hAnsi="Arial" w:cs="Arial"/>
                <w:sz w:val="21"/>
                <w:szCs w:val="21"/>
              </w:rPr>
              <w:t>包括供水、排</w:t>
            </w:r>
            <w:r>
              <w:rPr>
                <w:rFonts w:ascii="Arial" w:eastAsia="仿宋" w:hAnsi="Arial" w:cs="Arial"/>
                <w:sz w:val="21"/>
                <w:szCs w:val="21"/>
              </w:rPr>
              <w:t xml:space="preserve"> </w:t>
            </w:r>
            <w:r>
              <w:rPr>
                <w:rFonts w:ascii="Arial" w:eastAsia="仿宋" w:hAnsi="Arial" w:cs="Arial"/>
                <w:sz w:val="21"/>
                <w:szCs w:val="21"/>
              </w:rPr>
              <w:t>水、污水处理、供电、供热、供气、邮政、电信、消防、环卫、公用设施维修等用地。</w:t>
            </w:r>
          </w:p>
        </w:tc>
        <w:tc>
          <w:tcPr>
            <w:tcW w:w="1134" w:type="dxa"/>
            <w:vMerge/>
            <w:shd w:val="clear" w:color="auto" w:fill="auto"/>
            <w:vAlign w:val="center"/>
          </w:tcPr>
          <w:p w14:paraId="276D64C0" w14:textId="77777777" w:rsidR="0062768B" w:rsidRDefault="0062768B">
            <w:pPr>
              <w:widowControl/>
              <w:adjustRightInd/>
              <w:spacing w:line="240" w:lineRule="exact"/>
              <w:textAlignment w:val="auto"/>
              <w:rPr>
                <w:rFonts w:ascii="Arial" w:eastAsia="仿宋" w:hAnsi="Arial" w:cs="Arial"/>
                <w:sz w:val="21"/>
                <w:szCs w:val="21"/>
              </w:rPr>
            </w:pPr>
          </w:p>
        </w:tc>
        <w:tc>
          <w:tcPr>
            <w:tcW w:w="793" w:type="dxa"/>
            <w:shd w:val="clear" w:color="auto" w:fill="auto"/>
            <w:noWrap/>
            <w:vAlign w:val="center"/>
          </w:tcPr>
          <w:p w14:paraId="2ABEDE7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0.2</w:t>
            </w:r>
          </w:p>
        </w:tc>
      </w:tr>
      <w:tr w:rsidR="0062768B" w14:paraId="1AA4FCB8" w14:textId="77777777">
        <w:trPr>
          <w:cantSplit/>
          <w:jc w:val="center"/>
        </w:trPr>
        <w:tc>
          <w:tcPr>
            <w:tcW w:w="994" w:type="dxa"/>
            <w:vMerge/>
            <w:shd w:val="clear" w:color="auto" w:fill="auto"/>
            <w:vAlign w:val="center"/>
          </w:tcPr>
          <w:p w14:paraId="16B0A445"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shd w:val="clear" w:color="auto" w:fill="auto"/>
            <w:noWrap/>
            <w:vAlign w:val="center"/>
          </w:tcPr>
          <w:p w14:paraId="119A9C7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公园与绿地</w:t>
            </w:r>
          </w:p>
        </w:tc>
        <w:tc>
          <w:tcPr>
            <w:tcW w:w="4536" w:type="dxa"/>
            <w:shd w:val="clear" w:color="auto" w:fill="auto"/>
            <w:noWrap/>
            <w:vAlign w:val="center"/>
          </w:tcPr>
          <w:p w14:paraId="73708FC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指城镇、村庄范围内的公园、动物园、植物园、街心花园、广场和用于休憩、美化环境及防护</w:t>
            </w:r>
            <w:r>
              <w:rPr>
                <w:rFonts w:ascii="Arial" w:eastAsia="仿宋" w:hAnsi="Arial" w:cs="Arial"/>
                <w:sz w:val="21"/>
                <w:szCs w:val="21"/>
              </w:rPr>
              <w:t xml:space="preserve"> </w:t>
            </w:r>
            <w:r>
              <w:rPr>
                <w:rFonts w:ascii="Arial" w:eastAsia="仿宋" w:hAnsi="Arial" w:cs="Arial"/>
                <w:sz w:val="21"/>
                <w:szCs w:val="21"/>
              </w:rPr>
              <w:t>的绿化用地。</w:t>
            </w:r>
          </w:p>
        </w:tc>
        <w:tc>
          <w:tcPr>
            <w:tcW w:w="1134" w:type="dxa"/>
            <w:vMerge/>
            <w:shd w:val="clear" w:color="auto" w:fill="auto"/>
            <w:vAlign w:val="center"/>
          </w:tcPr>
          <w:p w14:paraId="40491213" w14:textId="77777777" w:rsidR="0062768B" w:rsidRDefault="0062768B">
            <w:pPr>
              <w:widowControl/>
              <w:adjustRightInd/>
              <w:spacing w:line="240" w:lineRule="exact"/>
              <w:textAlignment w:val="auto"/>
              <w:rPr>
                <w:rFonts w:ascii="Arial" w:eastAsia="仿宋" w:hAnsi="Arial" w:cs="Arial"/>
                <w:sz w:val="21"/>
                <w:szCs w:val="21"/>
              </w:rPr>
            </w:pPr>
          </w:p>
        </w:tc>
        <w:tc>
          <w:tcPr>
            <w:tcW w:w="793" w:type="dxa"/>
            <w:shd w:val="clear" w:color="auto" w:fill="auto"/>
            <w:noWrap/>
            <w:vAlign w:val="center"/>
          </w:tcPr>
          <w:p w14:paraId="4E4726B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0.2</w:t>
            </w:r>
          </w:p>
        </w:tc>
      </w:tr>
    </w:tbl>
    <w:p w14:paraId="467FE833"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依据上表，估价对象公共服务用途修正系数为</w:t>
      </w:r>
      <w:r>
        <w:rPr>
          <w:rFonts w:ascii="Arial" w:eastAsia="仿宋" w:hAnsi="Arial" w:cs="Arial"/>
          <w:sz w:val="28"/>
          <w:szCs w:val="28"/>
        </w:rPr>
        <w:t>1</w:t>
      </w:r>
      <w:r>
        <w:rPr>
          <w:rFonts w:ascii="Arial" w:eastAsia="仿宋" w:hAnsi="Arial" w:cs="Arial"/>
          <w:sz w:val="28"/>
          <w:szCs w:val="28"/>
        </w:rPr>
        <w:t>。</w:t>
      </w:r>
    </w:p>
    <w:p w14:paraId="33FBBFB3"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C.</w:t>
      </w:r>
      <w:r>
        <w:rPr>
          <w:rFonts w:ascii="Arial" w:eastAsia="仿宋" w:hAnsi="Arial" w:cs="Arial"/>
          <w:sz w:val="28"/>
          <w:szCs w:val="28"/>
        </w:rPr>
        <w:t>期日修正系数的确定</w:t>
      </w:r>
    </w:p>
    <w:p w14:paraId="5BF60154"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《北京市出让国有建设用地使用权基准地价更新成果（二〇二一年）》</w:t>
      </w:r>
      <w:r>
        <w:rPr>
          <w:rFonts w:ascii="Arial" w:eastAsia="仿宋" w:hAnsi="Arial" w:cs="Arial"/>
          <w:sz w:val="28"/>
          <w:szCs w:val="28"/>
        </w:rPr>
        <w:lastRenderedPageBreak/>
        <w:t>规定，基准地价期日修正系数必须以北京市地价动态监测成果公布的地价增值率为准。</w:t>
      </w:r>
    </w:p>
    <w:p w14:paraId="079DE26A"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t>北京市基准地价更新成果的基准日为</w:t>
      </w:r>
      <w:r>
        <w:rPr>
          <w:rFonts w:ascii="Arial" w:eastAsia="仿宋" w:hAnsi="Arial" w:cs="Arial"/>
          <w:sz w:val="28"/>
          <w:szCs w:val="28"/>
        </w:rPr>
        <w:t>2021</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日，本次评估的估价期日为</w:t>
      </w:r>
      <w:r w:rsidR="00550FB0">
        <w:rPr>
          <w:rFonts w:ascii="Arial" w:eastAsia="仿宋" w:hAnsi="Arial" w:cs="Arial"/>
          <w:sz w:val="28"/>
          <w:szCs w:val="28"/>
        </w:rPr>
        <w:t>2023</w:t>
      </w:r>
      <w:r w:rsidR="00550FB0">
        <w:rPr>
          <w:rFonts w:ascii="Arial" w:eastAsia="仿宋" w:hAnsi="Arial" w:cs="Arial"/>
          <w:sz w:val="28"/>
          <w:szCs w:val="28"/>
        </w:rPr>
        <w:t>年</w:t>
      </w:r>
      <w:r w:rsidR="00550FB0">
        <w:rPr>
          <w:rFonts w:ascii="Arial" w:eastAsia="仿宋" w:hAnsi="Arial" w:cs="Arial"/>
          <w:sz w:val="28"/>
          <w:szCs w:val="28"/>
        </w:rPr>
        <w:t>6</w:t>
      </w:r>
      <w:r w:rsidR="00550FB0">
        <w:rPr>
          <w:rFonts w:ascii="Arial" w:eastAsia="仿宋" w:hAnsi="Arial" w:cs="Arial"/>
          <w:sz w:val="28"/>
          <w:szCs w:val="28"/>
        </w:rPr>
        <w:t>月</w:t>
      </w:r>
      <w:r w:rsidR="00550FB0">
        <w:rPr>
          <w:rFonts w:ascii="Arial" w:eastAsia="仿宋" w:hAnsi="Arial" w:cs="Arial"/>
          <w:sz w:val="28"/>
          <w:szCs w:val="28"/>
        </w:rPr>
        <w:t>20</w:t>
      </w:r>
      <w:r w:rsidR="00550FB0">
        <w:rPr>
          <w:rFonts w:ascii="Arial" w:eastAsia="仿宋" w:hAnsi="Arial" w:cs="Arial"/>
          <w:sz w:val="28"/>
          <w:szCs w:val="28"/>
        </w:rPr>
        <w:t>日</w:t>
      </w:r>
      <w:r>
        <w:rPr>
          <w:rFonts w:ascii="Arial" w:eastAsia="仿宋" w:hAnsi="Arial" w:cs="Arial"/>
          <w:sz w:val="28"/>
          <w:szCs w:val="28"/>
        </w:rPr>
        <w:t>，熟地价期日</w:t>
      </w:r>
      <w:r>
        <w:rPr>
          <w:rFonts w:ascii="Arial" w:eastAsia="仿宋" w:hAnsi="Arial" w:cs="Arial" w:hint="eastAsia"/>
          <w:sz w:val="28"/>
          <w:szCs w:val="28"/>
        </w:rPr>
        <w:t>修正参照办公用房，</w:t>
      </w:r>
      <w:r>
        <w:rPr>
          <w:rFonts w:ascii="Arial" w:eastAsia="仿宋" w:hAnsi="Arial" w:cs="Arial"/>
          <w:sz w:val="28"/>
          <w:szCs w:val="28"/>
        </w:rPr>
        <w:t>以北京市地价动态监测成果公布的地价增长率为准：</w:t>
      </w:r>
    </w:p>
    <w:p w14:paraId="4F03A964" w14:textId="77777777" w:rsidR="0062768B" w:rsidRDefault="00136729">
      <w:pPr>
        <w:spacing w:line="300" w:lineRule="auto"/>
        <w:ind w:firstLineChars="200" w:firstLine="560"/>
        <w:jc w:val="center"/>
        <w:rPr>
          <w:rFonts w:ascii="Arial" w:eastAsia="仿宋" w:hAnsi="Arial" w:cs="Arial"/>
          <w:bCs/>
          <w:sz w:val="28"/>
          <w:szCs w:val="28"/>
        </w:rPr>
      </w:pPr>
      <w:r>
        <w:rPr>
          <w:rFonts w:ascii="Arial" w:eastAsia="仿宋" w:hAnsi="Arial" w:cs="Arial"/>
          <w:bCs/>
          <w:sz w:val="28"/>
          <w:szCs w:val="28"/>
        </w:rPr>
        <w:t>北京市地价增长率</w:t>
      </w:r>
    </w:p>
    <w:p w14:paraId="5A863399" w14:textId="77777777" w:rsidR="0062768B" w:rsidRDefault="00136729">
      <w:pPr>
        <w:adjustRightInd/>
        <w:spacing w:line="240" w:lineRule="auto"/>
        <w:jc w:val="right"/>
        <w:rPr>
          <w:rFonts w:ascii="Arial" w:eastAsia="华文细黑" w:hAnsi="Arial" w:cs="宋体"/>
          <w:sz w:val="18"/>
          <w:szCs w:val="24"/>
        </w:rPr>
      </w:pPr>
      <w:r>
        <w:rPr>
          <w:rFonts w:ascii="Arial" w:eastAsia="华文细黑" w:hAnsi="Arial" w:cs="宋体" w:hint="eastAsia"/>
          <w:sz w:val="18"/>
          <w:szCs w:val="24"/>
        </w:rPr>
        <w:t xml:space="preserve"> </w:t>
      </w:r>
      <w:r>
        <w:rPr>
          <w:rFonts w:ascii="Arial" w:eastAsia="华文细黑" w:hAnsi="Arial" w:cs="宋体" w:hint="eastAsia"/>
          <w:sz w:val="18"/>
          <w:szCs w:val="24"/>
        </w:rPr>
        <w:t>单位</w:t>
      </w:r>
      <w:r>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62768B" w14:paraId="001BADAB" w14:textId="77777777">
        <w:trPr>
          <w:cantSplit/>
          <w:jc w:val="center"/>
        </w:trPr>
        <w:tc>
          <w:tcPr>
            <w:tcW w:w="1859" w:type="dxa"/>
            <w:tcBorders>
              <w:tl2br w:val="single" w:sz="4" w:space="0" w:color="auto"/>
            </w:tcBorders>
            <w:shd w:val="clear" w:color="auto" w:fill="auto"/>
            <w:vAlign w:val="center"/>
          </w:tcPr>
          <w:p w14:paraId="69765F5A" w14:textId="77777777" w:rsidR="0062768B" w:rsidRDefault="00136729">
            <w:pPr>
              <w:tabs>
                <w:tab w:val="left" w:pos="2160"/>
              </w:tabs>
              <w:spacing w:line="240" w:lineRule="exact"/>
              <w:ind w:firstLineChars="450" w:firstLine="945"/>
              <w:jc w:val="right"/>
              <w:rPr>
                <w:rFonts w:ascii="Arial" w:eastAsia="仿宋" w:hAnsi="Arial" w:cs="Arial"/>
                <w:sz w:val="21"/>
                <w:szCs w:val="21"/>
              </w:rPr>
            </w:pPr>
            <w:r>
              <w:rPr>
                <w:rFonts w:ascii="Arial" w:eastAsia="仿宋" w:hAnsi="Arial" w:cs="Arial"/>
                <w:sz w:val="21"/>
                <w:szCs w:val="21"/>
              </w:rPr>
              <w:t>季度</w:t>
            </w:r>
          </w:p>
          <w:p w14:paraId="7D34F9AD"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年度</w:t>
            </w:r>
          </w:p>
        </w:tc>
        <w:tc>
          <w:tcPr>
            <w:tcW w:w="1860" w:type="dxa"/>
            <w:shd w:val="clear" w:color="auto" w:fill="auto"/>
            <w:vAlign w:val="center"/>
          </w:tcPr>
          <w:p w14:paraId="745B56F5"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季度</w:t>
            </w:r>
          </w:p>
        </w:tc>
        <w:tc>
          <w:tcPr>
            <w:tcW w:w="1860" w:type="dxa"/>
            <w:shd w:val="clear" w:color="auto" w:fill="auto"/>
            <w:vAlign w:val="center"/>
          </w:tcPr>
          <w:p w14:paraId="6F23F19B"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季度</w:t>
            </w:r>
          </w:p>
        </w:tc>
        <w:tc>
          <w:tcPr>
            <w:tcW w:w="1860" w:type="dxa"/>
            <w:shd w:val="clear" w:color="auto" w:fill="auto"/>
            <w:vAlign w:val="center"/>
          </w:tcPr>
          <w:p w14:paraId="50F8CA35"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sz w:val="21"/>
                <w:szCs w:val="21"/>
              </w:rPr>
              <w:t>季度</w:t>
            </w:r>
          </w:p>
        </w:tc>
        <w:tc>
          <w:tcPr>
            <w:tcW w:w="1860" w:type="dxa"/>
            <w:shd w:val="clear" w:color="auto" w:fill="auto"/>
            <w:vAlign w:val="center"/>
          </w:tcPr>
          <w:p w14:paraId="737239AE"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sz w:val="21"/>
                <w:szCs w:val="21"/>
              </w:rPr>
              <w:t>季度</w:t>
            </w:r>
          </w:p>
        </w:tc>
      </w:tr>
      <w:tr w:rsidR="0062768B" w14:paraId="3E8A7033" w14:textId="77777777">
        <w:trPr>
          <w:cantSplit/>
          <w:jc w:val="center"/>
        </w:trPr>
        <w:tc>
          <w:tcPr>
            <w:tcW w:w="1859" w:type="dxa"/>
            <w:shd w:val="clear" w:color="auto" w:fill="auto"/>
            <w:vAlign w:val="center"/>
          </w:tcPr>
          <w:p w14:paraId="40E22A80"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2021</w:t>
            </w:r>
          </w:p>
        </w:tc>
        <w:tc>
          <w:tcPr>
            <w:tcW w:w="1860" w:type="dxa"/>
            <w:shd w:val="clear" w:color="auto" w:fill="auto"/>
            <w:vAlign w:val="center"/>
          </w:tcPr>
          <w:p w14:paraId="3F853EE0"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0.48</w:t>
            </w:r>
          </w:p>
        </w:tc>
        <w:tc>
          <w:tcPr>
            <w:tcW w:w="1860" w:type="dxa"/>
            <w:shd w:val="clear" w:color="auto" w:fill="auto"/>
            <w:vAlign w:val="center"/>
          </w:tcPr>
          <w:p w14:paraId="75C9FF73"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0.46</w:t>
            </w:r>
          </w:p>
        </w:tc>
        <w:tc>
          <w:tcPr>
            <w:tcW w:w="1860" w:type="dxa"/>
            <w:shd w:val="clear" w:color="auto" w:fill="auto"/>
            <w:vAlign w:val="center"/>
          </w:tcPr>
          <w:p w14:paraId="6159C414"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0.28</w:t>
            </w:r>
          </w:p>
        </w:tc>
        <w:tc>
          <w:tcPr>
            <w:tcW w:w="1860" w:type="dxa"/>
            <w:shd w:val="clear" w:color="auto" w:fill="auto"/>
            <w:vAlign w:val="center"/>
          </w:tcPr>
          <w:p w14:paraId="4BC42348"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0.08</w:t>
            </w:r>
          </w:p>
        </w:tc>
      </w:tr>
      <w:tr w:rsidR="0062768B" w14:paraId="3BB086EF" w14:textId="77777777">
        <w:trPr>
          <w:cantSplit/>
          <w:jc w:val="center"/>
        </w:trPr>
        <w:tc>
          <w:tcPr>
            <w:tcW w:w="1859" w:type="dxa"/>
            <w:shd w:val="clear" w:color="auto" w:fill="auto"/>
            <w:vAlign w:val="center"/>
          </w:tcPr>
          <w:p w14:paraId="5FFF35B5"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2022</w:t>
            </w:r>
          </w:p>
        </w:tc>
        <w:tc>
          <w:tcPr>
            <w:tcW w:w="1860" w:type="dxa"/>
            <w:shd w:val="clear" w:color="auto" w:fill="auto"/>
            <w:vAlign w:val="center"/>
          </w:tcPr>
          <w:p w14:paraId="5CBC5125"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0.45</w:t>
            </w:r>
          </w:p>
        </w:tc>
        <w:tc>
          <w:tcPr>
            <w:tcW w:w="1860" w:type="dxa"/>
            <w:shd w:val="clear" w:color="auto" w:fill="auto"/>
            <w:vAlign w:val="center"/>
          </w:tcPr>
          <w:p w14:paraId="3F81E3F7"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-0.13</w:t>
            </w:r>
          </w:p>
        </w:tc>
        <w:tc>
          <w:tcPr>
            <w:tcW w:w="1860" w:type="dxa"/>
            <w:shd w:val="clear" w:color="auto" w:fill="auto"/>
            <w:vAlign w:val="center"/>
          </w:tcPr>
          <w:p w14:paraId="7513474E"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0.29</w:t>
            </w:r>
          </w:p>
        </w:tc>
        <w:tc>
          <w:tcPr>
            <w:tcW w:w="1860" w:type="dxa"/>
            <w:shd w:val="clear" w:color="auto" w:fill="auto"/>
            <w:vAlign w:val="center"/>
          </w:tcPr>
          <w:p w14:paraId="7FA36D99"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0.20</w:t>
            </w:r>
          </w:p>
        </w:tc>
      </w:tr>
      <w:tr w:rsidR="0062768B" w14:paraId="5E904517" w14:textId="77777777">
        <w:trPr>
          <w:cantSplit/>
          <w:jc w:val="center"/>
        </w:trPr>
        <w:tc>
          <w:tcPr>
            <w:tcW w:w="1859" w:type="dxa"/>
            <w:shd w:val="clear" w:color="auto" w:fill="auto"/>
            <w:vAlign w:val="center"/>
          </w:tcPr>
          <w:p w14:paraId="7E355E81"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2023</w:t>
            </w:r>
          </w:p>
        </w:tc>
        <w:tc>
          <w:tcPr>
            <w:tcW w:w="1860" w:type="dxa"/>
            <w:shd w:val="clear" w:color="auto" w:fill="auto"/>
            <w:vAlign w:val="center"/>
          </w:tcPr>
          <w:p w14:paraId="60777957"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0.59</w:t>
            </w:r>
          </w:p>
        </w:tc>
        <w:tc>
          <w:tcPr>
            <w:tcW w:w="1860" w:type="dxa"/>
            <w:shd w:val="clear" w:color="auto" w:fill="auto"/>
            <w:vAlign w:val="center"/>
          </w:tcPr>
          <w:p w14:paraId="6276EFD2"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w:t>
            </w:r>
          </w:p>
        </w:tc>
        <w:tc>
          <w:tcPr>
            <w:tcW w:w="1860" w:type="dxa"/>
            <w:shd w:val="clear" w:color="auto" w:fill="auto"/>
            <w:vAlign w:val="center"/>
          </w:tcPr>
          <w:p w14:paraId="07DB36BD"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w:t>
            </w:r>
          </w:p>
        </w:tc>
        <w:tc>
          <w:tcPr>
            <w:tcW w:w="1860" w:type="dxa"/>
            <w:shd w:val="clear" w:color="auto" w:fill="auto"/>
            <w:vAlign w:val="center"/>
          </w:tcPr>
          <w:p w14:paraId="7FCFB644"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w:t>
            </w:r>
          </w:p>
        </w:tc>
      </w:tr>
    </w:tbl>
    <w:p w14:paraId="5FB75CE5"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则有：</w:t>
      </w:r>
    </w:p>
    <w:p w14:paraId="1873995B"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期日修正系数＝（</w:t>
      </w:r>
      <w:r>
        <w:rPr>
          <w:rFonts w:ascii="Arial" w:eastAsia="仿宋" w:hAnsi="Arial" w:cs="Arial"/>
          <w:sz w:val="28"/>
          <w:szCs w:val="28"/>
        </w:rPr>
        <w:t>1+0.48%</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1+0.46%</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1+0.28%</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1+0.08%</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1+0.45%</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1-0.13%</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1+0.29%</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1+0.20%</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1+0.59%</w:t>
      </w:r>
      <w:r>
        <w:rPr>
          <w:rFonts w:ascii="Arial" w:eastAsia="仿宋" w:hAnsi="Arial" w:cs="Arial"/>
          <w:sz w:val="28"/>
          <w:szCs w:val="28"/>
        </w:rPr>
        <w:t>）</w:t>
      </w:r>
      <w:r>
        <w:rPr>
          <w:rFonts w:ascii="Arial" w:eastAsia="仿宋" w:hAnsi="Arial" w:cs="Arial"/>
          <w:sz w:val="28"/>
          <w:szCs w:val="28"/>
        </w:rPr>
        <w:t>=1.0273</w:t>
      </w:r>
    </w:p>
    <w:p w14:paraId="25CEFB92"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t>D.</w:t>
      </w:r>
      <w:r>
        <w:rPr>
          <w:rFonts w:ascii="Arial" w:eastAsia="仿宋" w:hAnsi="Arial" w:cs="Arial"/>
          <w:sz w:val="28"/>
          <w:szCs w:val="28"/>
        </w:rPr>
        <w:t>年期修正系数的确定</w:t>
      </w:r>
    </w:p>
    <w:p w14:paraId="1095DCC5"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t>年期修正系数＝（</w:t>
      </w:r>
      <w:r>
        <w:rPr>
          <w:rFonts w:ascii="Arial" w:eastAsia="仿宋" w:hAnsi="Arial" w:cs="Arial"/>
          <w:sz w:val="28"/>
          <w:szCs w:val="28"/>
        </w:rPr>
        <w:t>1-1÷</w:t>
      </w:r>
      <w:r>
        <w:rPr>
          <w:rFonts w:ascii="Arial" w:eastAsia="仿宋" w:hAnsi="Arial" w:cs="Arial"/>
          <w:sz w:val="28"/>
          <w:szCs w:val="28"/>
        </w:rPr>
        <w:t>（</w:t>
      </w:r>
      <w:r>
        <w:rPr>
          <w:rFonts w:ascii="Arial" w:eastAsia="仿宋" w:hAnsi="Arial" w:cs="Arial"/>
          <w:sz w:val="28"/>
          <w:szCs w:val="28"/>
        </w:rPr>
        <w:t>1</w:t>
      </w:r>
      <w:r>
        <w:rPr>
          <w:rFonts w:ascii="Arial" w:eastAsia="仿宋" w:hAnsi="Arial" w:cs="Arial"/>
          <w:sz w:val="28"/>
          <w:szCs w:val="28"/>
        </w:rPr>
        <w:t>＋</w:t>
      </w:r>
      <w:r>
        <w:rPr>
          <w:rFonts w:ascii="Arial" w:eastAsia="仿宋" w:hAnsi="Arial" w:cs="Arial"/>
          <w:sz w:val="28"/>
          <w:szCs w:val="28"/>
        </w:rPr>
        <w:t>r</w:t>
      </w:r>
      <w:r>
        <w:rPr>
          <w:rFonts w:ascii="Arial" w:eastAsia="仿宋" w:hAnsi="Arial" w:cs="Arial"/>
          <w:sz w:val="28"/>
          <w:szCs w:val="28"/>
        </w:rPr>
        <w:t>）</w:t>
      </w:r>
      <w:r>
        <w:rPr>
          <w:rFonts w:ascii="Arial" w:eastAsia="仿宋" w:hAnsi="Arial" w:cs="Arial"/>
          <w:sz w:val="28"/>
          <w:szCs w:val="28"/>
          <w:vertAlign w:val="superscript"/>
        </w:rPr>
        <w:t>n</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1-1÷</w:t>
      </w:r>
      <w:r>
        <w:rPr>
          <w:rFonts w:ascii="Arial" w:eastAsia="仿宋" w:hAnsi="Arial" w:cs="Arial"/>
          <w:sz w:val="28"/>
          <w:szCs w:val="28"/>
        </w:rPr>
        <w:t>（</w:t>
      </w:r>
      <w:r>
        <w:rPr>
          <w:rFonts w:ascii="Arial" w:eastAsia="仿宋" w:hAnsi="Arial" w:cs="Arial"/>
          <w:sz w:val="28"/>
          <w:szCs w:val="28"/>
        </w:rPr>
        <w:t>1</w:t>
      </w:r>
      <w:r>
        <w:rPr>
          <w:rFonts w:ascii="Arial" w:eastAsia="仿宋" w:hAnsi="Arial" w:cs="Arial"/>
          <w:sz w:val="28"/>
          <w:szCs w:val="28"/>
        </w:rPr>
        <w:t>＋</w:t>
      </w:r>
      <w:r>
        <w:rPr>
          <w:rFonts w:ascii="Arial" w:eastAsia="仿宋" w:hAnsi="Arial" w:cs="Arial"/>
          <w:sz w:val="28"/>
          <w:szCs w:val="28"/>
        </w:rPr>
        <w:t>r</w:t>
      </w:r>
      <w:r>
        <w:rPr>
          <w:rFonts w:ascii="Arial" w:eastAsia="仿宋" w:hAnsi="Arial" w:cs="Arial"/>
          <w:sz w:val="28"/>
          <w:szCs w:val="28"/>
        </w:rPr>
        <w:t>）</w:t>
      </w:r>
      <w:r>
        <w:rPr>
          <w:rFonts w:ascii="Arial" w:eastAsia="仿宋" w:hAnsi="Arial" w:cs="Arial"/>
          <w:sz w:val="28"/>
          <w:szCs w:val="28"/>
          <w:vertAlign w:val="superscript"/>
        </w:rPr>
        <w:t>N</w:t>
      </w:r>
      <w:r>
        <w:rPr>
          <w:rFonts w:ascii="Arial" w:eastAsia="仿宋" w:hAnsi="Arial" w:cs="Arial"/>
          <w:sz w:val="28"/>
          <w:szCs w:val="28"/>
        </w:rPr>
        <w:t>）</w:t>
      </w:r>
    </w:p>
    <w:p w14:paraId="6043250A" w14:textId="77777777" w:rsidR="0062768B" w:rsidRDefault="00136729">
      <w:pPr>
        <w:autoSpaceDE w:val="0"/>
        <w:autoSpaceDN w:val="0"/>
        <w:spacing w:line="300" w:lineRule="auto"/>
        <w:ind w:firstLineChars="200" w:firstLine="560"/>
        <w:textAlignment w:val="auto"/>
        <w:rPr>
          <w:rFonts w:ascii="Arial" w:eastAsia="仿宋" w:hAnsi="Arial" w:cs="Arial"/>
          <w:sz w:val="28"/>
          <w:szCs w:val="28"/>
        </w:rPr>
      </w:pPr>
      <w:r>
        <w:rPr>
          <w:rFonts w:ascii="Arial" w:eastAsia="仿宋" w:hAnsi="Arial" w:cs="Arial"/>
          <w:sz w:val="28"/>
          <w:szCs w:val="28"/>
        </w:rPr>
        <w:t>其中：</w:t>
      </w:r>
      <w:r>
        <w:rPr>
          <w:rFonts w:ascii="Arial" w:eastAsia="仿宋" w:hAnsi="Arial" w:cs="Arial"/>
          <w:sz w:val="28"/>
          <w:szCs w:val="28"/>
        </w:rPr>
        <w:t>r</w:t>
      </w:r>
      <w:proofErr w:type="gramStart"/>
      <w:r>
        <w:rPr>
          <w:rFonts w:ascii="Arial" w:eastAsia="仿宋" w:hAnsi="Arial" w:cs="Arial"/>
          <w:sz w:val="28"/>
          <w:szCs w:val="28"/>
        </w:rPr>
        <w:t>—</w:t>
      </w:r>
      <w:r>
        <w:rPr>
          <w:rFonts w:ascii="Arial" w:eastAsia="仿宋" w:hAnsi="Arial" w:cs="Arial"/>
          <w:sz w:val="28"/>
          <w:szCs w:val="28"/>
        </w:rPr>
        <w:t>土地</w:t>
      </w:r>
      <w:proofErr w:type="gramEnd"/>
      <w:r>
        <w:rPr>
          <w:rFonts w:ascii="Arial" w:eastAsia="仿宋" w:hAnsi="Arial" w:cs="Arial"/>
          <w:sz w:val="28"/>
          <w:szCs w:val="28"/>
        </w:rPr>
        <w:t>还原率</w:t>
      </w:r>
    </w:p>
    <w:p w14:paraId="0AF0E8AC" w14:textId="77777777" w:rsidR="0062768B" w:rsidRDefault="00136729">
      <w:pPr>
        <w:autoSpaceDE w:val="0"/>
        <w:autoSpaceDN w:val="0"/>
        <w:spacing w:line="300" w:lineRule="auto"/>
        <w:ind w:firstLineChars="500" w:firstLine="1400"/>
        <w:textAlignment w:val="auto"/>
        <w:rPr>
          <w:rFonts w:ascii="Arial" w:eastAsia="仿宋" w:hAnsi="Arial" w:cs="Arial"/>
          <w:sz w:val="28"/>
          <w:szCs w:val="28"/>
        </w:rPr>
      </w:pPr>
      <w:r>
        <w:rPr>
          <w:rFonts w:ascii="Arial" w:eastAsia="仿宋" w:hAnsi="Arial" w:cs="Arial"/>
          <w:sz w:val="28"/>
          <w:szCs w:val="28"/>
        </w:rPr>
        <w:t>n—</w:t>
      </w:r>
      <w:r>
        <w:rPr>
          <w:rFonts w:ascii="Arial" w:eastAsia="仿宋" w:hAnsi="Arial" w:cs="Arial"/>
          <w:sz w:val="28"/>
          <w:szCs w:val="28"/>
        </w:rPr>
        <w:t>宗地剩余土地使用年限</w:t>
      </w:r>
    </w:p>
    <w:p w14:paraId="571AC182" w14:textId="77777777" w:rsidR="0062768B" w:rsidRDefault="00136729">
      <w:pPr>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sz w:val="28"/>
          <w:szCs w:val="28"/>
        </w:rPr>
        <w:t>基准地价规定的相应用途土地使用年限</w:t>
      </w:r>
    </w:p>
    <w:p w14:paraId="387E8CD1"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商业、办公、居住、工业、公共服务用途的土地还原率原则上按同期中国人民银行公布的一年</w:t>
      </w:r>
      <w:proofErr w:type="gramStart"/>
      <w:r>
        <w:rPr>
          <w:rFonts w:ascii="Arial" w:eastAsia="仿宋" w:hAnsi="Arial" w:cs="Arial"/>
          <w:sz w:val="28"/>
          <w:szCs w:val="28"/>
        </w:rPr>
        <w:t>期贷</w:t>
      </w:r>
      <w:proofErr w:type="gramEnd"/>
      <w:r>
        <w:rPr>
          <w:rFonts w:ascii="Arial" w:eastAsia="仿宋" w:hAnsi="Arial" w:cs="Arial"/>
          <w:sz w:val="28"/>
          <w:szCs w:val="28"/>
        </w:rPr>
        <w:t>款利率分别上浮</w:t>
      </w:r>
      <w:r>
        <w:rPr>
          <w:rFonts w:ascii="Arial" w:eastAsia="仿宋" w:hAnsi="Arial" w:cs="Arial"/>
          <w:sz w:val="28"/>
          <w:szCs w:val="28"/>
        </w:rPr>
        <w:t>25</w:t>
      </w:r>
      <w:r>
        <w:rPr>
          <w:rFonts w:ascii="Arial" w:eastAsia="仿宋" w:hAnsi="Arial" w:cs="Arial"/>
          <w:sz w:val="28"/>
          <w:szCs w:val="28"/>
        </w:rPr>
        <w:t>％、</w:t>
      </w:r>
      <w:r>
        <w:rPr>
          <w:rFonts w:ascii="Arial" w:eastAsia="仿宋" w:hAnsi="Arial" w:cs="Arial"/>
          <w:sz w:val="28"/>
          <w:szCs w:val="28"/>
        </w:rPr>
        <w:t>20</w:t>
      </w:r>
      <w:r>
        <w:rPr>
          <w:rFonts w:ascii="Arial" w:eastAsia="仿宋" w:hAnsi="Arial" w:cs="Arial"/>
          <w:sz w:val="28"/>
          <w:szCs w:val="28"/>
        </w:rPr>
        <w:t>％、</w:t>
      </w:r>
      <w:r>
        <w:rPr>
          <w:rFonts w:ascii="Arial" w:eastAsia="仿宋" w:hAnsi="Arial" w:cs="Arial"/>
          <w:sz w:val="28"/>
          <w:szCs w:val="28"/>
        </w:rPr>
        <w:t>15</w:t>
      </w:r>
      <w:r>
        <w:rPr>
          <w:rFonts w:ascii="Arial" w:eastAsia="仿宋" w:hAnsi="Arial" w:cs="Arial"/>
          <w:sz w:val="28"/>
          <w:szCs w:val="28"/>
        </w:rPr>
        <w:t>％、</w:t>
      </w:r>
      <w:r>
        <w:rPr>
          <w:rFonts w:ascii="Arial" w:eastAsia="仿宋" w:hAnsi="Arial" w:cs="Arial"/>
          <w:sz w:val="28"/>
          <w:szCs w:val="28"/>
        </w:rPr>
        <w:t>10</w:t>
      </w:r>
      <w:r>
        <w:rPr>
          <w:rFonts w:ascii="Arial" w:eastAsia="仿宋" w:hAnsi="Arial" w:cs="Arial"/>
          <w:sz w:val="28"/>
          <w:szCs w:val="28"/>
        </w:rPr>
        <w:t>％、</w:t>
      </w:r>
      <w:r>
        <w:rPr>
          <w:rFonts w:ascii="Arial" w:eastAsia="仿宋" w:hAnsi="Arial" w:cs="Arial"/>
          <w:sz w:val="28"/>
          <w:szCs w:val="28"/>
        </w:rPr>
        <w:t>15</w:t>
      </w:r>
      <w:r>
        <w:rPr>
          <w:rFonts w:ascii="Arial" w:eastAsia="仿宋" w:hAnsi="Arial" w:cs="Arial"/>
          <w:sz w:val="28"/>
          <w:szCs w:val="28"/>
        </w:rPr>
        <w:t>％确定，且须分别不低于</w:t>
      </w:r>
      <w:r>
        <w:rPr>
          <w:rFonts w:ascii="Arial" w:eastAsia="仿宋" w:hAnsi="Arial" w:cs="Arial"/>
          <w:sz w:val="28"/>
          <w:szCs w:val="28"/>
        </w:rPr>
        <w:t>5.5</w:t>
      </w:r>
      <w:r>
        <w:rPr>
          <w:rFonts w:ascii="Arial" w:eastAsia="仿宋" w:hAnsi="Arial" w:cs="Arial"/>
          <w:sz w:val="28"/>
          <w:szCs w:val="28"/>
        </w:rPr>
        <w:t>％、</w:t>
      </w:r>
      <w:r>
        <w:rPr>
          <w:rFonts w:ascii="Arial" w:eastAsia="仿宋" w:hAnsi="Arial" w:cs="Arial"/>
          <w:sz w:val="28"/>
          <w:szCs w:val="28"/>
        </w:rPr>
        <w:t>5.5</w:t>
      </w:r>
      <w:r>
        <w:rPr>
          <w:rFonts w:ascii="Arial" w:eastAsia="仿宋" w:hAnsi="Arial" w:cs="Arial"/>
          <w:sz w:val="28"/>
          <w:szCs w:val="28"/>
        </w:rPr>
        <w:t>％、</w:t>
      </w:r>
      <w:r>
        <w:rPr>
          <w:rFonts w:ascii="Arial" w:eastAsia="仿宋" w:hAnsi="Arial" w:cs="Arial"/>
          <w:sz w:val="28"/>
          <w:szCs w:val="28"/>
        </w:rPr>
        <w:t>5</w:t>
      </w:r>
      <w:r>
        <w:rPr>
          <w:rFonts w:ascii="Arial" w:eastAsia="仿宋" w:hAnsi="Arial" w:cs="Arial"/>
          <w:sz w:val="28"/>
          <w:szCs w:val="28"/>
        </w:rPr>
        <w:t>％、</w:t>
      </w:r>
      <w:r>
        <w:rPr>
          <w:rFonts w:ascii="Arial" w:eastAsia="仿宋" w:hAnsi="Arial" w:cs="Arial"/>
          <w:sz w:val="28"/>
          <w:szCs w:val="28"/>
        </w:rPr>
        <w:t>5</w:t>
      </w:r>
      <w:r>
        <w:rPr>
          <w:rFonts w:ascii="Arial" w:eastAsia="仿宋" w:hAnsi="Arial" w:cs="Arial"/>
          <w:sz w:val="28"/>
          <w:szCs w:val="28"/>
        </w:rPr>
        <w:t>％、</w:t>
      </w:r>
      <w:r>
        <w:rPr>
          <w:rFonts w:ascii="Arial" w:eastAsia="仿宋" w:hAnsi="Arial" w:cs="Arial"/>
          <w:sz w:val="28"/>
          <w:szCs w:val="28"/>
        </w:rPr>
        <w:t>5</w:t>
      </w:r>
      <w:r>
        <w:rPr>
          <w:rFonts w:ascii="Arial" w:eastAsia="仿宋" w:hAnsi="Arial" w:cs="Arial"/>
          <w:sz w:val="28"/>
          <w:szCs w:val="28"/>
        </w:rPr>
        <w:t>％，不高于</w:t>
      </w:r>
      <w:r>
        <w:rPr>
          <w:rFonts w:ascii="Arial" w:eastAsia="仿宋" w:hAnsi="Arial" w:cs="Arial"/>
          <w:sz w:val="28"/>
          <w:szCs w:val="28"/>
        </w:rPr>
        <w:t>6.5</w:t>
      </w:r>
      <w:r>
        <w:rPr>
          <w:rFonts w:ascii="Arial" w:eastAsia="仿宋" w:hAnsi="Arial" w:cs="Arial"/>
          <w:sz w:val="28"/>
          <w:szCs w:val="28"/>
        </w:rPr>
        <w:t>％、</w:t>
      </w:r>
      <w:r>
        <w:rPr>
          <w:rFonts w:ascii="Arial" w:eastAsia="仿宋" w:hAnsi="Arial" w:cs="Arial"/>
          <w:sz w:val="28"/>
          <w:szCs w:val="28"/>
        </w:rPr>
        <w:t>6.5</w:t>
      </w:r>
      <w:r>
        <w:rPr>
          <w:rFonts w:ascii="Arial" w:eastAsia="仿宋" w:hAnsi="Arial" w:cs="Arial"/>
          <w:sz w:val="28"/>
          <w:szCs w:val="28"/>
        </w:rPr>
        <w:t>％、</w:t>
      </w:r>
      <w:r>
        <w:rPr>
          <w:rFonts w:ascii="Arial" w:eastAsia="仿宋" w:hAnsi="Arial" w:cs="Arial"/>
          <w:sz w:val="28"/>
          <w:szCs w:val="28"/>
        </w:rPr>
        <w:t>6</w:t>
      </w:r>
      <w:r>
        <w:rPr>
          <w:rFonts w:ascii="Arial" w:eastAsia="仿宋" w:hAnsi="Arial" w:cs="Arial"/>
          <w:sz w:val="28"/>
          <w:szCs w:val="28"/>
        </w:rPr>
        <w:t>％、</w:t>
      </w:r>
      <w:r>
        <w:rPr>
          <w:rFonts w:ascii="Arial" w:eastAsia="仿宋" w:hAnsi="Arial" w:cs="Arial"/>
          <w:sz w:val="28"/>
          <w:szCs w:val="28"/>
        </w:rPr>
        <w:t>6</w:t>
      </w:r>
      <w:r>
        <w:rPr>
          <w:rFonts w:ascii="Arial" w:eastAsia="仿宋" w:hAnsi="Arial" w:cs="Arial"/>
          <w:sz w:val="28"/>
          <w:szCs w:val="28"/>
        </w:rPr>
        <w:t>％、</w:t>
      </w:r>
      <w:r>
        <w:rPr>
          <w:rFonts w:ascii="Arial" w:eastAsia="仿宋" w:hAnsi="Arial" w:cs="Arial"/>
          <w:sz w:val="28"/>
          <w:szCs w:val="28"/>
        </w:rPr>
        <w:t>6</w:t>
      </w:r>
      <w:r>
        <w:rPr>
          <w:rFonts w:ascii="Arial" w:eastAsia="仿宋" w:hAnsi="Arial" w:cs="Arial"/>
          <w:sz w:val="28"/>
          <w:szCs w:val="28"/>
        </w:rPr>
        <w:t>％。估价对象用途为公共服务，现行一年</w:t>
      </w:r>
      <w:proofErr w:type="gramStart"/>
      <w:r>
        <w:rPr>
          <w:rFonts w:ascii="Arial" w:eastAsia="仿宋" w:hAnsi="Arial" w:cs="Arial"/>
          <w:sz w:val="28"/>
          <w:szCs w:val="28"/>
        </w:rPr>
        <w:t>期贷</w:t>
      </w:r>
      <w:proofErr w:type="gramEnd"/>
      <w:r>
        <w:rPr>
          <w:rFonts w:ascii="Arial" w:eastAsia="仿宋" w:hAnsi="Arial" w:cs="Arial"/>
          <w:sz w:val="28"/>
          <w:szCs w:val="28"/>
        </w:rPr>
        <w:t>款利率（</w:t>
      </w:r>
      <w:r>
        <w:rPr>
          <w:rFonts w:ascii="Arial" w:eastAsia="仿宋" w:hAnsi="Arial" w:cs="Arial"/>
          <w:sz w:val="28"/>
          <w:szCs w:val="28"/>
        </w:rPr>
        <w:t>2015</w:t>
      </w:r>
      <w:r>
        <w:rPr>
          <w:rFonts w:ascii="Arial" w:eastAsia="仿宋" w:hAnsi="Arial" w:cs="Arial"/>
          <w:sz w:val="28"/>
          <w:szCs w:val="28"/>
        </w:rPr>
        <w:t>年</w:t>
      </w:r>
      <w:r>
        <w:rPr>
          <w:rFonts w:ascii="Arial" w:eastAsia="仿宋" w:hAnsi="Arial" w:cs="Arial"/>
          <w:sz w:val="28"/>
          <w:szCs w:val="28"/>
        </w:rPr>
        <w:t>10</w:t>
      </w:r>
      <w:r>
        <w:rPr>
          <w:rFonts w:ascii="Arial" w:eastAsia="仿宋" w:hAnsi="Arial" w:cs="Arial"/>
          <w:sz w:val="28"/>
          <w:szCs w:val="28"/>
        </w:rPr>
        <w:t>月</w:t>
      </w:r>
      <w:r>
        <w:rPr>
          <w:rFonts w:ascii="Arial" w:eastAsia="仿宋" w:hAnsi="Arial" w:cs="Arial"/>
          <w:sz w:val="28"/>
          <w:szCs w:val="28"/>
        </w:rPr>
        <w:t>24</w:t>
      </w:r>
      <w:r>
        <w:rPr>
          <w:rFonts w:ascii="Arial" w:eastAsia="仿宋" w:hAnsi="Arial" w:cs="Arial"/>
          <w:sz w:val="28"/>
          <w:szCs w:val="28"/>
        </w:rPr>
        <w:t>日公布）为</w:t>
      </w:r>
      <w:r>
        <w:rPr>
          <w:rFonts w:ascii="Arial" w:eastAsia="仿宋" w:hAnsi="Arial" w:cs="Arial"/>
          <w:sz w:val="28"/>
          <w:szCs w:val="28"/>
        </w:rPr>
        <w:t>4.35%</w:t>
      </w:r>
      <w:r>
        <w:rPr>
          <w:rFonts w:ascii="Arial" w:eastAsia="仿宋" w:hAnsi="Arial" w:cs="Arial"/>
          <w:sz w:val="28"/>
          <w:szCs w:val="28"/>
        </w:rPr>
        <w:t>，按照上述利率计算得出的土地还原率为</w:t>
      </w:r>
      <w:r>
        <w:rPr>
          <w:rFonts w:ascii="Arial" w:eastAsia="仿宋" w:hAnsi="Arial" w:cs="Arial"/>
          <w:sz w:val="28"/>
          <w:szCs w:val="28"/>
        </w:rPr>
        <w:t>5%</w:t>
      </w:r>
      <w:r>
        <w:rPr>
          <w:rFonts w:ascii="Arial" w:eastAsia="仿宋" w:hAnsi="Arial" w:cs="Arial"/>
          <w:sz w:val="28"/>
          <w:szCs w:val="28"/>
        </w:rPr>
        <w:t>，低于所要求的</w:t>
      </w:r>
      <w:proofErr w:type="gramStart"/>
      <w:r>
        <w:rPr>
          <w:rFonts w:ascii="Arial" w:eastAsia="仿宋" w:hAnsi="Arial" w:cs="Arial"/>
          <w:sz w:val="28"/>
          <w:szCs w:val="28"/>
        </w:rPr>
        <w:t>的</w:t>
      </w:r>
      <w:proofErr w:type="gramEnd"/>
      <w:r>
        <w:rPr>
          <w:rFonts w:ascii="Arial" w:eastAsia="仿宋" w:hAnsi="Arial" w:cs="Arial"/>
          <w:sz w:val="28"/>
          <w:szCs w:val="28"/>
        </w:rPr>
        <w:t>最低值。故土地还原率取</w:t>
      </w:r>
      <w:r>
        <w:rPr>
          <w:rFonts w:ascii="Arial" w:eastAsia="仿宋" w:hAnsi="Arial" w:cs="Arial" w:hint="eastAsia"/>
          <w:sz w:val="28"/>
          <w:szCs w:val="28"/>
        </w:rPr>
        <w:t>公共服务</w:t>
      </w:r>
      <w:r>
        <w:rPr>
          <w:rFonts w:ascii="Arial" w:eastAsia="仿宋" w:hAnsi="Arial" w:cs="Arial"/>
          <w:sz w:val="28"/>
          <w:szCs w:val="28"/>
        </w:rPr>
        <w:t>用途最低值</w:t>
      </w:r>
      <w:r>
        <w:rPr>
          <w:rFonts w:ascii="Arial" w:eastAsia="仿宋" w:hAnsi="Arial" w:cs="Arial"/>
          <w:sz w:val="28"/>
          <w:szCs w:val="28"/>
        </w:rPr>
        <w:t>5%</w:t>
      </w:r>
      <w:r>
        <w:rPr>
          <w:rFonts w:ascii="Arial" w:eastAsia="仿宋" w:hAnsi="Arial" w:cs="Arial"/>
          <w:sz w:val="28"/>
          <w:szCs w:val="28"/>
        </w:rPr>
        <w:t>。</w:t>
      </w:r>
    </w:p>
    <w:p w14:paraId="69ECF9AD"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估价对象剩余土地使用年限为</w:t>
      </w:r>
      <w:r>
        <w:rPr>
          <w:rFonts w:ascii="Arial" w:eastAsia="仿宋" w:hAnsi="Arial" w:cs="Arial"/>
          <w:sz w:val="28"/>
          <w:szCs w:val="28"/>
        </w:rPr>
        <w:t>50</w:t>
      </w:r>
      <w:r>
        <w:rPr>
          <w:rFonts w:ascii="Arial" w:eastAsia="仿宋" w:hAnsi="Arial" w:cs="Arial"/>
          <w:sz w:val="28"/>
          <w:szCs w:val="28"/>
        </w:rPr>
        <w:t>年，公共服务用途法定用途最高出让年限为</w:t>
      </w:r>
      <w:r>
        <w:rPr>
          <w:rFonts w:ascii="Arial" w:eastAsia="仿宋" w:hAnsi="Arial" w:cs="Arial"/>
          <w:sz w:val="28"/>
          <w:szCs w:val="28"/>
        </w:rPr>
        <w:t>50</w:t>
      </w:r>
      <w:r>
        <w:rPr>
          <w:rFonts w:ascii="Arial" w:eastAsia="仿宋" w:hAnsi="Arial" w:cs="Arial"/>
          <w:sz w:val="28"/>
          <w:szCs w:val="28"/>
        </w:rPr>
        <w:t>年，故不做修正。</w:t>
      </w:r>
    </w:p>
    <w:p w14:paraId="43335430"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t>E.</w:t>
      </w:r>
      <w:r>
        <w:rPr>
          <w:rFonts w:ascii="Arial" w:eastAsia="仿宋" w:hAnsi="Arial" w:cs="Arial"/>
          <w:sz w:val="28"/>
          <w:szCs w:val="28"/>
        </w:rPr>
        <w:t>容积率修正系数的确定</w:t>
      </w:r>
    </w:p>
    <w:p w14:paraId="23319652" w14:textId="77777777" w:rsidR="0062768B" w:rsidRDefault="00136729">
      <w:pPr>
        <w:adjustRightInd/>
        <w:spacing w:line="300" w:lineRule="auto"/>
        <w:ind w:firstLineChars="200" w:firstLine="560"/>
        <w:rPr>
          <w:rFonts w:ascii="Arial" w:eastAsia="仿宋" w:hAnsi="Arial" w:cs="Arial"/>
          <w:bCs/>
          <w:sz w:val="28"/>
          <w:szCs w:val="28"/>
        </w:rPr>
      </w:pPr>
      <w:r>
        <w:rPr>
          <w:rFonts w:ascii="Arial" w:eastAsia="仿宋" w:hAnsi="Arial" w:cs="Arial"/>
          <w:sz w:val="28"/>
          <w:szCs w:val="28"/>
        </w:rPr>
        <w:t>依据《北京市基准地价容积率修正系数表（公共服务类）》（详见下表）。</w:t>
      </w:r>
    </w:p>
    <w:p w14:paraId="40609C4F" w14:textId="77777777" w:rsidR="0062768B" w:rsidRDefault="00136729">
      <w:pPr>
        <w:spacing w:line="300" w:lineRule="auto"/>
        <w:jc w:val="center"/>
        <w:rPr>
          <w:rFonts w:ascii="Arial" w:eastAsia="仿宋" w:hAnsi="Arial" w:cs="Arial"/>
          <w:sz w:val="28"/>
          <w:szCs w:val="28"/>
        </w:rPr>
      </w:pPr>
      <w:r>
        <w:rPr>
          <w:rFonts w:ascii="Arial" w:eastAsia="仿宋" w:hAnsi="Arial" w:cs="Arial"/>
          <w:bCs/>
          <w:sz w:val="28"/>
          <w:szCs w:val="28"/>
        </w:rPr>
        <w:lastRenderedPageBreak/>
        <w:t>北京市基准地价容积率修正系数表（公共服务类、工业研发用地</w:t>
      </w:r>
      <w:r>
        <w:rPr>
          <w:rFonts w:ascii="Arial" w:eastAsia="仿宋" w:hAnsi="Arial" w:cs="Arial"/>
          <w:bCs/>
          <w:sz w:val="28"/>
          <w:szCs w:val="28"/>
        </w:rPr>
        <w:t>M4</w:t>
      </w:r>
      <w:r>
        <w:rPr>
          <w:rFonts w:ascii="Arial" w:eastAsia="仿宋" w:hAnsi="Arial" w:cs="Arial"/>
          <w:bCs/>
          <w:sz w:val="28"/>
          <w:szCs w:val="28"/>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79"/>
        <w:gridCol w:w="1098"/>
        <w:gridCol w:w="1253"/>
        <w:gridCol w:w="1253"/>
        <w:gridCol w:w="1179"/>
        <w:gridCol w:w="979"/>
        <w:gridCol w:w="1179"/>
        <w:gridCol w:w="1179"/>
      </w:tblGrid>
      <w:tr w:rsidR="0062768B" w14:paraId="0EFA228A" w14:textId="77777777">
        <w:trPr>
          <w:cantSplit/>
          <w:tblHeader/>
          <w:jc w:val="center"/>
        </w:trPr>
        <w:tc>
          <w:tcPr>
            <w:tcW w:w="1179" w:type="dxa"/>
            <w:shd w:val="clear" w:color="auto" w:fill="auto"/>
            <w:noWrap/>
            <w:vAlign w:val="center"/>
          </w:tcPr>
          <w:p w14:paraId="5559585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容积率</w:t>
            </w:r>
          </w:p>
        </w:tc>
        <w:tc>
          <w:tcPr>
            <w:tcW w:w="1098" w:type="dxa"/>
            <w:shd w:val="clear" w:color="auto" w:fill="auto"/>
            <w:noWrap/>
            <w:vAlign w:val="center"/>
          </w:tcPr>
          <w:p w14:paraId="5F9EF30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1-2</w:t>
            </w:r>
            <w:r>
              <w:rPr>
                <w:rFonts w:ascii="Arial" w:eastAsia="仿宋" w:hAnsi="Arial" w:cs="Arial"/>
                <w:sz w:val="20"/>
              </w:rPr>
              <w:t>级</w:t>
            </w:r>
          </w:p>
        </w:tc>
        <w:tc>
          <w:tcPr>
            <w:tcW w:w="1253" w:type="dxa"/>
            <w:shd w:val="clear" w:color="auto" w:fill="auto"/>
            <w:vAlign w:val="center"/>
          </w:tcPr>
          <w:p w14:paraId="6FDEED5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3-7</w:t>
            </w:r>
            <w:r>
              <w:rPr>
                <w:rFonts w:ascii="Arial" w:eastAsia="仿宋" w:hAnsi="Arial" w:cs="Arial"/>
                <w:sz w:val="20"/>
              </w:rPr>
              <w:t>级</w:t>
            </w:r>
          </w:p>
        </w:tc>
        <w:tc>
          <w:tcPr>
            <w:tcW w:w="1253" w:type="dxa"/>
            <w:shd w:val="clear" w:color="auto" w:fill="auto"/>
            <w:vAlign w:val="center"/>
          </w:tcPr>
          <w:p w14:paraId="56444EF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8-12</w:t>
            </w:r>
            <w:r>
              <w:rPr>
                <w:rFonts w:ascii="Arial" w:eastAsia="仿宋" w:hAnsi="Arial" w:cs="Arial"/>
                <w:sz w:val="20"/>
              </w:rPr>
              <w:t>级</w:t>
            </w:r>
          </w:p>
        </w:tc>
        <w:tc>
          <w:tcPr>
            <w:tcW w:w="1179" w:type="dxa"/>
            <w:shd w:val="clear" w:color="auto" w:fill="auto"/>
            <w:noWrap/>
            <w:vAlign w:val="center"/>
          </w:tcPr>
          <w:p w14:paraId="159544B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容积率</w:t>
            </w:r>
          </w:p>
        </w:tc>
        <w:tc>
          <w:tcPr>
            <w:tcW w:w="979" w:type="dxa"/>
            <w:shd w:val="clear" w:color="auto" w:fill="auto"/>
            <w:noWrap/>
            <w:vAlign w:val="center"/>
          </w:tcPr>
          <w:p w14:paraId="1A79560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1-2</w:t>
            </w:r>
            <w:r>
              <w:rPr>
                <w:rFonts w:ascii="Arial" w:eastAsia="仿宋" w:hAnsi="Arial" w:cs="Arial"/>
                <w:sz w:val="20"/>
              </w:rPr>
              <w:t>级</w:t>
            </w:r>
          </w:p>
        </w:tc>
        <w:tc>
          <w:tcPr>
            <w:tcW w:w="1179" w:type="dxa"/>
            <w:shd w:val="clear" w:color="auto" w:fill="auto"/>
            <w:vAlign w:val="center"/>
          </w:tcPr>
          <w:p w14:paraId="3BE5291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3-7</w:t>
            </w:r>
            <w:r>
              <w:rPr>
                <w:rFonts w:ascii="Arial" w:eastAsia="仿宋" w:hAnsi="Arial" w:cs="Arial"/>
                <w:sz w:val="20"/>
              </w:rPr>
              <w:t>级</w:t>
            </w:r>
          </w:p>
        </w:tc>
        <w:tc>
          <w:tcPr>
            <w:tcW w:w="1179" w:type="dxa"/>
            <w:shd w:val="clear" w:color="auto" w:fill="auto"/>
            <w:vAlign w:val="center"/>
          </w:tcPr>
          <w:p w14:paraId="6165870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8-12</w:t>
            </w:r>
            <w:r>
              <w:rPr>
                <w:rFonts w:ascii="Arial" w:eastAsia="仿宋" w:hAnsi="Arial" w:cs="Arial"/>
                <w:sz w:val="20"/>
              </w:rPr>
              <w:t>级</w:t>
            </w:r>
          </w:p>
        </w:tc>
      </w:tr>
      <w:tr w:rsidR="0062768B" w14:paraId="0A05F9E1" w14:textId="77777777">
        <w:trPr>
          <w:cantSplit/>
          <w:jc w:val="center"/>
        </w:trPr>
        <w:tc>
          <w:tcPr>
            <w:tcW w:w="1179" w:type="dxa"/>
            <w:shd w:val="clear" w:color="auto" w:fill="auto"/>
            <w:noWrap/>
            <w:vAlign w:val="center"/>
          </w:tcPr>
          <w:p w14:paraId="2D0BB97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1.0 </w:t>
            </w:r>
          </w:p>
        </w:tc>
        <w:tc>
          <w:tcPr>
            <w:tcW w:w="1098" w:type="dxa"/>
            <w:shd w:val="clear" w:color="auto" w:fill="auto"/>
            <w:noWrap/>
            <w:vAlign w:val="center"/>
          </w:tcPr>
          <w:p w14:paraId="35D5C51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1.184</w:t>
            </w:r>
          </w:p>
        </w:tc>
        <w:tc>
          <w:tcPr>
            <w:tcW w:w="1253" w:type="dxa"/>
            <w:shd w:val="clear" w:color="auto" w:fill="auto"/>
            <w:noWrap/>
            <w:vAlign w:val="center"/>
          </w:tcPr>
          <w:p w14:paraId="64F7078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1.1565</w:t>
            </w:r>
          </w:p>
        </w:tc>
        <w:tc>
          <w:tcPr>
            <w:tcW w:w="1253" w:type="dxa"/>
            <w:shd w:val="clear" w:color="auto" w:fill="auto"/>
            <w:noWrap/>
            <w:vAlign w:val="center"/>
          </w:tcPr>
          <w:p w14:paraId="73E8AFC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1.1199</w:t>
            </w:r>
          </w:p>
        </w:tc>
        <w:tc>
          <w:tcPr>
            <w:tcW w:w="1179" w:type="dxa"/>
            <w:shd w:val="clear" w:color="auto" w:fill="auto"/>
            <w:vAlign w:val="center"/>
          </w:tcPr>
          <w:p w14:paraId="40ABD75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5.5 </w:t>
            </w:r>
          </w:p>
        </w:tc>
        <w:tc>
          <w:tcPr>
            <w:tcW w:w="979" w:type="dxa"/>
            <w:shd w:val="clear" w:color="auto" w:fill="auto"/>
            <w:noWrap/>
            <w:vAlign w:val="center"/>
          </w:tcPr>
          <w:p w14:paraId="1B71A04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0.8996</w:t>
            </w:r>
          </w:p>
        </w:tc>
        <w:tc>
          <w:tcPr>
            <w:tcW w:w="1179" w:type="dxa"/>
            <w:shd w:val="clear" w:color="auto" w:fill="auto"/>
            <w:noWrap/>
            <w:vAlign w:val="center"/>
          </w:tcPr>
          <w:p w14:paraId="711F15B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0.8381</w:t>
            </w:r>
          </w:p>
        </w:tc>
        <w:tc>
          <w:tcPr>
            <w:tcW w:w="1179" w:type="dxa"/>
            <w:shd w:val="clear" w:color="auto" w:fill="auto"/>
            <w:noWrap/>
            <w:vAlign w:val="center"/>
          </w:tcPr>
          <w:p w14:paraId="5091F23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0.6906</w:t>
            </w:r>
          </w:p>
        </w:tc>
      </w:tr>
      <w:tr w:rsidR="0062768B" w14:paraId="0F71C3A3" w14:textId="77777777">
        <w:trPr>
          <w:cantSplit/>
          <w:jc w:val="center"/>
        </w:trPr>
        <w:tc>
          <w:tcPr>
            <w:tcW w:w="1179" w:type="dxa"/>
            <w:shd w:val="clear" w:color="auto" w:fill="auto"/>
            <w:noWrap/>
            <w:vAlign w:val="center"/>
          </w:tcPr>
          <w:p w14:paraId="224FF4A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1.1 </w:t>
            </w:r>
          </w:p>
        </w:tc>
        <w:tc>
          <w:tcPr>
            <w:tcW w:w="1098" w:type="dxa"/>
            <w:shd w:val="clear" w:color="auto" w:fill="auto"/>
            <w:noWrap/>
            <w:vAlign w:val="center"/>
          </w:tcPr>
          <w:p w14:paraId="706A2C5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1.1659</w:t>
            </w:r>
          </w:p>
        </w:tc>
        <w:tc>
          <w:tcPr>
            <w:tcW w:w="1253" w:type="dxa"/>
            <w:shd w:val="clear" w:color="auto" w:fill="auto"/>
            <w:noWrap/>
            <w:vAlign w:val="center"/>
          </w:tcPr>
          <w:p w14:paraId="34341F3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1.1364</w:t>
            </w:r>
          </w:p>
        </w:tc>
        <w:tc>
          <w:tcPr>
            <w:tcW w:w="1253" w:type="dxa"/>
            <w:shd w:val="clear" w:color="auto" w:fill="auto"/>
            <w:noWrap/>
            <w:vAlign w:val="center"/>
          </w:tcPr>
          <w:p w14:paraId="4E9E1C2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1.0931</w:t>
            </w:r>
          </w:p>
        </w:tc>
        <w:tc>
          <w:tcPr>
            <w:tcW w:w="1179" w:type="dxa"/>
            <w:shd w:val="clear" w:color="auto" w:fill="auto"/>
            <w:vAlign w:val="center"/>
          </w:tcPr>
          <w:p w14:paraId="22ABE81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5.6 </w:t>
            </w:r>
          </w:p>
        </w:tc>
        <w:tc>
          <w:tcPr>
            <w:tcW w:w="979" w:type="dxa"/>
            <w:shd w:val="clear" w:color="auto" w:fill="auto"/>
            <w:noWrap/>
            <w:vAlign w:val="center"/>
          </w:tcPr>
          <w:p w14:paraId="37F3192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0.8978</w:t>
            </w:r>
          </w:p>
        </w:tc>
        <w:tc>
          <w:tcPr>
            <w:tcW w:w="1179" w:type="dxa"/>
            <w:shd w:val="clear" w:color="auto" w:fill="auto"/>
            <w:noWrap/>
            <w:vAlign w:val="center"/>
          </w:tcPr>
          <w:p w14:paraId="0419283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0.836</w:t>
            </w:r>
          </w:p>
        </w:tc>
        <w:tc>
          <w:tcPr>
            <w:tcW w:w="1179" w:type="dxa"/>
            <w:shd w:val="clear" w:color="auto" w:fill="auto"/>
            <w:noWrap/>
            <w:vAlign w:val="center"/>
          </w:tcPr>
          <w:p w14:paraId="5427A1A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0.6881</w:t>
            </w:r>
          </w:p>
        </w:tc>
      </w:tr>
      <w:tr w:rsidR="0062768B" w14:paraId="75245BA7" w14:textId="77777777">
        <w:trPr>
          <w:cantSplit/>
          <w:jc w:val="center"/>
        </w:trPr>
        <w:tc>
          <w:tcPr>
            <w:tcW w:w="1179" w:type="dxa"/>
            <w:shd w:val="clear" w:color="auto" w:fill="auto"/>
            <w:noWrap/>
            <w:vAlign w:val="center"/>
          </w:tcPr>
          <w:p w14:paraId="1A6B05A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1.2 </w:t>
            </w:r>
          </w:p>
        </w:tc>
        <w:tc>
          <w:tcPr>
            <w:tcW w:w="1098" w:type="dxa"/>
            <w:shd w:val="clear" w:color="auto" w:fill="auto"/>
            <w:noWrap/>
            <w:vAlign w:val="center"/>
          </w:tcPr>
          <w:p w14:paraId="16C3BAE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1.1489</w:t>
            </w:r>
          </w:p>
        </w:tc>
        <w:tc>
          <w:tcPr>
            <w:tcW w:w="1253" w:type="dxa"/>
            <w:shd w:val="clear" w:color="auto" w:fill="auto"/>
            <w:noWrap/>
            <w:vAlign w:val="center"/>
          </w:tcPr>
          <w:p w14:paraId="6DE6A38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1.1175</w:t>
            </w:r>
          </w:p>
        </w:tc>
        <w:tc>
          <w:tcPr>
            <w:tcW w:w="1253" w:type="dxa"/>
            <w:shd w:val="clear" w:color="auto" w:fill="auto"/>
            <w:noWrap/>
            <w:vAlign w:val="center"/>
          </w:tcPr>
          <w:p w14:paraId="441B9FC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1.0678</w:t>
            </w:r>
          </w:p>
        </w:tc>
        <w:tc>
          <w:tcPr>
            <w:tcW w:w="1179" w:type="dxa"/>
            <w:shd w:val="clear" w:color="auto" w:fill="auto"/>
            <w:vAlign w:val="center"/>
          </w:tcPr>
          <w:p w14:paraId="72CD37F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5.7 </w:t>
            </w:r>
          </w:p>
        </w:tc>
        <w:tc>
          <w:tcPr>
            <w:tcW w:w="979" w:type="dxa"/>
            <w:shd w:val="clear" w:color="auto" w:fill="auto"/>
            <w:noWrap/>
            <w:vAlign w:val="center"/>
          </w:tcPr>
          <w:p w14:paraId="45E99C3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0.896</w:t>
            </w:r>
          </w:p>
        </w:tc>
        <w:tc>
          <w:tcPr>
            <w:tcW w:w="1179" w:type="dxa"/>
            <w:shd w:val="clear" w:color="auto" w:fill="auto"/>
            <w:noWrap/>
            <w:vAlign w:val="center"/>
          </w:tcPr>
          <w:p w14:paraId="2E1A793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0.8339</w:t>
            </w:r>
          </w:p>
        </w:tc>
        <w:tc>
          <w:tcPr>
            <w:tcW w:w="1179" w:type="dxa"/>
            <w:shd w:val="clear" w:color="auto" w:fill="auto"/>
            <w:noWrap/>
            <w:vAlign w:val="center"/>
          </w:tcPr>
          <w:p w14:paraId="48A821C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0.6857</w:t>
            </w:r>
          </w:p>
        </w:tc>
      </w:tr>
      <w:tr w:rsidR="0062768B" w14:paraId="06400E13" w14:textId="77777777">
        <w:trPr>
          <w:cantSplit/>
          <w:jc w:val="center"/>
        </w:trPr>
        <w:tc>
          <w:tcPr>
            <w:tcW w:w="1179" w:type="dxa"/>
            <w:shd w:val="clear" w:color="auto" w:fill="auto"/>
            <w:noWrap/>
            <w:vAlign w:val="center"/>
          </w:tcPr>
          <w:p w14:paraId="0EDD14C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1.3 </w:t>
            </w:r>
          </w:p>
        </w:tc>
        <w:tc>
          <w:tcPr>
            <w:tcW w:w="1098" w:type="dxa"/>
            <w:shd w:val="clear" w:color="auto" w:fill="auto"/>
            <w:noWrap/>
            <w:vAlign w:val="center"/>
          </w:tcPr>
          <w:p w14:paraId="5271BF9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1.1328</w:t>
            </w:r>
          </w:p>
        </w:tc>
        <w:tc>
          <w:tcPr>
            <w:tcW w:w="1253" w:type="dxa"/>
            <w:shd w:val="clear" w:color="auto" w:fill="auto"/>
            <w:noWrap/>
            <w:vAlign w:val="center"/>
          </w:tcPr>
          <w:p w14:paraId="70D1279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1.0996</w:t>
            </w:r>
          </w:p>
        </w:tc>
        <w:tc>
          <w:tcPr>
            <w:tcW w:w="1253" w:type="dxa"/>
            <w:shd w:val="clear" w:color="auto" w:fill="auto"/>
            <w:noWrap/>
            <w:vAlign w:val="center"/>
          </w:tcPr>
          <w:p w14:paraId="22E92DE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1.044</w:t>
            </w:r>
          </w:p>
        </w:tc>
        <w:tc>
          <w:tcPr>
            <w:tcW w:w="1179" w:type="dxa"/>
            <w:shd w:val="clear" w:color="auto" w:fill="auto"/>
            <w:vAlign w:val="center"/>
          </w:tcPr>
          <w:p w14:paraId="6693444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5.8 </w:t>
            </w:r>
          </w:p>
        </w:tc>
        <w:tc>
          <w:tcPr>
            <w:tcW w:w="979" w:type="dxa"/>
            <w:shd w:val="clear" w:color="auto" w:fill="auto"/>
            <w:noWrap/>
            <w:vAlign w:val="center"/>
          </w:tcPr>
          <w:p w14:paraId="3AAFECB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0.8942</w:t>
            </w:r>
          </w:p>
        </w:tc>
        <w:tc>
          <w:tcPr>
            <w:tcW w:w="1179" w:type="dxa"/>
            <w:shd w:val="clear" w:color="auto" w:fill="auto"/>
            <w:noWrap/>
            <w:vAlign w:val="center"/>
          </w:tcPr>
          <w:p w14:paraId="0A19829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0.8319</w:t>
            </w:r>
          </w:p>
        </w:tc>
        <w:tc>
          <w:tcPr>
            <w:tcW w:w="1179" w:type="dxa"/>
            <w:shd w:val="clear" w:color="auto" w:fill="auto"/>
            <w:noWrap/>
            <w:vAlign w:val="center"/>
          </w:tcPr>
          <w:p w14:paraId="0FB3F80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0.6832</w:t>
            </w:r>
          </w:p>
        </w:tc>
      </w:tr>
      <w:tr w:rsidR="0062768B" w14:paraId="12DEEE5E" w14:textId="77777777">
        <w:trPr>
          <w:cantSplit/>
          <w:jc w:val="center"/>
        </w:trPr>
        <w:tc>
          <w:tcPr>
            <w:tcW w:w="1179" w:type="dxa"/>
            <w:shd w:val="clear" w:color="auto" w:fill="auto"/>
            <w:noWrap/>
            <w:vAlign w:val="center"/>
          </w:tcPr>
          <w:p w14:paraId="6268B25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1.4 </w:t>
            </w:r>
          </w:p>
        </w:tc>
        <w:tc>
          <w:tcPr>
            <w:tcW w:w="1098" w:type="dxa"/>
            <w:shd w:val="clear" w:color="auto" w:fill="auto"/>
            <w:noWrap/>
            <w:vAlign w:val="center"/>
          </w:tcPr>
          <w:p w14:paraId="658E795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1.1176</w:t>
            </w:r>
          </w:p>
        </w:tc>
        <w:tc>
          <w:tcPr>
            <w:tcW w:w="1253" w:type="dxa"/>
            <w:shd w:val="clear" w:color="auto" w:fill="auto"/>
            <w:noWrap/>
            <w:vAlign w:val="center"/>
          </w:tcPr>
          <w:p w14:paraId="25D2C2B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1.0827</w:t>
            </w:r>
          </w:p>
        </w:tc>
        <w:tc>
          <w:tcPr>
            <w:tcW w:w="1253" w:type="dxa"/>
            <w:shd w:val="clear" w:color="auto" w:fill="auto"/>
            <w:noWrap/>
            <w:vAlign w:val="center"/>
          </w:tcPr>
          <w:p w14:paraId="2185EAB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1.0214</w:t>
            </w:r>
          </w:p>
        </w:tc>
        <w:tc>
          <w:tcPr>
            <w:tcW w:w="1179" w:type="dxa"/>
            <w:shd w:val="clear" w:color="auto" w:fill="auto"/>
            <w:vAlign w:val="center"/>
          </w:tcPr>
          <w:p w14:paraId="2989187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5.9 </w:t>
            </w:r>
          </w:p>
        </w:tc>
        <w:tc>
          <w:tcPr>
            <w:tcW w:w="979" w:type="dxa"/>
            <w:shd w:val="clear" w:color="auto" w:fill="auto"/>
            <w:noWrap/>
            <w:vAlign w:val="center"/>
          </w:tcPr>
          <w:p w14:paraId="0B7D2FE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0.8924</w:t>
            </w:r>
          </w:p>
        </w:tc>
        <w:tc>
          <w:tcPr>
            <w:tcW w:w="1179" w:type="dxa"/>
            <w:shd w:val="clear" w:color="auto" w:fill="auto"/>
            <w:noWrap/>
            <w:vAlign w:val="center"/>
          </w:tcPr>
          <w:p w14:paraId="5CA2949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0.8299</w:t>
            </w:r>
          </w:p>
        </w:tc>
        <w:tc>
          <w:tcPr>
            <w:tcW w:w="1179" w:type="dxa"/>
            <w:shd w:val="clear" w:color="auto" w:fill="auto"/>
            <w:noWrap/>
            <w:vAlign w:val="center"/>
          </w:tcPr>
          <w:p w14:paraId="642C4EF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0.6807</w:t>
            </w:r>
          </w:p>
        </w:tc>
      </w:tr>
      <w:tr w:rsidR="0062768B" w14:paraId="6D787029" w14:textId="77777777">
        <w:trPr>
          <w:cantSplit/>
          <w:jc w:val="center"/>
        </w:trPr>
        <w:tc>
          <w:tcPr>
            <w:tcW w:w="1179" w:type="dxa"/>
            <w:shd w:val="clear" w:color="auto" w:fill="auto"/>
            <w:noWrap/>
            <w:vAlign w:val="center"/>
          </w:tcPr>
          <w:p w14:paraId="0D6B574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1.5 </w:t>
            </w:r>
          </w:p>
        </w:tc>
        <w:tc>
          <w:tcPr>
            <w:tcW w:w="1098" w:type="dxa"/>
            <w:shd w:val="clear" w:color="auto" w:fill="auto"/>
            <w:noWrap/>
            <w:vAlign w:val="center"/>
          </w:tcPr>
          <w:p w14:paraId="6A0105E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1.1033</w:t>
            </w:r>
          </w:p>
        </w:tc>
        <w:tc>
          <w:tcPr>
            <w:tcW w:w="1253" w:type="dxa"/>
            <w:shd w:val="clear" w:color="auto" w:fill="auto"/>
            <w:noWrap/>
            <w:vAlign w:val="center"/>
          </w:tcPr>
          <w:p w14:paraId="444D56F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1.0668</w:t>
            </w:r>
          </w:p>
        </w:tc>
        <w:tc>
          <w:tcPr>
            <w:tcW w:w="1253" w:type="dxa"/>
            <w:shd w:val="clear" w:color="auto" w:fill="auto"/>
            <w:noWrap/>
            <w:vAlign w:val="center"/>
          </w:tcPr>
          <w:p w14:paraId="660D79C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w:t>
            </w:r>
          </w:p>
        </w:tc>
        <w:tc>
          <w:tcPr>
            <w:tcW w:w="1179" w:type="dxa"/>
            <w:shd w:val="clear" w:color="auto" w:fill="auto"/>
            <w:vAlign w:val="center"/>
          </w:tcPr>
          <w:p w14:paraId="2E0678E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6.0 </w:t>
            </w:r>
          </w:p>
        </w:tc>
        <w:tc>
          <w:tcPr>
            <w:tcW w:w="979" w:type="dxa"/>
            <w:shd w:val="clear" w:color="auto" w:fill="auto"/>
            <w:noWrap/>
            <w:vAlign w:val="center"/>
          </w:tcPr>
          <w:p w14:paraId="4959F29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0.8907</w:t>
            </w:r>
          </w:p>
        </w:tc>
        <w:tc>
          <w:tcPr>
            <w:tcW w:w="1179" w:type="dxa"/>
            <w:shd w:val="clear" w:color="auto" w:fill="auto"/>
            <w:noWrap/>
            <w:vAlign w:val="center"/>
          </w:tcPr>
          <w:p w14:paraId="1ABB6FA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0.8279</w:t>
            </w:r>
          </w:p>
        </w:tc>
        <w:tc>
          <w:tcPr>
            <w:tcW w:w="1179" w:type="dxa"/>
            <w:shd w:val="clear" w:color="auto" w:fill="auto"/>
            <w:noWrap/>
            <w:vAlign w:val="center"/>
          </w:tcPr>
          <w:p w14:paraId="23B8393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0.6784</w:t>
            </w:r>
          </w:p>
        </w:tc>
      </w:tr>
      <w:tr w:rsidR="0062768B" w14:paraId="61989D74" w14:textId="77777777">
        <w:trPr>
          <w:cantSplit/>
          <w:jc w:val="center"/>
        </w:trPr>
        <w:tc>
          <w:tcPr>
            <w:tcW w:w="1179" w:type="dxa"/>
            <w:shd w:val="clear" w:color="auto" w:fill="auto"/>
            <w:noWrap/>
            <w:vAlign w:val="center"/>
          </w:tcPr>
          <w:p w14:paraId="4073CC0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1.6 </w:t>
            </w:r>
          </w:p>
        </w:tc>
        <w:tc>
          <w:tcPr>
            <w:tcW w:w="1098" w:type="dxa"/>
            <w:shd w:val="clear" w:color="auto" w:fill="auto"/>
            <w:noWrap/>
            <w:vAlign w:val="center"/>
          </w:tcPr>
          <w:p w14:paraId="3567218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1.0899</w:t>
            </w:r>
          </w:p>
        </w:tc>
        <w:tc>
          <w:tcPr>
            <w:tcW w:w="1253" w:type="dxa"/>
            <w:shd w:val="clear" w:color="auto" w:fill="auto"/>
            <w:noWrap/>
            <w:vAlign w:val="center"/>
          </w:tcPr>
          <w:p w14:paraId="507F057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1.0517</w:t>
            </w:r>
          </w:p>
        </w:tc>
        <w:tc>
          <w:tcPr>
            <w:tcW w:w="1253" w:type="dxa"/>
            <w:shd w:val="clear" w:color="auto" w:fill="auto"/>
            <w:noWrap/>
            <w:vAlign w:val="center"/>
          </w:tcPr>
          <w:p w14:paraId="3401D85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0.9799</w:t>
            </w:r>
          </w:p>
        </w:tc>
        <w:tc>
          <w:tcPr>
            <w:tcW w:w="1179" w:type="dxa"/>
            <w:shd w:val="clear" w:color="auto" w:fill="auto"/>
            <w:vAlign w:val="center"/>
          </w:tcPr>
          <w:p w14:paraId="45D52BD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6.1 </w:t>
            </w:r>
          </w:p>
        </w:tc>
        <w:tc>
          <w:tcPr>
            <w:tcW w:w="979" w:type="dxa"/>
            <w:shd w:val="clear" w:color="auto" w:fill="auto"/>
            <w:noWrap/>
            <w:vAlign w:val="center"/>
          </w:tcPr>
          <w:p w14:paraId="1E00A83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0.889</w:t>
            </w:r>
          </w:p>
        </w:tc>
        <w:tc>
          <w:tcPr>
            <w:tcW w:w="1179" w:type="dxa"/>
            <w:shd w:val="clear" w:color="auto" w:fill="auto"/>
            <w:noWrap/>
            <w:vAlign w:val="center"/>
          </w:tcPr>
          <w:p w14:paraId="1A41DAD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0.8259</w:t>
            </w:r>
          </w:p>
        </w:tc>
        <w:tc>
          <w:tcPr>
            <w:tcW w:w="1179" w:type="dxa"/>
            <w:shd w:val="clear" w:color="auto" w:fill="auto"/>
            <w:noWrap/>
            <w:vAlign w:val="center"/>
          </w:tcPr>
          <w:p w14:paraId="6B74241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0.676</w:t>
            </w:r>
          </w:p>
        </w:tc>
      </w:tr>
      <w:tr w:rsidR="0062768B" w14:paraId="444D1580" w14:textId="77777777">
        <w:trPr>
          <w:cantSplit/>
          <w:jc w:val="center"/>
        </w:trPr>
        <w:tc>
          <w:tcPr>
            <w:tcW w:w="1179" w:type="dxa"/>
            <w:shd w:val="clear" w:color="auto" w:fill="auto"/>
            <w:noWrap/>
            <w:vAlign w:val="center"/>
          </w:tcPr>
          <w:p w14:paraId="36DD5FF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1.7 </w:t>
            </w:r>
          </w:p>
        </w:tc>
        <w:tc>
          <w:tcPr>
            <w:tcW w:w="1098" w:type="dxa"/>
            <w:shd w:val="clear" w:color="auto" w:fill="auto"/>
            <w:noWrap/>
            <w:vAlign w:val="center"/>
          </w:tcPr>
          <w:p w14:paraId="65B6F44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1.0772</w:t>
            </w:r>
          </w:p>
        </w:tc>
        <w:tc>
          <w:tcPr>
            <w:tcW w:w="1253" w:type="dxa"/>
            <w:shd w:val="clear" w:color="auto" w:fill="auto"/>
            <w:noWrap/>
            <w:vAlign w:val="center"/>
          </w:tcPr>
          <w:p w14:paraId="36C6ED9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1.0376</w:t>
            </w:r>
          </w:p>
        </w:tc>
        <w:tc>
          <w:tcPr>
            <w:tcW w:w="1253" w:type="dxa"/>
            <w:shd w:val="clear" w:color="auto" w:fill="auto"/>
            <w:noWrap/>
            <w:vAlign w:val="center"/>
          </w:tcPr>
          <w:p w14:paraId="0895758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0.9609</w:t>
            </w:r>
          </w:p>
        </w:tc>
        <w:tc>
          <w:tcPr>
            <w:tcW w:w="1179" w:type="dxa"/>
            <w:shd w:val="clear" w:color="auto" w:fill="auto"/>
            <w:vAlign w:val="center"/>
          </w:tcPr>
          <w:p w14:paraId="68C9797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6.2 </w:t>
            </w:r>
          </w:p>
        </w:tc>
        <w:tc>
          <w:tcPr>
            <w:tcW w:w="979" w:type="dxa"/>
            <w:shd w:val="clear" w:color="auto" w:fill="auto"/>
            <w:noWrap/>
            <w:vAlign w:val="center"/>
          </w:tcPr>
          <w:p w14:paraId="14453BB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0.8873</w:t>
            </w:r>
          </w:p>
        </w:tc>
        <w:tc>
          <w:tcPr>
            <w:tcW w:w="1179" w:type="dxa"/>
            <w:shd w:val="clear" w:color="auto" w:fill="auto"/>
            <w:noWrap/>
            <w:vAlign w:val="center"/>
          </w:tcPr>
          <w:p w14:paraId="3F0FEC5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0.8239</w:t>
            </w:r>
          </w:p>
        </w:tc>
        <w:tc>
          <w:tcPr>
            <w:tcW w:w="1179" w:type="dxa"/>
            <w:shd w:val="clear" w:color="auto" w:fill="auto"/>
            <w:noWrap/>
            <w:vAlign w:val="center"/>
          </w:tcPr>
          <w:p w14:paraId="60EB775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0.6736</w:t>
            </w:r>
          </w:p>
        </w:tc>
      </w:tr>
      <w:tr w:rsidR="0062768B" w14:paraId="2B62F170" w14:textId="77777777">
        <w:trPr>
          <w:cantSplit/>
          <w:jc w:val="center"/>
        </w:trPr>
        <w:tc>
          <w:tcPr>
            <w:tcW w:w="1179" w:type="dxa"/>
            <w:shd w:val="clear" w:color="auto" w:fill="auto"/>
            <w:noWrap/>
            <w:vAlign w:val="center"/>
          </w:tcPr>
          <w:p w14:paraId="5C3E966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1.8 </w:t>
            </w:r>
          </w:p>
        </w:tc>
        <w:tc>
          <w:tcPr>
            <w:tcW w:w="1098" w:type="dxa"/>
            <w:shd w:val="clear" w:color="auto" w:fill="auto"/>
            <w:noWrap/>
            <w:vAlign w:val="center"/>
          </w:tcPr>
          <w:p w14:paraId="681C00F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1.0653</w:t>
            </w:r>
          </w:p>
        </w:tc>
        <w:tc>
          <w:tcPr>
            <w:tcW w:w="1253" w:type="dxa"/>
            <w:shd w:val="clear" w:color="auto" w:fill="auto"/>
            <w:noWrap/>
            <w:vAlign w:val="center"/>
          </w:tcPr>
          <w:p w14:paraId="155F16D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1.0243</w:t>
            </w:r>
          </w:p>
        </w:tc>
        <w:tc>
          <w:tcPr>
            <w:tcW w:w="1253" w:type="dxa"/>
            <w:shd w:val="clear" w:color="auto" w:fill="auto"/>
            <w:noWrap/>
            <w:vAlign w:val="center"/>
          </w:tcPr>
          <w:p w14:paraId="7BFC3EF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0.943</w:t>
            </w:r>
          </w:p>
        </w:tc>
        <w:tc>
          <w:tcPr>
            <w:tcW w:w="1179" w:type="dxa"/>
            <w:shd w:val="clear" w:color="auto" w:fill="auto"/>
            <w:vAlign w:val="center"/>
          </w:tcPr>
          <w:p w14:paraId="1709B75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6.3 </w:t>
            </w:r>
          </w:p>
        </w:tc>
        <w:tc>
          <w:tcPr>
            <w:tcW w:w="979" w:type="dxa"/>
            <w:shd w:val="clear" w:color="auto" w:fill="auto"/>
            <w:noWrap/>
            <w:vAlign w:val="center"/>
          </w:tcPr>
          <w:p w14:paraId="6ACC7F5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0.8856</w:t>
            </w:r>
          </w:p>
        </w:tc>
        <w:tc>
          <w:tcPr>
            <w:tcW w:w="1179" w:type="dxa"/>
            <w:shd w:val="clear" w:color="auto" w:fill="auto"/>
            <w:noWrap/>
            <w:vAlign w:val="center"/>
          </w:tcPr>
          <w:p w14:paraId="423F1A6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0.8219</w:t>
            </w:r>
          </w:p>
        </w:tc>
        <w:tc>
          <w:tcPr>
            <w:tcW w:w="1179" w:type="dxa"/>
            <w:shd w:val="clear" w:color="auto" w:fill="auto"/>
            <w:noWrap/>
            <w:vAlign w:val="center"/>
          </w:tcPr>
          <w:p w14:paraId="09E4D8E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0.6713</w:t>
            </w:r>
          </w:p>
        </w:tc>
      </w:tr>
      <w:tr w:rsidR="0062768B" w14:paraId="09D16D7E" w14:textId="77777777">
        <w:trPr>
          <w:cantSplit/>
          <w:jc w:val="center"/>
        </w:trPr>
        <w:tc>
          <w:tcPr>
            <w:tcW w:w="1179" w:type="dxa"/>
            <w:shd w:val="clear" w:color="auto" w:fill="auto"/>
            <w:noWrap/>
            <w:vAlign w:val="center"/>
          </w:tcPr>
          <w:p w14:paraId="0DD51A6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1.9 </w:t>
            </w:r>
          </w:p>
        </w:tc>
        <w:tc>
          <w:tcPr>
            <w:tcW w:w="1098" w:type="dxa"/>
            <w:shd w:val="clear" w:color="auto" w:fill="auto"/>
            <w:noWrap/>
            <w:vAlign w:val="center"/>
          </w:tcPr>
          <w:p w14:paraId="4362842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1.054</w:t>
            </w:r>
          </w:p>
        </w:tc>
        <w:tc>
          <w:tcPr>
            <w:tcW w:w="1253" w:type="dxa"/>
            <w:shd w:val="clear" w:color="auto" w:fill="auto"/>
            <w:noWrap/>
            <w:vAlign w:val="center"/>
          </w:tcPr>
          <w:p w14:paraId="3575E3B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1.0118</w:t>
            </w:r>
          </w:p>
        </w:tc>
        <w:tc>
          <w:tcPr>
            <w:tcW w:w="1253" w:type="dxa"/>
            <w:shd w:val="clear" w:color="auto" w:fill="auto"/>
            <w:noWrap/>
            <w:vAlign w:val="center"/>
          </w:tcPr>
          <w:p w14:paraId="06AD481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0.9262</w:t>
            </w:r>
          </w:p>
        </w:tc>
        <w:tc>
          <w:tcPr>
            <w:tcW w:w="1179" w:type="dxa"/>
            <w:shd w:val="clear" w:color="auto" w:fill="auto"/>
            <w:vAlign w:val="center"/>
          </w:tcPr>
          <w:p w14:paraId="40B22ED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6.4 </w:t>
            </w:r>
          </w:p>
        </w:tc>
        <w:tc>
          <w:tcPr>
            <w:tcW w:w="979" w:type="dxa"/>
            <w:shd w:val="clear" w:color="auto" w:fill="auto"/>
            <w:noWrap/>
            <w:vAlign w:val="center"/>
          </w:tcPr>
          <w:p w14:paraId="0EBC655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0.8839</w:t>
            </w:r>
          </w:p>
        </w:tc>
        <w:tc>
          <w:tcPr>
            <w:tcW w:w="1179" w:type="dxa"/>
            <w:shd w:val="clear" w:color="auto" w:fill="auto"/>
            <w:noWrap/>
            <w:vAlign w:val="center"/>
          </w:tcPr>
          <w:p w14:paraId="6C89B0D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w:t>
            </w:r>
          </w:p>
        </w:tc>
        <w:tc>
          <w:tcPr>
            <w:tcW w:w="1179" w:type="dxa"/>
            <w:shd w:val="clear" w:color="auto" w:fill="auto"/>
            <w:noWrap/>
            <w:vAlign w:val="center"/>
          </w:tcPr>
          <w:p w14:paraId="7953402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0.6689</w:t>
            </w:r>
          </w:p>
        </w:tc>
      </w:tr>
      <w:tr w:rsidR="0062768B" w14:paraId="2E49B8B6" w14:textId="77777777">
        <w:trPr>
          <w:cantSplit/>
          <w:jc w:val="center"/>
        </w:trPr>
        <w:tc>
          <w:tcPr>
            <w:tcW w:w="1179" w:type="dxa"/>
            <w:shd w:val="clear" w:color="auto" w:fill="auto"/>
            <w:noWrap/>
            <w:vAlign w:val="center"/>
          </w:tcPr>
          <w:p w14:paraId="4262335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2.0 </w:t>
            </w:r>
          </w:p>
        </w:tc>
        <w:tc>
          <w:tcPr>
            <w:tcW w:w="1098" w:type="dxa"/>
            <w:shd w:val="clear" w:color="auto" w:fill="auto"/>
            <w:noWrap/>
            <w:vAlign w:val="center"/>
          </w:tcPr>
          <w:p w14:paraId="4C58962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1.0435</w:t>
            </w:r>
          </w:p>
        </w:tc>
        <w:tc>
          <w:tcPr>
            <w:tcW w:w="1253" w:type="dxa"/>
            <w:shd w:val="clear" w:color="auto" w:fill="auto"/>
            <w:noWrap/>
            <w:vAlign w:val="center"/>
          </w:tcPr>
          <w:p w14:paraId="7D843DA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w:t>
            </w:r>
          </w:p>
        </w:tc>
        <w:tc>
          <w:tcPr>
            <w:tcW w:w="1253" w:type="dxa"/>
            <w:shd w:val="clear" w:color="auto" w:fill="auto"/>
            <w:noWrap/>
            <w:vAlign w:val="center"/>
          </w:tcPr>
          <w:p w14:paraId="553F70A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0.9103</w:t>
            </w:r>
          </w:p>
        </w:tc>
        <w:tc>
          <w:tcPr>
            <w:tcW w:w="1179" w:type="dxa"/>
            <w:shd w:val="clear" w:color="auto" w:fill="auto"/>
            <w:vAlign w:val="center"/>
          </w:tcPr>
          <w:p w14:paraId="7DD1060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6.5 </w:t>
            </w:r>
          </w:p>
        </w:tc>
        <w:tc>
          <w:tcPr>
            <w:tcW w:w="979" w:type="dxa"/>
            <w:shd w:val="clear" w:color="auto" w:fill="auto"/>
            <w:noWrap/>
            <w:vAlign w:val="center"/>
          </w:tcPr>
          <w:p w14:paraId="56E18BE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0.8823</w:t>
            </w:r>
          </w:p>
        </w:tc>
        <w:tc>
          <w:tcPr>
            <w:tcW w:w="1179" w:type="dxa"/>
            <w:shd w:val="clear" w:color="auto" w:fill="auto"/>
            <w:noWrap/>
            <w:vAlign w:val="center"/>
          </w:tcPr>
          <w:p w14:paraId="25C0972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0.8181</w:t>
            </w:r>
          </w:p>
        </w:tc>
        <w:tc>
          <w:tcPr>
            <w:tcW w:w="1179" w:type="dxa"/>
            <w:shd w:val="clear" w:color="auto" w:fill="auto"/>
            <w:noWrap/>
            <w:vAlign w:val="center"/>
          </w:tcPr>
          <w:p w14:paraId="6873672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0.6666</w:t>
            </w:r>
          </w:p>
        </w:tc>
      </w:tr>
      <w:tr w:rsidR="0062768B" w14:paraId="4D2B98C6" w14:textId="77777777">
        <w:trPr>
          <w:cantSplit/>
          <w:jc w:val="center"/>
        </w:trPr>
        <w:tc>
          <w:tcPr>
            <w:tcW w:w="1179" w:type="dxa"/>
            <w:shd w:val="clear" w:color="auto" w:fill="auto"/>
            <w:noWrap/>
            <w:vAlign w:val="center"/>
          </w:tcPr>
          <w:p w14:paraId="5D3FDAA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2.1 </w:t>
            </w:r>
          </w:p>
        </w:tc>
        <w:tc>
          <w:tcPr>
            <w:tcW w:w="1098" w:type="dxa"/>
            <w:shd w:val="clear" w:color="auto" w:fill="auto"/>
            <w:noWrap/>
            <w:vAlign w:val="center"/>
          </w:tcPr>
          <w:p w14:paraId="75B4563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1.0336</w:t>
            </w:r>
          </w:p>
        </w:tc>
        <w:tc>
          <w:tcPr>
            <w:tcW w:w="1253" w:type="dxa"/>
            <w:shd w:val="clear" w:color="auto" w:fill="auto"/>
            <w:noWrap/>
            <w:vAlign w:val="center"/>
          </w:tcPr>
          <w:p w14:paraId="225D61F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0.989</w:t>
            </w:r>
          </w:p>
        </w:tc>
        <w:tc>
          <w:tcPr>
            <w:tcW w:w="1253" w:type="dxa"/>
            <w:shd w:val="clear" w:color="auto" w:fill="auto"/>
            <w:noWrap/>
            <w:vAlign w:val="center"/>
          </w:tcPr>
          <w:p w14:paraId="7384FC4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0.8954</w:t>
            </w:r>
          </w:p>
        </w:tc>
        <w:tc>
          <w:tcPr>
            <w:tcW w:w="1179" w:type="dxa"/>
            <w:shd w:val="clear" w:color="auto" w:fill="auto"/>
            <w:vAlign w:val="center"/>
          </w:tcPr>
          <w:p w14:paraId="4FCE1F2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6.6 </w:t>
            </w:r>
          </w:p>
        </w:tc>
        <w:tc>
          <w:tcPr>
            <w:tcW w:w="979" w:type="dxa"/>
            <w:shd w:val="clear" w:color="auto" w:fill="auto"/>
            <w:noWrap/>
            <w:vAlign w:val="center"/>
          </w:tcPr>
          <w:p w14:paraId="318F125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0.8807</w:t>
            </w:r>
          </w:p>
        </w:tc>
        <w:tc>
          <w:tcPr>
            <w:tcW w:w="1179" w:type="dxa"/>
            <w:shd w:val="clear" w:color="auto" w:fill="auto"/>
            <w:noWrap/>
            <w:vAlign w:val="center"/>
          </w:tcPr>
          <w:p w14:paraId="58BF32E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0.8162</w:t>
            </w:r>
          </w:p>
        </w:tc>
        <w:tc>
          <w:tcPr>
            <w:tcW w:w="1179" w:type="dxa"/>
            <w:shd w:val="clear" w:color="auto" w:fill="auto"/>
            <w:noWrap/>
            <w:vAlign w:val="center"/>
          </w:tcPr>
          <w:p w14:paraId="3A11851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0.6644</w:t>
            </w:r>
          </w:p>
        </w:tc>
      </w:tr>
      <w:tr w:rsidR="0062768B" w14:paraId="0F23E906" w14:textId="77777777">
        <w:trPr>
          <w:cantSplit/>
          <w:jc w:val="center"/>
        </w:trPr>
        <w:tc>
          <w:tcPr>
            <w:tcW w:w="1179" w:type="dxa"/>
            <w:shd w:val="clear" w:color="auto" w:fill="auto"/>
            <w:noWrap/>
            <w:vAlign w:val="center"/>
          </w:tcPr>
          <w:p w14:paraId="1C90C07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2.2 </w:t>
            </w:r>
          </w:p>
        </w:tc>
        <w:tc>
          <w:tcPr>
            <w:tcW w:w="1098" w:type="dxa"/>
            <w:shd w:val="clear" w:color="auto" w:fill="auto"/>
            <w:noWrap/>
            <w:vAlign w:val="center"/>
          </w:tcPr>
          <w:p w14:paraId="78347B9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1.0243</w:t>
            </w:r>
          </w:p>
        </w:tc>
        <w:tc>
          <w:tcPr>
            <w:tcW w:w="1253" w:type="dxa"/>
            <w:shd w:val="clear" w:color="auto" w:fill="auto"/>
            <w:noWrap/>
            <w:vAlign w:val="center"/>
          </w:tcPr>
          <w:p w14:paraId="1075E19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0.9786</w:t>
            </w:r>
          </w:p>
        </w:tc>
        <w:tc>
          <w:tcPr>
            <w:tcW w:w="1253" w:type="dxa"/>
            <w:shd w:val="clear" w:color="auto" w:fill="auto"/>
            <w:noWrap/>
            <w:vAlign w:val="center"/>
          </w:tcPr>
          <w:p w14:paraId="155D1FD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0.8814</w:t>
            </w:r>
          </w:p>
        </w:tc>
        <w:tc>
          <w:tcPr>
            <w:tcW w:w="1179" w:type="dxa"/>
            <w:shd w:val="clear" w:color="auto" w:fill="auto"/>
            <w:vAlign w:val="center"/>
          </w:tcPr>
          <w:p w14:paraId="309AA8B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6.7 </w:t>
            </w:r>
          </w:p>
        </w:tc>
        <w:tc>
          <w:tcPr>
            <w:tcW w:w="979" w:type="dxa"/>
            <w:shd w:val="clear" w:color="auto" w:fill="auto"/>
            <w:noWrap/>
            <w:vAlign w:val="center"/>
          </w:tcPr>
          <w:p w14:paraId="384622E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0.879</w:t>
            </w:r>
          </w:p>
        </w:tc>
        <w:tc>
          <w:tcPr>
            <w:tcW w:w="1179" w:type="dxa"/>
            <w:shd w:val="clear" w:color="auto" w:fill="auto"/>
            <w:noWrap/>
            <w:vAlign w:val="center"/>
          </w:tcPr>
          <w:p w14:paraId="75B5F63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0.8143</w:t>
            </w:r>
          </w:p>
        </w:tc>
        <w:tc>
          <w:tcPr>
            <w:tcW w:w="1179" w:type="dxa"/>
            <w:shd w:val="clear" w:color="auto" w:fill="auto"/>
            <w:noWrap/>
            <w:vAlign w:val="center"/>
          </w:tcPr>
          <w:p w14:paraId="60B4B22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0.6621</w:t>
            </w:r>
          </w:p>
        </w:tc>
      </w:tr>
      <w:tr w:rsidR="0062768B" w14:paraId="1ECD1745" w14:textId="77777777">
        <w:trPr>
          <w:cantSplit/>
          <w:jc w:val="center"/>
        </w:trPr>
        <w:tc>
          <w:tcPr>
            <w:tcW w:w="1179" w:type="dxa"/>
            <w:shd w:val="clear" w:color="auto" w:fill="auto"/>
            <w:noWrap/>
            <w:vAlign w:val="center"/>
          </w:tcPr>
          <w:p w14:paraId="6FAF570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2.3 </w:t>
            </w:r>
          </w:p>
        </w:tc>
        <w:tc>
          <w:tcPr>
            <w:tcW w:w="1098" w:type="dxa"/>
            <w:shd w:val="clear" w:color="auto" w:fill="auto"/>
            <w:noWrap/>
            <w:vAlign w:val="center"/>
          </w:tcPr>
          <w:p w14:paraId="34A9BAA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1.0157</w:t>
            </w:r>
          </w:p>
        </w:tc>
        <w:tc>
          <w:tcPr>
            <w:tcW w:w="1253" w:type="dxa"/>
            <w:shd w:val="clear" w:color="auto" w:fill="auto"/>
            <w:noWrap/>
            <w:vAlign w:val="center"/>
          </w:tcPr>
          <w:p w14:paraId="6E6B355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0.9689</w:t>
            </w:r>
          </w:p>
        </w:tc>
        <w:tc>
          <w:tcPr>
            <w:tcW w:w="1253" w:type="dxa"/>
            <w:shd w:val="clear" w:color="auto" w:fill="auto"/>
            <w:noWrap/>
            <w:vAlign w:val="center"/>
          </w:tcPr>
          <w:p w14:paraId="21E966A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0.8682</w:t>
            </w:r>
          </w:p>
        </w:tc>
        <w:tc>
          <w:tcPr>
            <w:tcW w:w="1179" w:type="dxa"/>
            <w:shd w:val="clear" w:color="auto" w:fill="auto"/>
            <w:vAlign w:val="center"/>
          </w:tcPr>
          <w:p w14:paraId="1213E2D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6.8 </w:t>
            </w:r>
          </w:p>
        </w:tc>
        <w:tc>
          <w:tcPr>
            <w:tcW w:w="979" w:type="dxa"/>
            <w:shd w:val="clear" w:color="auto" w:fill="auto"/>
            <w:noWrap/>
            <w:vAlign w:val="center"/>
          </w:tcPr>
          <w:p w14:paraId="1FF1571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0.8774</w:t>
            </w:r>
          </w:p>
        </w:tc>
        <w:tc>
          <w:tcPr>
            <w:tcW w:w="1179" w:type="dxa"/>
            <w:shd w:val="clear" w:color="auto" w:fill="auto"/>
            <w:noWrap/>
            <w:vAlign w:val="center"/>
          </w:tcPr>
          <w:p w14:paraId="08A6440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0.8124</w:t>
            </w:r>
          </w:p>
        </w:tc>
        <w:tc>
          <w:tcPr>
            <w:tcW w:w="1179" w:type="dxa"/>
            <w:shd w:val="clear" w:color="auto" w:fill="auto"/>
            <w:noWrap/>
            <w:vAlign w:val="center"/>
          </w:tcPr>
          <w:p w14:paraId="6D8B948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0.6598</w:t>
            </w:r>
          </w:p>
        </w:tc>
      </w:tr>
      <w:tr w:rsidR="0062768B" w14:paraId="67AEB491" w14:textId="77777777">
        <w:trPr>
          <w:cantSplit/>
          <w:jc w:val="center"/>
        </w:trPr>
        <w:tc>
          <w:tcPr>
            <w:tcW w:w="1179" w:type="dxa"/>
            <w:shd w:val="clear" w:color="auto" w:fill="auto"/>
            <w:noWrap/>
            <w:vAlign w:val="center"/>
          </w:tcPr>
          <w:p w14:paraId="3D02760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2.4 </w:t>
            </w:r>
          </w:p>
        </w:tc>
        <w:tc>
          <w:tcPr>
            <w:tcW w:w="1098" w:type="dxa"/>
            <w:shd w:val="clear" w:color="auto" w:fill="auto"/>
            <w:noWrap/>
            <w:vAlign w:val="center"/>
          </w:tcPr>
          <w:p w14:paraId="2276BAB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1.0076</w:t>
            </w:r>
          </w:p>
        </w:tc>
        <w:tc>
          <w:tcPr>
            <w:tcW w:w="1253" w:type="dxa"/>
            <w:shd w:val="clear" w:color="auto" w:fill="auto"/>
            <w:noWrap/>
            <w:vAlign w:val="center"/>
          </w:tcPr>
          <w:p w14:paraId="3FE5E5F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0.9598</w:t>
            </w:r>
          </w:p>
        </w:tc>
        <w:tc>
          <w:tcPr>
            <w:tcW w:w="1253" w:type="dxa"/>
            <w:shd w:val="clear" w:color="auto" w:fill="auto"/>
            <w:noWrap/>
            <w:vAlign w:val="center"/>
          </w:tcPr>
          <w:p w14:paraId="71B3BBE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0.8558</w:t>
            </w:r>
          </w:p>
        </w:tc>
        <w:tc>
          <w:tcPr>
            <w:tcW w:w="1179" w:type="dxa"/>
            <w:shd w:val="clear" w:color="auto" w:fill="auto"/>
            <w:vAlign w:val="center"/>
          </w:tcPr>
          <w:p w14:paraId="173D375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6.9 </w:t>
            </w:r>
          </w:p>
        </w:tc>
        <w:tc>
          <w:tcPr>
            <w:tcW w:w="979" w:type="dxa"/>
            <w:shd w:val="clear" w:color="auto" w:fill="auto"/>
            <w:noWrap/>
            <w:vAlign w:val="center"/>
          </w:tcPr>
          <w:p w14:paraId="22818A2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0.8758</w:t>
            </w:r>
          </w:p>
        </w:tc>
        <w:tc>
          <w:tcPr>
            <w:tcW w:w="1179" w:type="dxa"/>
            <w:shd w:val="clear" w:color="auto" w:fill="auto"/>
            <w:noWrap/>
            <w:vAlign w:val="center"/>
          </w:tcPr>
          <w:p w14:paraId="5E9EE4A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0.8105</w:t>
            </w:r>
          </w:p>
        </w:tc>
        <w:tc>
          <w:tcPr>
            <w:tcW w:w="1179" w:type="dxa"/>
            <w:shd w:val="clear" w:color="auto" w:fill="auto"/>
            <w:noWrap/>
            <w:vAlign w:val="center"/>
          </w:tcPr>
          <w:p w14:paraId="10B76BC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0.6575</w:t>
            </w:r>
          </w:p>
        </w:tc>
      </w:tr>
      <w:tr w:rsidR="0062768B" w14:paraId="50037762" w14:textId="77777777">
        <w:trPr>
          <w:cantSplit/>
          <w:jc w:val="center"/>
        </w:trPr>
        <w:tc>
          <w:tcPr>
            <w:tcW w:w="1179" w:type="dxa"/>
            <w:shd w:val="clear" w:color="auto" w:fill="auto"/>
            <w:noWrap/>
            <w:vAlign w:val="center"/>
          </w:tcPr>
          <w:p w14:paraId="3452018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2.5 </w:t>
            </w:r>
          </w:p>
        </w:tc>
        <w:tc>
          <w:tcPr>
            <w:tcW w:w="1098" w:type="dxa"/>
            <w:shd w:val="clear" w:color="auto" w:fill="auto"/>
            <w:noWrap/>
            <w:vAlign w:val="center"/>
          </w:tcPr>
          <w:p w14:paraId="4910A21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w:t>
            </w:r>
          </w:p>
        </w:tc>
        <w:tc>
          <w:tcPr>
            <w:tcW w:w="1253" w:type="dxa"/>
            <w:shd w:val="clear" w:color="auto" w:fill="auto"/>
            <w:noWrap/>
            <w:vAlign w:val="center"/>
          </w:tcPr>
          <w:p w14:paraId="1E27C36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0.9512</w:t>
            </w:r>
          </w:p>
        </w:tc>
        <w:tc>
          <w:tcPr>
            <w:tcW w:w="1253" w:type="dxa"/>
            <w:shd w:val="clear" w:color="auto" w:fill="auto"/>
            <w:noWrap/>
            <w:vAlign w:val="center"/>
          </w:tcPr>
          <w:p w14:paraId="767FCE8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0.8442</w:t>
            </w:r>
          </w:p>
        </w:tc>
        <w:tc>
          <w:tcPr>
            <w:tcW w:w="1179" w:type="dxa"/>
            <w:shd w:val="clear" w:color="auto" w:fill="auto"/>
            <w:vAlign w:val="center"/>
          </w:tcPr>
          <w:p w14:paraId="202242B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7.0 </w:t>
            </w:r>
          </w:p>
        </w:tc>
        <w:tc>
          <w:tcPr>
            <w:tcW w:w="979" w:type="dxa"/>
            <w:shd w:val="clear" w:color="auto" w:fill="auto"/>
            <w:noWrap/>
            <w:vAlign w:val="center"/>
          </w:tcPr>
          <w:p w14:paraId="5D67540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0.8742</w:t>
            </w:r>
          </w:p>
        </w:tc>
        <w:tc>
          <w:tcPr>
            <w:tcW w:w="1179" w:type="dxa"/>
            <w:shd w:val="clear" w:color="auto" w:fill="auto"/>
            <w:noWrap/>
            <w:vAlign w:val="center"/>
          </w:tcPr>
          <w:p w14:paraId="60107F8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0.8087</w:t>
            </w:r>
          </w:p>
        </w:tc>
        <w:tc>
          <w:tcPr>
            <w:tcW w:w="1179" w:type="dxa"/>
            <w:shd w:val="clear" w:color="auto" w:fill="auto"/>
            <w:noWrap/>
            <w:vAlign w:val="center"/>
          </w:tcPr>
          <w:p w14:paraId="73F9C4E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0.6553</w:t>
            </w:r>
          </w:p>
        </w:tc>
      </w:tr>
      <w:tr w:rsidR="0062768B" w14:paraId="461FE5DF" w14:textId="77777777">
        <w:trPr>
          <w:cantSplit/>
          <w:jc w:val="center"/>
        </w:trPr>
        <w:tc>
          <w:tcPr>
            <w:tcW w:w="1179" w:type="dxa"/>
            <w:shd w:val="clear" w:color="auto" w:fill="auto"/>
            <w:noWrap/>
            <w:vAlign w:val="center"/>
          </w:tcPr>
          <w:p w14:paraId="3007BD8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2.6 </w:t>
            </w:r>
          </w:p>
        </w:tc>
        <w:tc>
          <w:tcPr>
            <w:tcW w:w="1098" w:type="dxa"/>
            <w:shd w:val="clear" w:color="auto" w:fill="auto"/>
            <w:noWrap/>
            <w:vAlign w:val="center"/>
          </w:tcPr>
          <w:p w14:paraId="33FF809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0.9929</w:t>
            </w:r>
          </w:p>
        </w:tc>
        <w:tc>
          <w:tcPr>
            <w:tcW w:w="1253" w:type="dxa"/>
            <w:shd w:val="clear" w:color="auto" w:fill="auto"/>
            <w:noWrap/>
            <w:vAlign w:val="center"/>
          </w:tcPr>
          <w:p w14:paraId="6BF628A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0.9432</w:t>
            </w:r>
          </w:p>
        </w:tc>
        <w:tc>
          <w:tcPr>
            <w:tcW w:w="1253" w:type="dxa"/>
            <w:shd w:val="clear" w:color="auto" w:fill="auto"/>
            <w:noWrap/>
            <w:vAlign w:val="center"/>
          </w:tcPr>
          <w:p w14:paraId="5D82872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0.8333</w:t>
            </w:r>
          </w:p>
        </w:tc>
        <w:tc>
          <w:tcPr>
            <w:tcW w:w="1179" w:type="dxa"/>
            <w:shd w:val="clear" w:color="auto" w:fill="auto"/>
            <w:vAlign w:val="center"/>
          </w:tcPr>
          <w:p w14:paraId="7387C00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7.1 </w:t>
            </w:r>
          </w:p>
        </w:tc>
        <w:tc>
          <w:tcPr>
            <w:tcW w:w="979" w:type="dxa"/>
            <w:shd w:val="clear" w:color="auto" w:fill="auto"/>
            <w:noWrap/>
            <w:vAlign w:val="center"/>
          </w:tcPr>
          <w:p w14:paraId="39DDC23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0.8727</w:t>
            </w:r>
          </w:p>
        </w:tc>
        <w:tc>
          <w:tcPr>
            <w:tcW w:w="1179" w:type="dxa"/>
            <w:shd w:val="clear" w:color="auto" w:fill="auto"/>
            <w:noWrap/>
            <w:vAlign w:val="center"/>
          </w:tcPr>
          <w:p w14:paraId="0B70F93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0.8069</w:t>
            </w:r>
          </w:p>
        </w:tc>
        <w:tc>
          <w:tcPr>
            <w:tcW w:w="1179" w:type="dxa"/>
            <w:shd w:val="clear" w:color="auto" w:fill="auto"/>
            <w:noWrap/>
            <w:vAlign w:val="center"/>
          </w:tcPr>
          <w:p w14:paraId="0815C47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0.6532</w:t>
            </w:r>
          </w:p>
        </w:tc>
      </w:tr>
      <w:tr w:rsidR="0062768B" w14:paraId="22DCB689" w14:textId="77777777">
        <w:trPr>
          <w:cantSplit/>
          <w:jc w:val="center"/>
        </w:trPr>
        <w:tc>
          <w:tcPr>
            <w:tcW w:w="1179" w:type="dxa"/>
            <w:shd w:val="clear" w:color="auto" w:fill="auto"/>
            <w:noWrap/>
            <w:vAlign w:val="center"/>
          </w:tcPr>
          <w:p w14:paraId="50C27C8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2.7 </w:t>
            </w:r>
          </w:p>
        </w:tc>
        <w:tc>
          <w:tcPr>
            <w:tcW w:w="1098" w:type="dxa"/>
            <w:shd w:val="clear" w:color="auto" w:fill="auto"/>
            <w:noWrap/>
            <w:vAlign w:val="center"/>
          </w:tcPr>
          <w:p w14:paraId="502FD25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0.9863</w:t>
            </w:r>
          </w:p>
        </w:tc>
        <w:tc>
          <w:tcPr>
            <w:tcW w:w="1253" w:type="dxa"/>
            <w:shd w:val="clear" w:color="auto" w:fill="auto"/>
            <w:noWrap/>
            <w:vAlign w:val="center"/>
          </w:tcPr>
          <w:p w14:paraId="55A5D74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0.9357</w:t>
            </w:r>
          </w:p>
        </w:tc>
        <w:tc>
          <w:tcPr>
            <w:tcW w:w="1253" w:type="dxa"/>
            <w:shd w:val="clear" w:color="auto" w:fill="auto"/>
            <w:noWrap/>
            <w:vAlign w:val="center"/>
          </w:tcPr>
          <w:p w14:paraId="5641BAE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0.8232</w:t>
            </w:r>
          </w:p>
        </w:tc>
        <w:tc>
          <w:tcPr>
            <w:tcW w:w="1179" w:type="dxa"/>
            <w:shd w:val="clear" w:color="auto" w:fill="auto"/>
            <w:vAlign w:val="center"/>
          </w:tcPr>
          <w:p w14:paraId="32AC1B8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7.2 </w:t>
            </w:r>
          </w:p>
        </w:tc>
        <w:tc>
          <w:tcPr>
            <w:tcW w:w="979" w:type="dxa"/>
            <w:shd w:val="clear" w:color="auto" w:fill="auto"/>
            <w:noWrap/>
            <w:vAlign w:val="center"/>
          </w:tcPr>
          <w:p w14:paraId="0FA86A8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0.8712</w:t>
            </w:r>
          </w:p>
        </w:tc>
        <w:tc>
          <w:tcPr>
            <w:tcW w:w="1179" w:type="dxa"/>
            <w:shd w:val="clear" w:color="auto" w:fill="auto"/>
            <w:noWrap/>
            <w:vAlign w:val="center"/>
          </w:tcPr>
          <w:p w14:paraId="4B0A784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0.8051</w:t>
            </w:r>
          </w:p>
        </w:tc>
        <w:tc>
          <w:tcPr>
            <w:tcW w:w="1179" w:type="dxa"/>
            <w:shd w:val="clear" w:color="auto" w:fill="auto"/>
            <w:noWrap/>
            <w:vAlign w:val="center"/>
          </w:tcPr>
          <w:p w14:paraId="6BB53C7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0.651</w:t>
            </w:r>
          </w:p>
        </w:tc>
      </w:tr>
      <w:tr w:rsidR="0062768B" w14:paraId="065996C0" w14:textId="77777777">
        <w:trPr>
          <w:cantSplit/>
          <w:jc w:val="center"/>
        </w:trPr>
        <w:tc>
          <w:tcPr>
            <w:tcW w:w="1179" w:type="dxa"/>
            <w:shd w:val="clear" w:color="auto" w:fill="auto"/>
            <w:noWrap/>
            <w:vAlign w:val="center"/>
          </w:tcPr>
          <w:p w14:paraId="0853667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2.8 </w:t>
            </w:r>
          </w:p>
        </w:tc>
        <w:tc>
          <w:tcPr>
            <w:tcW w:w="1098" w:type="dxa"/>
            <w:shd w:val="clear" w:color="auto" w:fill="auto"/>
            <w:noWrap/>
            <w:vAlign w:val="center"/>
          </w:tcPr>
          <w:p w14:paraId="028D80C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0.9801</w:t>
            </w:r>
          </w:p>
        </w:tc>
        <w:tc>
          <w:tcPr>
            <w:tcW w:w="1253" w:type="dxa"/>
            <w:shd w:val="clear" w:color="auto" w:fill="auto"/>
            <w:noWrap/>
            <w:vAlign w:val="center"/>
          </w:tcPr>
          <w:p w14:paraId="0992EF1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0.9288</w:t>
            </w:r>
          </w:p>
        </w:tc>
        <w:tc>
          <w:tcPr>
            <w:tcW w:w="1253" w:type="dxa"/>
            <w:shd w:val="clear" w:color="auto" w:fill="auto"/>
            <w:noWrap/>
            <w:vAlign w:val="center"/>
          </w:tcPr>
          <w:p w14:paraId="64EB558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0.8136</w:t>
            </w:r>
          </w:p>
        </w:tc>
        <w:tc>
          <w:tcPr>
            <w:tcW w:w="1179" w:type="dxa"/>
            <w:shd w:val="clear" w:color="auto" w:fill="auto"/>
            <w:vAlign w:val="center"/>
          </w:tcPr>
          <w:p w14:paraId="333CAC1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7.3 </w:t>
            </w:r>
          </w:p>
        </w:tc>
        <w:tc>
          <w:tcPr>
            <w:tcW w:w="979" w:type="dxa"/>
            <w:shd w:val="clear" w:color="auto" w:fill="auto"/>
            <w:noWrap/>
            <w:vAlign w:val="center"/>
          </w:tcPr>
          <w:p w14:paraId="39A1F42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0.8697</w:t>
            </w:r>
          </w:p>
        </w:tc>
        <w:tc>
          <w:tcPr>
            <w:tcW w:w="1179" w:type="dxa"/>
            <w:shd w:val="clear" w:color="auto" w:fill="auto"/>
            <w:noWrap/>
            <w:vAlign w:val="center"/>
          </w:tcPr>
          <w:p w14:paraId="152025D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0.8033</w:t>
            </w:r>
          </w:p>
        </w:tc>
        <w:tc>
          <w:tcPr>
            <w:tcW w:w="1179" w:type="dxa"/>
            <w:shd w:val="clear" w:color="auto" w:fill="auto"/>
            <w:noWrap/>
            <w:vAlign w:val="center"/>
          </w:tcPr>
          <w:p w14:paraId="0D580F8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0.6488</w:t>
            </w:r>
          </w:p>
        </w:tc>
      </w:tr>
      <w:tr w:rsidR="0062768B" w14:paraId="470C2882" w14:textId="77777777">
        <w:trPr>
          <w:cantSplit/>
          <w:jc w:val="center"/>
        </w:trPr>
        <w:tc>
          <w:tcPr>
            <w:tcW w:w="1179" w:type="dxa"/>
            <w:shd w:val="clear" w:color="auto" w:fill="auto"/>
            <w:noWrap/>
            <w:vAlign w:val="center"/>
          </w:tcPr>
          <w:p w14:paraId="35F9074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2.9 </w:t>
            </w:r>
          </w:p>
        </w:tc>
        <w:tc>
          <w:tcPr>
            <w:tcW w:w="1098" w:type="dxa"/>
            <w:shd w:val="clear" w:color="auto" w:fill="auto"/>
            <w:noWrap/>
            <w:vAlign w:val="center"/>
          </w:tcPr>
          <w:p w14:paraId="2D98621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0.9743</w:t>
            </w:r>
          </w:p>
        </w:tc>
        <w:tc>
          <w:tcPr>
            <w:tcW w:w="1253" w:type="dxa"/>
            <w:shd w:val="clear" w:color="auto" w:fill="auto"/>
            <w:noWrap/>
            <w:vAlign w:val="center"/>
          </w:tcPr>
          <w:p w14:paraId="49F7000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0.9222</w:t>
            </w:r>
          </w:p>
        </w:tc>
        <w:tc>
          <w:tcPr>
            <w:tcW w:w="1253" w:type="dxa"/>
            <w:shd w:val="clear" w:color="auto" w:fill="auto"/>
            <w:noWrap/>
            <w:vAlign w:val="center"/>
          </w:tcPr>
          <w:p w14:paraId="23C86B2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0.8046</w:t>
            </w:r>
          </w:p>
        </w:tc>
        <w:tc>
          <w:tcPr>
            <w:tcW w:w="1179" w:type="dxa"/>
            <w:shd w:val="clear" w:color="auto" w:fill="auto"/>
            <w:vAlign w:val="center"/>
          </w:tcPr>
          <w:p w14:paraId="5AC2840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7.4 </w:t>
            </w:r>
          </w:p>
        </w:tc>
        <w:tc>
          <w:tcPr>
            <w:tcW w:w="979" w:type="dxa"/>
            <w:shd w:val="clear" w:color="auto" w:fill="auto"/>
            <w:noWrap/>
            <w:vAlign w:val="center"/>
          </w:tcPr>
          <w:p w14:paraId="734F5BA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0.8682</w:t>
            </w:r>
          </w:p>
        </w:tc>
        <w:tc>
          <w:tcPr>
            <w:tcW w:w="1179" w:type="dxa"/>
            <w:shd w:val="clear" w:color="auto" w:fill="auto"/>
            <w:noWrap/>
            <w:vAlign w:val="center"/>
          </w:tcPr>
          <w:p w14:paraId="467CEDF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0.8015</w:t>
            </w:r>
          </w:p>
        </w:tc>
        <w:tc>
          <w:tcPr>
            <w:tcW w:w="1179" w:type="dxa"/>
            <w:shd w:val="clear" w:color="auto" w:fill="auto"/>
            <w:noWrap/>
            <w:vAlign w:val="center"/>
          </w:tcPr>
          <w:p w14:paraId="41C1E8C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0.6466</w:t>
            </w:r>
          </w:p>
        </w:tc>
      </w:tr>
      <w:tr w:rsidR="0062768B" w14:paraId="0A060998" w14:textId="77777777">
        <w:trPr>
          <w:cantSplit/>
          <w:jc w:val="center"/>
        </w:trPr>
        <w:tc>
          <w:tcPr>
            <w:tcW w:w="1179" w:type="dxa"/>
            <w:shd w:val="clear" w:color="auto" w:fill="auto"/>
            <w:noWrap/>
            <w:vAlign w:val="center"/>
          </w:tcPr>
          <w:p w14:paraId="387AD3A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3.0 </w:t>
            </w:r>
          </w:p>
        </w:tc>
        <w:tc>
          <w:tcPr>
            <w:tcW w:w="1098" w:type="dxa"/>
            <w:shd w:val="clear" w:color="auto" w:fill="auto"/>
            <w:noWrap/>
            <w:vAlign w:val="center"/>
          </w:tcPr>
          <w:p w14:paraId="5B15772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0.9689</w:t>
            </w:r>
          </w:p>
        </w:tc>
        <w:tc>
          <w:tcPr>
            <w:tcW w:w="1253" w:type="dxa"/>
            <w:shd w:val="clear" w:color="auto" w:fill="auto"/>
            <w:noWrap/>
            <w:vAlign w:val="center"/>
          </w:tcPr>
          <w:p w14:paraId="61888DF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0.9161</w:t>
            </w:r>
          </w:p>
        </w:tc>
        <w:tc>
          <w:tcPr>
            <w:tcW w:w="1253" w:type="dxa"/>
            <w:shd w:val="clear" w:color="auto" w:fill="auto"/>
            <w:noWrap/>
            <w:vAlign w:val="center"/>
          </w:tcPr>
          <w:p w14:paraId="4EBC5B6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0.7962</w:t>
            </w:r>
          </w:p>
        </w:tc>
        <w:tc>
          <w:tcPr>
            <w:tcW w:w="1179" w:type="dxa"/>
            <w:shd w:val="clear" w:color="auto" w:fill="auto"/>
            <w:vAlign w:val="center"/>
          </w:tcPr>
          <w:p w14:paraId="2B0AA01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7.5 </w:t>
            </w:r>
          </w:p>
        </w:tc>
        <w:tc>
          <w:tcPr>
            <w:tcW w:w="979" w:type="dxa"/>
            <w:shd w:val="clear" w:color="auto" w:fill="auto"/>
            <w:noWrap/>
            <w:vAlign w:val="center"/>
          </w:tcPr>
          <w:p w14:paraId="51AC2B8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0.8666</w:t>
            </w:r>
          </w:p>
        </w:tc>
        <w:tc>
          <w:tcPr>
            <w:tcW w:w="1179" w:type="dxa"/>
            <w:shd w:val="clear" w:color="auto" w:fill="auto"/>
            <w:noWrap/>
            <w:vAlign w:val="center"/>
          </w:tcPr>
          <w:p w14:paraId="550EDB7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0.7997</w:t>
            </w:r>
          </w:p>
        </w:tc>
        <w:tc>
          <w:tcPr>
            <w:tcW w:w="1179" w:type="dxa"/>
            <w:shd w:val="clear" w:color="auto" w:fill="auto"/>
            <w:noWrap/>
            <w:vAlign w:val="center"/>
          </w:tcPr>
          <w:p w14:paraId="3605727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0.6445</w:t>
            </w:r>
          </w:p>
        </w:tc>
      </w:tr>
      <w:tr w:rsidR="0062768B" w14:paraId="1EDBF047" w14:textId="77777777">
        <w:trPr>
          <w:cantSplit/>
          <w:jc w:val="center"/>
        </w:trPr>
        <w:tc>
          <w:tcPr>
            <w:tcW w:w="1179" w:type="dxa"/>
            <w:shd w:val="clear" w:color="auto" w:fill="auto"/>
            <w:noWrap/>
            <w:vAlign w:val="center"/>
          </w:tcPr>
          <w:p w14:paraId="24AABA1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3.1 </w:t>
            </w:r>
          </w:p>
        </w:tc>
        <w:tc>
          <w:tcPr>
            <w:tcW w:w="1098" w:type="dxa"/>
            <w:shd w:val="clear" w:color="auto" w:fill="auto"/>
            <w:noWrap/>
            <w:vAlign w:val="center"/>
          </w:tcPr>
          <w:p w14:paraId="44B14B0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0.9639</w:t>
            </w:r>
          </w:p>
        </w:tc>
        <w:tc>
          <w:tcPr>
            <w:tcW w:w="1253" w:type="dxa"/>
            <w:shd w:val="clear" w:color="auto" w:fill="auto"/>
            <w:noWrap/>
            <w:vAlign w:val="center"/>
          </w:tcPr>
          <w:p w14:paraId="609873D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0.9104</w:t>
            </w:r>
          </w:p>
        </w:tc>
        <w:tc>
          <w:tcPr>
            <w:tcW w:w="1253" w:type="dxa"/>
            <w:shd w:val="clear" w:color="auto" w:fill="auto"/>
            <w:noWrap/>
            <w:vAlign w:val="center"/>
          </w:tcPr>
          <w:p w14:paraId="53A08AD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0.7883</w:t>
            </w:r>
          </w:p>
        </w:tc>
        <w:tc>
          <w:tcPr>
            <w:tcW w:w="1179" w:type="dxa"/>
            <w:shd w:val="clear" w:color="auto" w:fill="auto"/>
            <w:vAlign w:val="center"/>
          </w:tcPr>
          <w:p w14:paraId="50FC545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7.6</w:t>
            </w:r>
          </w:p>
        </w:tc>
        <w:tc>
          <w:tcPr>
            <w:tcW w:w="979" w:type="dxa"/>
            <w:shd w:val="clear" w:color="auto" w:fill="auto"/>
            <w:noWrap/>
            <w:vAlign w:val="center"/>
          </w:tcPr>
          <w:p w14:paraId="7B3C8AC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0.8651</w:t>
            </w:r>
          </w:p>
        </w:tc>
        <w:tc>
          <w:tcPr>
            <w:tcW w:w="1179" w:type="dxa"/>
            <w:shd w:val="clear" w:color="auto" w:fill="auto"/>
            <w:noWrap/>
            <w:vAlign w:val="center"/>
          </w:tcPr>
          <w:p w14:paraId="5CA6150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0.798</w:t>
            </w:r>
          </w:p>
        </w:tc>
        <w:tc>
          <w:tcPr>
            <w:tcW w:w="1179" w:type="dxa"/>
            <w:shd w:val="clear" w:color="auto" w:fill="auto"/>
            <w:noWrap/>
            <w:vAlign w:val="center"/>
          </w:tcPr>
          <w:p w14:paraId="6A822BE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0.6424</w:t>
            </w:r>
          </w:p>
        </w:tc>
      </w:tr>
      <w:tr w:rsidR="0062768B" w14:paraId="33ED5985" w14:textId="77777777">
        <w:trPr>
          <w:cantSplit/>
          <w:jc w:val="center"/>
        </w:trPr>
        <w:tc>
          <w:tcPr>
            <w:tcW w:w="1179" w:type="dxa"/>
            <w:shd w:val="clear" w:color="auto" w:fill="auto"/>
            <w:noWrap/>
            <w:vAlign w:val="center"/>
          </w:tcPr>
          <w:p w14:paraId="769D8AB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3.2 </w:t>
            </w:r>
          </w:p>
        </w:tc>
        <w:tc>
          <w:tcPr>
            <w:tcW w:w="1098" w:type="dxa"/>
            <w:shd w:val="clear" w:color="auto" w:fill="auto"/>
            <w:noWrap/>
            <w:vAlign w:val="center"/>
          </w:tcPr>
          <w:p w14:paraId="14DF6DC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0.9593</w:t>
            </w:r>
          </w:p>
        </w:tc>
        <w:tc>
          <w:tcPr>
            <w:tcW w:w="1253" w:type="dxa"/>
            <w:shd w:val="clear" w:color="auto" w:fill="auto"/>
            <w:noWrap/>
            <w:vAlign w:val="center"/>
          </w:tcPr>
          <w:p w14:paraId="5A83BA0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0.9052</w:t>
            </w:r>
          </w:p>
        </w:tc>
        <w:tc>
          <w:tcPr>
            <w:tcW w:w="1253" w:type="dxa"/>
            <w:shd w:val="clear" w:color="auto" w:fill="auto"/>
            <w:noWrap/>
            <w:vAlign w:val="center"/>
          </w:tcPr>
          <w:p w14:paraId="0A84314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0.7809</w:t>
            </w:r>
          </w:p>
        </w:tc>
        <w:tc>
          <w:tcPr>
            <w:tcW w:w="1179" w:type="dxa"/>
            <w:shd w:val="clear" w:color="auto" w:fill="auto"/>
            <w:vAlign w:val="center"/>
          </w:tcPr>
          <w:p w14:paraId="0C63340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7.7 </w:t>
            </w:r>
          </w:p>
        </w:tc>
        <w:tc>
          <w:tcPr>
            <w:tcW w:w="979" w:type="dxa"/>
            <w:shd w:val="clear" w:color="auto" w:fill="auto"/>
            <w:noWrap/>
            <w:vAlign w:val="center"/>
          </w:tcPr>
          <w:p w14:paraId="54CEE19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0.8637</w:t>
            </w:r>
          </w:p>
        </w:tc>
        <w:tc>
          <w:tcPr>
            <w:tcW w:w="1179" w:type="dxa"/>
            <w:shd w:val="clear" w:color="auto" w:fill="auto"/>
            <w:noWrap/>
            <w:vAlign w:val="center"/>
          </w:tcPr>
          <w:p w14:paraId="1FB0D51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0.7963</w:t>
            </w:r>
          </w:p>
        </w:tc>
        <w:tc>
          <w:tcPr>
            <w:tcW w:w="1179" w:type="dxa"/>
            <w:shd w:val="clear" w:color="auto" w:fill="auto"/>
            <w:noWrap/>
            <w:vAlign w:val="center"/>
          </w:tcPr>
          <w:p w14:paraId="5DEBA38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0.6403</w:t>
            </w:r>
          </w:p>
        </w:tc>
      </w:tr>
      <w:tr w:rsidR="0062768B" w14:paraId="6A83F08D" w14:textId="77777777">
        <w:trPr>
          <w:cantSplit/>
          <w:jc w:val="center"/>
        </w:trPr>
        <w:tc>
          <w:tcPr>
            <w:tcW w:w="1179" w:type="dxa"/>
            <w:shd w:val="clear" w:color="auto" w:fill="auto"/>
            <w:noWrap/>
            <w:vAlign w:val="center"/>
          </w:tcPr>
          <w:p w14:paraId="3390173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3.3 </w:t>
            </w:r>
          </w:p>
        </w:tc>
        <w:tc>
          <w:tcPr>
            <w:tcW w:w="1098" w:type="dxa"/>
            <w:shd w:val="clear" w:color="auto" w:fill="auto"/>
            <w:noWrap/>
            <w:vAlign w:val="center"/>
          </w:tcPr>
          <w:p w14:paraId="39D8436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0.9549</w:t>
            </w:r>
          </w:p>
        </w:tc>
        <w:tc>
          <w:tcPr>
            <w:tcW w:w="1253" w:type="dxa"/>
            <w:shd w:val="clear" w:color="auto" w:fill="auto"/>
            <w:noWrap/>
            <w:vAlign w:val="center"/>
          </w:tcPr>
          <w:p w14:paraId="389F4BE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0.9002</w:t>
            </w:r>
          </w:p>
        </w:tc>
        <w:tc>
          <w:tcPr>
            <w:tcW w:w="1253" w:type="dxa"/>
            <w:shd w:val="clear" w:color="auto" w:fill="auto"/>
            <w:noWrap/>
            <w:vAlign w:val="center"/>
          </w:tcPr>
          <w:p w14:paraId="52304D5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0.7741</w:t>
            </w:r>
          </w:p>
        </w:tc>
        <w:tc>
          <w:tcPr>
            <w:tcW w:w="1179" w:type="dxa"/>
            <w:shd w:val="clear" w:color="auto" w:fill="auto"/>
            <w:vAlign w:val="center"/>
          </w:tcPr>
          <w:p w14:paraId="2214BE3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7.8 </w:t>
            </w:r>
          </w:p>
        </w:tc>
        <w:tc>
          <w:tcPr>
            <w:tcW w:w="979" w:type="dxa"/>
            <w:shd w:val="clear" w:color="auto" w:fill="auto"/>
            <w:noWrap/>
            <w:vAlign w:val="center"/>
          </w:tcPr>
          <w:p w14:paraId="10D1AD6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0.8623</w:t>
            </w:r>
          </w:p>
        </w:tc>
        <w:tc>
          <w:tcPr>
            <w:tcW w:w="1179" w:type="dxa"/>
            <w:shd w:val="clear" w:color="auto" w:fill="auto"/>
            <w:noWrap/>
            <w:vAlign w:val="center"/>
          </w:tcPr>
          <w:p w14:paraId="56F714F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0.7945</w:t>
            </w:r>
          </w:p>
        </w:tc>
        <w:tc>
          <w:tcPr>
            <w:tcW w:w="1179" w:type="dxa"/>
            <w:shd w:val="clear" w:color="auto" w:fill="auto"/>
            <w:noWrap/>
            <w:vAlign w:val="center"/>
          </w:tcPr>
          <w:p w14:paraId="5FEB8CC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0.6382</w:t>
            </w:r>
          </w:p>
        </w:tc>
      </w:tr>
      <w:tr w:rsidR="0062768B" w14:paraId="08B50765" w14:textId="77777777">
        <w:trPr>
          <w:cantSplit/>
          <w:jc w:val="center"/>
        </w:trPr>
        <w:tc>
          <w:tcPr>
            <w:tcW w:w="1179" w:type="dxa"/>
            <w:shd w:val="clear" w:color="auto" w:fill="auto"/>
            <w:noWrap/>
            <w:vAlign w:val="center"/>
          </w:tcPr>
          <w:p w14:paraId="62B037A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3.4 </w:t>
            </w:r>
          </w:p>
        </w:tc>
        <w:tc>
          <w:tcPr>
            <w:tcW w:w="1098" w:type="dxa"/>
            <w:shd w:val="clear" w:color="auto" w:fill="auto"/>
            <w:noWrap/>
            <w:vAlign w:val="center"/>
          </w:tcPr>
          <w:p w14:paraId="1D53C0C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0.9509</w:t>
            </w:r>
          </w:p>
        </w:tc>
        <w:tc>
          <w:tcPr>
            <w:tcW w:w="1253" w:type="dxa"/>
            <w:shd w:val="clear" w:color="auto" w:fill="auto"/>
            <w:noWrap/>
            <w:vAlign w:val="center"/>
          </w:tcPr>
          <w:p w14:paraId="3116AA1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0.8956</w:t>
            </w:r>
          </w:p>
        </w:tc>
        <w:tc>
          <w:tcPr>
            <w:tcW w:w="1253" w:type="dxa"/>
            <w:shd w:val="clear" w:color="auto" w:fill="auto"/>
            <w:noWrap/>
            <w:vAlign w:val="center"/>
          </w:tcPr>
          <w:p w14:paraId="4D8734F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0.7676</w:t>
            </w:r>
          </w:p>
        </w:tc>
        <w:tc>
          <w:tcPr>
            <w:tcW w:w="1179" w:type="dxa"/>
            <w:shd w:val="clear" w:color="auto" w:fill="auto"/>
            <w:vAlign w:val="center"/>
          </w:tcPr>
          <w:p w14:paraId="57083CC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7.9 </w:t>
            </w:r>
          </w:p>
        </w:tc>
        <w:tc>
          <w:tcPr>
            <w:tcW w:w="979" w:type="dxa"/>
            <w:shd w:val="clear" w:color="auto" w:fill="auto"/>
            <w:noWrap/>
            <w:vAlign w:val="center"/>
          </w:tcPr>
          <w:p w14:paraId="720F7B1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0.8609</w:t>
            </w:r>
          </w:p>
        </w:tc>
        <w:tc>
          <w:tcPr>
            <w:tcW w:w="1179" w:type="dxa"/>
            <w:shd w:val="clear" w:color="auto" w:fill="auto"/>
            <w:noWrap/>
            <w:vAlign w:val="center"/>
          </w:tcPr>
          <w:p w14:paraId="56F256C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0.7928</w:t>
            </w:r>
          </w:p>
        </w:tc>
        <w:tc>
          <w:tcPr>
            <w:tcW w:w="1179" w:type="dxa"/>
            <w:shd w:val="clear" w:color="auto" w:fill="auto"/>
            <w:noWrap/>
            <w:vAlign w:val="center"/>
          </w:tcPr>
          <w:p w14:paraId="29F720E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0.6361</w:t>
            </w:r>
          </w:p>
        </w:tc>
      </w:tr>
      <w:tr w:rsidR="0062768B" w14:paraId="6F4D0A7C" w14:textId="77777777">
        <w:trPr>
          <w:cantSplit/>
          <w:jc w:val="center"/>
        </w:trPr>
        <w:tc>
          <w:tcPr>
            <w:tcW w:w="1179" w:type="dxa"/>
            <w:shd w:val="clear" w:color="auto" w:fill="auto"/>
            <w:noWrap/>
            <w:vAlign w:val="center"/>
          </w:tcPr>
          <w:p w14:paraId="23E9754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3.5 </w:t>
            </w:r>
          </w:p>
        </w:tc>
        <w:tc>
          <w:tcPr>
            <w:tcW w:w="1098" w:type="dxa"/>
            <w:shd w:val="clear" w:color="auto" w:fill="auto"/>
            <w:noWrap/>
            <w:vAlign w:val="center"/>
          </w:tcPr>
          <w:p w14:paraId="4E43DDA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0.9471</w:t>
            </w:r>
          </w:p>
        </w:tc>
        <w:tc>
          <w:tcPr>
            <w:tcW w:w="1253" w:type="dxa"/>
            <w:shd w:val="clear" w:color="auto" w:fill="auto"/>
            <w:noWrap/>
            <w:vAlign w:val="center"/>
          </w:tcPr>
          <w:p w14:paraId="1C9A715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0.8913</w:t>
            </w:r>
          </w:p>
        </w:tc>
        <w:tc>
          <w:tcPr>
            <w:tcW w:w="1253" w:type="dxa"/>
            <w:shd w:val="clear" w:color="auto" w:fill="auto"/>
            <w:noWrap/>
            <w:vAlign w:val="center"/>
          </w:tcPr>
          <w:p w14:paraId="6BFAAFC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0.7616</w:t>
            </w:r>
          </w:p>
        </w:tc>
        <w:tc>
          <w:tcPr>
            <w:tcW w:w="1179" w:type="dxa"/>
            <w:shd w:val="clear" w:color="auto" w:fill="auto"/>
            <w:vAlign w:val="center"/>
          </w:tcPr>
          <w:p w14:paraId="0B3666B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8.0 </w:t>
            </w:r>
          </w:p>
        </w:tc>
        <w:tc>
          <w:tcPr>
            <w:tcW w:w="979" w:type="dxa"/>
            <w:shd w:val="clear" w:color="auto" w:fill="auto"/>
            <w:noWrap/>
            <w:vAlign w:val="center"/>
          </w:tcPr>
          <w:p w14:paraId="410E88D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0.8594</w:t>
            </w:r>
          </w:p>
        </w:tc>
        <w:tc>
          <w:tcPr>
            <w:tcW w:w="1179" w:type="dxa"/>
            <w:shd w:val="clear" w:color="auto" w:fill="auto"/>
            <w:noWrap/>
            <w:vAlign w:val="center"/>
          </w:tcPr>
          <w:p w14:paraId="65A37EB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0.7911</w:t>
            </w:r>
          </w:p>
        </w:tc>
        <w:tc>
          <w:tcPr>
            <w:tcW w:w="1179" w:type="dxa"/>
            <w:shd w:val="clear" w:color="auto" w:fill="auto"/>
            <w:noWrap/>
            <w:vAlign w:val="center"/>
          </w:tcPr>
          <w:p w14:paraId="4C40DC3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0.6341</w:t>
            </w:r>
          </w:p>
        </w:tc>
      </w:tr>
      <w:tr w:rsidR="0062768B" w14:paraId="4812659B" w14:textId="77777777">
        <w:trPr>
          <w:cantSplit/>
          <w:jc w:val="center"/>
        </w:trPr>
        <w:tc>
          <w:tcPr>
            <w:tcW w:w="1179" w:type="dxa"/>
            <w:shd w:val="clear" w:color="auto" w:fill="auto"/>
            <w:noWrap/>
            <w:vAlign w:val="center"/>
          </w:tcPr>
          <w:p w14:paraId="7998357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3.6 </w:t>
            </w:r>
          </w:p>
        </w:tc>
        <w:tc>
          <w:tcPr>
            <w:tcW w:w="1098" w:type="dxa"/>
            <w:shd w:val="clear" w:color="auto" w:fill="auto"/>
            <w:noWrap/>
            <w:vAlign w:val="center"/>
          </w:tcPr>
          <w:p w14:paraId="5F47671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0.9436</w:t>
            </w:r>
          </w:p>
        </w:tc>
        <w:tc>
          <w:tcPr>
            <w:tcW w:w="1253" w:type="dxa"/>
            <w:shd w:val="clear" w:color="auto" w:fill="auto"/>
            <w:noWrap/>
            <w:vAlign w:val="center"/>
          </w:tcPr>
          <w:p w14:paraId="514B20B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0.8873</w:t>
            </w:r>
          </w:p>
        </w:tc>
        <w:tc>
          <w:tcPr>
            <w:tcW w:w="1253" w:type="dxa"/>
            <w:shd w:val="clear" w:color="auto" w:fill="auto"/>
            <w:noWrap/>
            <w:vAlign w:val="center"/>
          </w:tcPr>
          <w:p w14:paraId="4A3214B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0.7559</w:t>
            </w:r>
          </w:p>
        </w:tc>
        <w:tc>
          <w:tcPr>
            <w:tcW w:w="1179" w:type="dxa"/>
            <w:shd w:val="clear" w:color="auto" w:fill="auto"/>
            <w:vAlign w:val="center"/>
          </w:tcPr>
          <w:p w14:paraId="7E52B32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8.1 </w:t>
            </w:r>
          </w:p>
        </w:tc>
        <w:tc>
          <w:tcPr>
            <w:tcW w:w="979" w:type="dxa"/>
            <w:shd w:val="clear" w:color="auto" w:fill="auto"/>
            <w:noWrap/>
            <w:vAlign w:val="center"/>
          </w:tcPr>
          <w:p w14:paraId="45B0FD1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0.858</w:t>
            </w:r>
          </w:p>
        </w:tc>
        <w:tc>
          <w:tcPr>
            <w:tcW w:w="1179" w:type="dxa"/>
            <w:shd w:val="clear" w:color="auto" w:fill="auto"/>
            <w:noWrap/>
            <w:vAlign w:val="center"/>
          </w:tcPr>
          <w:p w14:paraId="31E9841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0.7894</w:t>
            </w:r>
          </w:p>
        </w:tc>
        <w:tc>
          <w:tcPr>
            <w:tcW w:w="1179" w:type="dxa"/>
            <w:shd w:val="clear" w:color="auto" w:fill="auto"/>
            <w:noWrap/>
            <w:vAlign w:val="center"/>
          </w:tcPr>
          <w:p w14:paraId="667C428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0.6321</w:t>
            </w:r>
          </w:p>
        </w:tc>
      </w:tr>
      <w:tr w:rsidR="0062768B" w14:paraId="4FAE468F" w14:textId="77777777">
        <w:trPr>
          <w:cantSplit/>
          <w:jc w:val="center"/>
        </w:trPr>
        <w:tc>
          <w:tcPr>
            <w:tcW w:w="1179" w:type="dxa"/>
            <w:shd w:val="clear" w:color="auto" w:fill="auto"/>
            <w:noWrap/>
            <w:vAlign w:val="center"/>
          </w:tcPr>
          <w:p w14:paraId="04D0B63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3.7 </w:t>
            </w:r>
          </w:p>
        </w:tc>
        <w:tc>
          <w:tcPr>
            <w:tcW w:w="1098" w:type="dxa"/>
            <w:shd w:val="clear" w:color="auto" w:fill="auto"/>
            <w:noWrap/>
            <w:vAlign w:val="center"/>
          </w:tcPr>
          <w:p w14:paraId="55EC0E3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0.9404</w:t>
            </w:r>
          </w:p>
        </w:tc>
        <w:tc>
          <w:tcPr>
            <w:tcW w:w="1253" w:type="dxa"/>
            <w:shd w:val="clear" w:color="auto" w:fill="auto"/>
            <w:noWrap/>
            <w:vAlign w:val="center"/>
          </w:tcPr>
          <w:p w14:paraId="5BEA157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0.8835</w:t>
            </w:r>
          </w:p>
        </w:tc>
        <w:tc>
          <w:tcPr>
            <w:tcW w:w="1253" w:type="dxa"/>
            <w:shd w:val="clear" w:color="auto" w:fill="auto"/>
            <w:noWrap/>
            <w:vAlign w:val="center"/>
          </w:tcPr>
          <w:p w14:paraId="3E466CF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0.7507</w:t>
            </w:r>
          </w:p>
        </w:tc>
        <w:tc>
          <w:tcPr>
            <w:tcW w:w="1179" w:type="dxa"/>
            <w:shd w:val="clear" w:color="auto" w:fill="auto"/>
            <w:vAlign w:val="center"/>
          </w:tcPr>
          <w:p w14:paraId="2ED0224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8.2 </w:t>
            </w:r>
          </w:p>
        </w:tc>
        <w:tc>
          <w:tcPr>
            <w:tcW w:w="979" w:type="dxa"/>
            <w:shd w:val="clear" w:color="auto" w:fill="auto"/>
            <w:noWrap/>
            <w:vAlign w:val="center"/>
          </w:tcPr>
          <w:p w14:paraId="01C05EC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0.8566</w:t>
            </w:r>
          </w:p>
        </w:tc>
        <w:tc>
          <w:tcPr>
            <w:tcW w:w="1179" w:type="dxa"/>
            <w:shd w:val="clear" w:color="auto" w:fill="auto"/>
            <w:noWrap/>
            <w:vAlign w:val="center"/>
          </w:tcPr>
          <w:p w14:paraId="4C01CA3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0.7878</w:t>
            </w:r>
          </w:p>
        </w:tc>
        <w:tc>
          <w:tcPr>
            <w:tcW w:w="1179" w:type="dxa"/>
            <w:shd w:val="clear" w:color="auto" w:fill="auto"/>
            <w:noWrap/>
            <w:vAlign w:val="center"/>
          </w:tcPr>
          <w:p w14:paraId="7BB7A7D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0.6301</w:t>
            </w:r>
          </w:p>
        </w:tc>
      </w:tr>
      <w:tr w:rsidR="0062768B" w14:paraId="12E0F0B5" w14:textId="77777777">
        <w:trPr>
          <w:cantSplit/>
          <w:jc w:val="center"/>
        </w:trPr>
        <w:tc>
          <w:tcPr>
            <w:tcW w:w="1179" w:type="dxa"/>
            <w:shd w:val="clear" w:color="auto" w:fill="auto"/>
            <w:noWrap/>
            <w:vAlign w:val="center"/>
          </w:tcPr>
          <w:p w14:paraId="6BD5ADF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3.8 </w:t>
            </w:r>
          </w:p>
        </w:tc>
        <w:tc>
          <w:tcPr>
            <w:tcW w:w="1098" w:type="dxa"/>
            <w:shd w:val="clear" w:color="auto" w:fill="auto"/>
            <w:noWrap/>
            <w:vAlign w:val="center"/>
          </w:tcPr>
          <w:p w14:paraId="7F80E58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0.9374</w:t>
            </w:r>
          </w:p>
        </w:tc>
        <w:tc>
          <w:tcPr>
            <w:tcW w:w="1253" w:type="dxa"/>
            <w:shd w:val="clear" w:color="auto" w:fill="auto"/>
            <w:noWrap/>
            <w:vAlign w:val="center"/>
          </w:tcPr>
          <w:p w14:paraId="0EF1660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0.8801</w:t>
            </w:r>
          </w:p>
        </w:tc>
        <w:tc>
          <w:tcPr>
            <w:tcW w:w="1253" w:type="dxa"/>
            <w:shd w:val="clear" w:color="auto" w:fill="auto"/>
            <w:noWrap/>
            <w:vAlign w:val="center"/>
          </w:tcPr>
          <w:p w14:paraId="5DE2C34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0.7457</w:t>
            </w:r>
          </w:p>
        </w:tc>
        <w:tc>
          <w:tcPr>
            <w:tcW w:w="1179" w:type="dxa"/>
            <w:shd w:val="clear" w:color="auto" w:fill="auto"/>
            <w:vAlign w:val="center"/>
          </w:tcPr>
          <w:p w14:paraId="5F6A33E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8.3 </w:t>
            </w:r>
          </w:p>
        </w:tc>
        <w:tc>
          <w:tcPr>
            <w:tcW w:w="979" w:type="dxa"/>
            <w:shd w:val="clear" w:color="auto" w:fill="auto"/>
            <w:noWrap/>
            <w:vAlign w:val="center"/>
          </w:tcPr>
          <w:p w14:paraId="0855750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0.8553</w:t>
            </w:r>
          </w:p>
        </w:tc>
        <w:tc>
          <w:tcPr>
            <w:tcW w:w="1179" w:type="dxa"/>
            <w:shd w:val="clear" w:color="auto" w:fill="auto"/>
            <w:noWrap/>
            <w:vAlign w:val="center"/>
          </w:tcPr>
          <w:p w14:paraId="5177D7D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0.7862</w:t>
            </w:r>
          </w:p>
        </w:tc>
        <w:tc>
          <w:tcPr>
            <w:tcW w:w="1179" w:type="dxa"/>
            <w:shd w:val="clear" w:color="auto" w:fill="auto"/>
            <w:noWrap/>
            <w:vAlign w:val="center"/>
          </w:tcPr>
          <w:p w14:paraId="7DA08A2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0.6281</w:t>
            </w:r>
          </w:p>
        </w:tc>
      </w:tr>
      <w:tr w:rsidR="0062768B" w14:paraId="267A931D" w14:textId="77777777">
        <w:trPr>
          <w:cantSplit/>
          <w:jc w:val="center"/>
        </w:trPr>
        <w:tc>
          <w:tcPr>
            <w:tcW w:w="1179" w:type="dxa"/>
            <w:shd w:val="clear" w:color="auto" w:fill="auto"/>
            <w:noWrap/>
            <w:vAlign w:val="center"/>
          </w:tcPr>
          <w:p w14:paraId="5A7F110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3.9 </w:t>
            </w:r>
          </w:p>
        </w:tc>
        <w:tc>
          <w:tcPr>
            <w:tcW w:w="1098" w:type="dxa"/>
            <w:shd w:val="clear" w:color="auto" w:fill="auto"/>
            <w:noWrap/>
            <w:vAlign w:val="center"/>
          </w:tcPr>
          <w:p w14:paraId="57BCA84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0.9346</w:t>
            </w:r>
          </w:p>
        </w:tc>
        <w:tc>
          <w:tcPr>
            <w:tcW w:w="1253" w:type="dxa"/>
            <w:shd w:val="clear" w:color="auto" w:fill="auto"/>
            <w:noWrap/>
            <w:vAlign w:val="center"/>
          </w:tcPr>
          <w:p w14:paraId="7B91C11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0.8768</w:t>
            </w:r>
          </w:p>
        </w:tc>
        <w:tc>
          <w:tcPr>
            <w:tcW w:w="1253" w:type="dxa"/>
            <w:shd w:val="clear" w:color="auto" w:fill="auto"/>
            <w:noWrap/>
            <w:vAlign w:val="center"/>
          </w:tcPr>
          <w:p w14:paraId="21A9091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0.7411</w:t>
            </w:r>
          </w:p>
        </w:tc>
        <w:tc>
          <w:tcPr>
            <w:tcW w:w="1179" w:type="dxa"/>
            <w:shd w:val="clear" w:color="auto" w:fill="auto"/>
            <w:vAlign w:val="center"/>
          </w:tcPr>
          <w:p w14:paraId="6CCD7AC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8.4 </w:t>
            </w:r>
          </w:p>
        </w:tc>
        <w:tc>
          <w:tcPr>
            <w:tcW w:w="979" w:type="dxa"/>
            <w:shd w:val="clear" w:color="auto" w:fill="auto"/>
            <w:noWrap/>
            <w:vAlign w:val="center"/>
          </w:tcPr>
          <w:p w14:paraId="21EB5D6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0.8539</w:t>
            </w:r>
          </w:p>
        </w:tc>
        <w:tc>
          <w:tcPr>
            <w:tcW w:w="1179" w:type="dxa"/>
            <w:shd w:val="clear" w:color="auto" w:fill="auto"/>
            <w:noWrap/>
            <w:vAlign w:val="center"/>
          </w:tcPr>
          <w:p w14:paraId="5D6B659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0.7846</w:t>
            </w:r>
          </w:p>
        </w:tc>
        <w:tc>
          <w:tcPr>
            <w:tcW w:w="1179" w:type="dxa"/>
            <w:shd w:val="clear" w:color="auto" w:fill="auto"/>
            <w:noWrap/>
            <w:vAlign w:val="center"/>
          </w:tcPr>
          <w:p w14:paraId="7C24AFD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0.6261</w:t>
            </w:r>
          </w:p>
        </w:tc>
      </w:tr>
      <w:tr w:rsidR="0062768B" w14:paraId="39DE3B5D" w14:textId="77777777">
        <w:trPr>
          <w:cantSplit/>
          <w:jc w:val="center"/>
        </w:trPr>
        <w:tc>
          <w:tcPr>
            <w:tcW w:w="1179" w:type="dxa"/>
            <w:shd w:val="clear" w:color="auto" w:fill="auto"/>
            <w:noWrap/>
            <w:vAlign w:val="center"/>
          </w:tcPr>
          <w:p w14:paraId="476A887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4.0 </w:t>
            </w:r>
          </w:p>
        </w:tc>
        <w:tc>
          <w:tcPr>
            <w:tcW w:w="1098" w:type="dxa"/>
            <w:shd w:val="clear" w:color="auto" w:fill="auto"/>
            <w:noWrap/>
            <w:vAlign w:val="center"/>
          </w:tcPr>
          <w:p w14:paraId="5D0126C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0.9318</w:t>
            </w:r>
          </w:p>
        </w:tc>
        <w:tc>
          <w:tcPr>
            <w:tcW w:w="1253" w:type="dxa"/>
            <w:shd w:val="clear" w:color="auto" w:fill="auto"/>
            <w:noWrap/>
            <w:vAlign w:val="center"/>
          </w:tcPr>
          <w:p w14:paraId="10395DF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0.8738</w:t>
            </w:r>
          </w:p>
        </w:tc>
        <w:tc>
          <w:tcPr>
            <w:tcW w:w="1253" w:type="dxa"/>
            <w:shd w:val="clear" w:color="auto" w:fill="auto"/>
            <w:noWrap/>
            <w:vAlign w:val="center"/>
          </w:tcPr>
          <w:p w14:paraId="03D66CA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0.7368</w:t>
            </w:r>
          </w:p>
        </w:tc>
        <w:tc>
          <w:tcPr>
            <w:tcW w:w="1179" w:type="dxa"/>
            <w:shd w:val="clear" w:color="auto" w:fill="auto"/>
            <w:vAlign w:val="center"/>
          </w:tcPr>
          <w:p w14:paraId="541304A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8.5 </w:t>
            </w:r>
          </w:p>
        </w:tc>
        <w:tc>
          <w:tcPr>
            <w:tcW w:w="979" w:type="dxa"/>
            <w:shd w:val="clear" w:color="auto" w:fill="auto"/>
            <w:noWrap/>
            <w:vAlign w:val="center"/>
          </w:tcPr>
          <w:p w14:paraId="78A7620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0.8526</w:t>
            </w:r>
          </w:p>
        </w:tc>
        <w:tc>
          <w:tcPr>
            <w:tcW w:w="1179" w:type="dxa"/>
            <w:shd w:val="clear" w:color="auto" w:fill="auto"/>
            <w:noWrap/>
            <w:vAlign w:val="center"/>
          </w:tcPr>
          <w:p w14:paraId="48685FB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0.7829</w:t>
            </w:r>
          </w:p>
        </w:tc>
        <w:tc>
          <w:tcPr>
            <w:tcW w:w="1179" w:type="dxa"/>
            <w:shd w:val="clear" w:color="auto" w:fill="auto"/>
            <w:noWrap/>
            <w:vAlign w:val="center"/>
          </w:tcPr>
          <w:p w14:paraId="672CB9B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0.6242</w:t>
            </w:r>
          </w:p>
        </w:tc>
      </w:tr>
      <w:tr w:rsidR="0062768B" w14:paraId="00B94C4B" w14:textId="77777777">
        <w:trPr>
          <w:cantSplit/>
          <w:jc w:val="center"/>
        </w:trPr>
        <w:tc>
          <w:tcPr>
            <w:tcW w:w="1179" w:type="dxa"/>
            <w:shd w:val="clear" w:color="auto" w:fill="auto"/>
            <w:noWrap/>
            <w:vAlign w:val="center"/>
          </w:tcPr>
          <w:p w14:paraId="1D981F0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4.1 </w:t>
            </w:r>
          </w:p>
        </w:tc>
        <w:tc>
          <w:tcPr>
            <w:tcW w:w="1098" w:type="dxa"/>
            <w:shd w:val="clear" w:color="auto" w:fill="auto"/>
            <w:noWrap/>
            <w:vAlign w:val="center"/>
          </w:tcPr>
          <w:p w14:paraId="6FEA100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0.9292</w:t>
            </w:r>
          </w:p>
        </w:tc>
        <w:tc>
          <w:tcPr>
            <w:tcW w:w="1253" w:type="dxa"/>
            <w:shd w:val="clear" w:color="auto" w:fill="auto"/>
            <w:noWrap/>
            <w:vAlign w:val="center"/>
          </w:tcPr>
          <w:p w14:paraId="0175ABE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0.8709</w:t>
            </w:r>
          </w:p>
        </w:tc>
        <w:tc>
          <w:tcPr>
            <w:tcW w:w="1253" w:type="dxa"/>
            <w:shd w:val="clear" w:color="auto" w:fill="auto"/>
            <w:noWrap/>
            <w:vAlign w:val="center"/>
          </w:tcPr>
          <w:p w14:paraId="1A50317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0.7327</w:t>
            </w:r>
          </w:p>
        </w:tc>
        <w:tc>
          <w:tcPr>
            <w:tcW w:w="1179" w:type="dxa"/>
            <w:shd w:val="clear" w:color="auto" w:fill="auto"/>
            <w:vAlign w:val="center"/>
          </w:tcPr>
          <w:p w14:paraId="1186110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8.6 </w:t>
            </w:r>
          </w:p>
        </w:tc>
        <w:tc>
          <w:tcPr>
            <w:tcW w:w="979" w:type="dxa"/>
            <w:shd w:val="clear" w:color="auto" w:fill="auto"/>
            <w:noWrap/>
            <w:vAlign w:val="center"/>
          </w:tcPr>
          <w:p w14:paraId="5F46F48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0.8513</w:t>
            </w:r>
          </w:p>
        </w:tc>
        <w:tc>
          <w:tcPr>
            <w:tcW w:w="1179" w:type="dxa"/>
            <w:shd w:val="clear" w:color="auto" w:fill="auto"/>
            <w:noWrap/>
            <w:vAlign w:val="center"/>
          </w:tcPr>
          <w:p w14:paraId="401F676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0.7813</w:t>
            </w:r>
          </w:p>
        </w:tc>
        <w:tc>
          <w:tcPr>
            <w:tcW w:w="1179" w:type="dxa"/>
            <w:shd w:val="clear" w:color="auto" w:fill="auto"/>
            <w:noWrap/>
            <w:vAlign w:val="center"/>
          </w:tcPr>
          <w:p w14:paraId="0FCE846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0.6223</w:t>
            </w:r>
          </w:p>
        </w:tc>
      </w:tr>
      <w:tr w:rsidR="0062768B" w14:paraId="722DB38B" w14:textId="77777777">
        <w:trPr>
          <w:cantSplit/>
          <w:jc w:val="center"/>
        </w:trPr>
        <w:tc>
          <w:tcPr>
            <w:tcW w:w="1179" w:type="dxa"/>
            <w:shd w:val="clear" w:color="auto" w:fill="auto"/>
            <w:noWrap/>
            <w:vAlign w:val="center"/>
          </w:tcPr>
          <w:p w14:paraId="5FB07E8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4.2 </w:t>
            </w:r>
          </w:p>
        </w:tc>
        <w:tc>
          <w:tcPr>
            <w:tcW w:w="1098" w:type="dxa"/>
            <w:shd w:val="clear" w:color="auto" w:fill="auto"/>
            <w:noWrap/>
            <w:vAlign w:val="center"/>
          </w:tcPr>
          <w:p w14:paraId="10F41F5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0.9266</w:t>
            </w:r>
          </w:p>
        </w:tc>
        <w:tc>
          <w:tcPr>
            <w:tcW w:w="1253" w:type="dxa"/>
            <w:shd w:val="clear" w:color="auto" w:fill="auto"/>
            <w:noWrap/>
            <w:vAlign w:val="center"/>
          </w:tcPr>
          <w:p w14:paraId="00627D4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0.8682</w:t>
            </w:r>
          </w:p>
        </w:tc>
        <w:tc>
          <w:tcPr>
            <w:tcW w:w="1253" w:type="dxa"/>
            <w:shd w:val="clear" w:color="auto" w:fill="auto"/>
            <w:noWrap/>
            <w:vAlign w:val="center"/>
          </w:tcPr>
          <w:p w14:paraId="5D6C191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0.7288</w:t>
            </w:r>
          </w:p>
        </w:tc>
        <w:tc>
          <w:tcPr>
            <w:tcW w:w="1179" w:type="dxa"/>
            <w:shd w:val="clear" w:color="auto" w:fill="auto"/>
            <w:vAlign w:val="center"/>
          </w:tcPr>
          <w:p w14:paraId="170BE94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8.7 </w:t>
            </w:r>
          </w:p>
        </w:tc>
        <w:tc>
          <w:tcPr>
            <w:tcW w:w="979" w:type="dxa"/>
            <w:shd w:val="clear" w:color="auto" w:fill="auto"/>
            <w:noWrap/>
            <w:vAlign w:val="center"/>
          </w:tcPr>
          <w:p w14:paraId="3F00B05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w:t>
            </w:r>
          </w:p>
        </w:tc>
        <w:tc>
          <w:tcPr>
            <w:tcW w:w="1179" w:type="dxa"/>
            <w:shd w:val="clear" w:color="auto" w:fill="auto"/>
            <w:noWrap/>
            <w:vAlign w:val="center"/>
          </w:tcPr>
          <w:p w14:paraId="187AD7C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0.7797</w:t>
            </w:r>
          </w:p>
        </w:tc>
        <w:tc>
          <w:tcPr>
            <w:tcW w:w="1179" w:type="dxa"/>
            <w:shd w:val="clear" w:color="auto" w:fill="auto"/>
            <w:noWrap/>
            <w:vAlign w:val="center"/>
          </w:tcPr>
          <w:p w14:paraId="3BB38CC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0.6204</w:t>
            </w:r>
          </w:p>
        </w:tc>
      </w:tr>
      <w:tr w:rsidR="0062768B" w14:paraId="34B212DD" w14:textId="77777777">
        <w:trPr>
          <w:cantSplit/>
          <w:jc w:val="center"/>
        </w:trPr>
        <w:tc>
          <w:tcPr>
            <w:tcW w:w="1179" w:type="dxa"/>
            <w:shd w:val="clear" w:color="auto" w:fill="auto"/>
            <w:noWrap/>
            <w:vAlign w:val="center"/>
          </w:tcPr>
          <w:p w14:paraId="5E4DCD3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4.3 </w:t>
            </w:r>
          </w:p>
        </w:tc>
        <w:tc>
          <w:tcPr>
            <w:tcW w:w="1098" w:type="dxa"/>
            <w:shd w:val="clear" w:color="auto" w:fill="auto"/>
            <w:noWrap/>
            <w:vAlign w:val="center"/>
          </w:tcPr>
          <w:p w14:paraId="69C76CC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0.9241</w:t>
            </w:r>
          </w:p>
        </w:tc>
        <w:tc>
          <w:tcPr>
            <w:tcW w:w="1253" w:type="dxa"/>
            <w:shd w:val="clear" w:color="auto" w:fill="auto"/>
            <w:noWrap/>
            <w:vAlign w:val="center"/>
          </w:tcPr>
          <w:p w14:paraId="22A61E4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0.8655</w:t>
            </w:r>
          </w:p>
        </w:tc>
        <w:tc>
          <w:tcPr>
            <w:tcW w:w="1253" w:type="dxa"/>
            <w:shd w:val="clear" w:color="auto" w:fill="auto"/>
            <w:noWrap/>
            <w:vAlign w:val="center"/>
          </w:tcPr>
          <w:p w14:paraId="59E3BAB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0.7251</w:t>
            </w:r>
          </w:p>
        </w:tc>
        <w:tc>
          <w:tcPr>
            <w:tcW w:w="1179" w:type="dxa"/>
            <w:shd w:val="clear" w:color="auto" w:fill="auto"/>
            <w:vAlign w:val="center"/>
          </w:tcPr>
          <w:p w14:paraId="107FF30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8.8 </w:t>
            </w:r>
          </w:p>
        </w:tc>
        <w:tc>
          <w:tcPr>
            <w:tcW w:w="979" w:type="dxa"/>
            <w:shd w:val="clear" w:color="auto" w:fill="auto"/>
            <w:noWrap/>
            <w:vAlign w:val="center"/>
          </w:tcPr>
          <w:p w14:paraId="179B0B8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0.8486</w:t>
            </w:r>
          </w:p>
        </w:tc>
        <w:tc>
          <w:tcPr>
            <w:tcW w:w="1179" w:type="dxa"/>
            <w:shd w:val="clear" w:color="auto" w:fill="auto"/>
            <w:noWrap/>
            <w:vAlign w:val="center"/>
          </w:tcPr>
          <w:p w14:paraId="321594B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0.7782</w:t>
            </w:r>
          </w:p>
        </w:tc>
        <w:tc>
          <w:tcPr>
            <w:tcW w:w="1179" w:type="dxa"/>
            <w:shd w:val="clear" w:color="auto" w:fill="auto"/>
            <w:noWrap/>
            <w:vAlign w:val="center"/>
          </w:tcPr>
          <w:p w14:paraId="00F7923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0.6185</w:t>
            </w:r>
          </w:p>
        </w:tc>
      </w:tr>
      <w:tr w:rsidR="0062768B" w14:paraId="0A81A8FF" w14:textId="77777777">
        <w:trPr>
          <w:cantSplit/>
          <w:jc w:val="center"/>
        </w:trPr>
        <w:tc>
          <w:tcPr>
            <w:tcW w:w="1179" w:type="dxa"/>
            <w:shd w:val="clear" w:color="auto" w:fill="auto"/>
            <w:noWrap/>
            <w:vAlign w:val="center"/>
          </w:tcPr>
          <w:p w14:paraId="2E8A86E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4.4 </w:t>
            </w:r>
          </w:p>
        </w:tc>
        <w:tc>
          <w:tcPr>
            <w:tcW w:w="1098" w:type="dxa"/>
            <w:shd w:val="clear" w:color="auto" w:fill="auto"/>
            <w:noWrap/>
            <w:vAlign w:val="center"/>
          </w:tcPr>
          <w:p w14:paraId="1366DA8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0.9218</w:t>
            </w:r>
          </w:p>
        </w:tc>
        <w:tc>
          <w:tcPr>
            <w:tcW w:w="1253" w:type="dxa"/>
            <w:shd w:val="clear" w:color="auto" w:fill="auto"/>
            <w:noWrap/>
            <w:vAlign w:val="center"/>
          </w:tcPr>
          <w:p w14:paraId="6BDA0D2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0.8629</w:t>
            </w:r>
          </w:p>
        </w:tc>
        <w:tc>
          <w:tcPr>
            <w:tcW w:w="1253" w:type="dxa"/>
            <w:shd w:val="clear" w:color="auto" w:fill="auto"/>
            <w:noWrap/>
            <w:vAlign w:val="center"/>
          </w:tcPr>
          <w:p w14:paraId="2737516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0.7215</w:t>
            </w:r>
          </w:p>
        </w:tc>
        <w:tc>
          <w:tcPr>
            <w:tcW w:w="1179" w:type="dxa"/>
            <w:shd w:val="clear" w:color="auto" w:fill="auto"/>
            <w:vAlign w:val="center"/>
          </w:tcPr>
          <w:p w14:paraId="103B599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8.9 </w:t>
            </w:r>
          </w:p>
        </w:tc>
        <w:tc>
          <w:tcPr>
            <w:tcW w:w="979" w:type="dxa"/>
            <w:shd w:val="clear" w:color="auto" w:fill="auto"/>
            <w:noWrap/>
            <w:vAlign w:val="center"/>
          </w:tcPr>
          <w:p w14:paraId="4FE939B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0.8474</w:t>
            </w:r>
          </w:p>
        </w:tc>
        <w:tc>
          <w:tcPr>
            <w:tcW w:w="1179" w:type="dxa"/>
            <w:shd w:val="clear" w:color="auto" w:fill="auto"/>
            <w:noWrap/>
            <w:vAlign w:val="center"/>
          </w:tcPr>
          <w:p w14:paraId="41581A5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0.7767</w:t>
            </w:r>
          </w:p>
        </w:tc>
        <w:tc>
          <w:tcPr>
            <w:tcW w:w="1179" w:type="dxa"/>
            <w:shd w:val="clear" w:color="auto" w:fill="auto"/>
            <w:noWrap/>
            <w:vAlign w:val="center"/>
          </w:tcPr>
          <w:p w14:paraId="6BF754E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0.6167</w:t>
            </w:r>
          </w:p>
        </w:tc>
      </w:tr>
      <w:tr w:rsidR="0062768B" w14:paraId="6946FFC8" w14:textId="77777777">
        <w:trPr>
          <w:cantSplit/>
          <w:jc w:val="center"/>
        </w:trPr>
        <w:tc>
          <w:tcPr>
            <w:tcW w:w="1179" w:type="dxa"/>
            <w:shd w:val="clear" w:color="auto" w:fill="auto"/>
            <w:noWrap/>
            <w:vAlign w:val="center"/>
          </w:tcPr>
          <w:p w14:paraId="2B3CE83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4.5 </w:t>
            </w:r>
          </w:p>
        </w:tc>
        <w:tc>
          <w:tcPr>
            <w:tcW w:w="1098" w:type="dxa"/>
            <w:shd w:val="clear" w:color="auto" w:fill="auto"/>
            <w:noWrap/>
            <w:vAlign w:val="center"/>
          </w:tcPr>
          <w:p w14:paraId="5AA5A54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0.9195</w:t>
            </w:r>
          </w:p>
        </w:tc>
        <w:tc>
          <w:tcPr>
            <w:tcW w:w="1253" w:type="dxa"/>
            <w:shd w:val="clear" w:color="auto" w:fill="auto"/>
            <w:noWrap/>
            <w:vAlign w:val="center"/>
          </w:tcPr>
          <w:p w14:paraId="1FC2751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0.8605</w:t>
            </w:r>
          </w:p>
        </w:tc>
        <w:tc>
          <w:tcPr>
            <w:tcW w:w="1253" w:type="dxa"/>
            <w:shd w:val="clear" w:color="auto" w:fill="auto"/>
            <w:noWrap/>
            <w:vAlign w:val="center"/>
          </w:tcPr>
          <w:p w14:paraId="0212436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0.7182</w:t>
            </w:r>
          </w:p>
        </w:tc>
        <w:tc>
          <w:tcPr>
            <w:tcW w:w="1179" w:type="dxa"/>
            <w:shd w:val="clear" w:color="auto" w:fill="auto"/>
            <w:vAlign w:val="center"/>
          </w:tcPr>
          <w:p w14:paraId="11B096A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9.0 </w:t>
            </w:r>
          </w:p>
        </w:tc>
        <w:tc>
          <w:tcPr>
            <w:tcW w:w="979" w:type="dxa"/>
            <w:shd w:val="clear" w:color="auto" w:fill="auto"/>
            <w:noWrap/>
            <w:vAlign w:val="center"/>
          </w:tcPr>
          <w:p w14:paraId="3E90E63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0.8462</w:t>
            </w:r>
          </w:p>
        </w:tc>
        <w:tc>
          <w:tcPr>
            <w:tcW w:w="1179" w:type="dxa"/>
            <w:shd w:val="clear" w:color="auto" w:fill="auto"/>
            <w:noWrap/>
            <w:vAlign w:val="center"/>
          </w:tcPr>
          <w:p w14:paraId="57DC3FB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0.7751</w:t>
            </w:r>
          </w:p>
        </w:tc>
        <w:tc>
          <w:tcPr>
            <w:tcW w:w="1179" w:type="dxa"/>
            <w:shd w:val="clear" w:color="auto" w:fill="auto"/>
            <w:noWrap/>
            <w:vAlign w:val="center"/>
          </w:tcPr>
          <w:p w14:paraId="37844B3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0.6148</w:t>
            </w:r>
          </w:p>
        </w:tc>
      </w:tr>
      <w:tr w:rsidR="0062768B" w14:paraId="50A78D6A" w14:textId="77777777">
        <w:trPr>
          <w:cantSplit/>
          <w:jc w:val="center"/>
        </w:trPr>
        <w:tc>
          <w:tcPr>
            <w:tcW w:w="1179" w:type="dxa"/>
            <w:shd w:val="clear" w:color="auto" w:fill="auto"/>
            <w:noWrap/>
            <w:vAlign w:val="center"/>
          </w:tcPr>
          <w:p w14:paraId="63CF845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4.6 </w:t>
            </w:r>
          </w:p>
        </w:tc>
        <w:tc>
          <w:tcPr>
            <w:tcW w:w="1098" w:type="dxa"/>
            <w:shd w:val="clear" w:color="auto" w:fill="auto"/>
            <w:noWrap/>
            <w:vAlign w:val="center"/>
          </w:tcPr>
          <w:p w14:paraId="2B14813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0.9173</w:t>
            </w:r>
          </w:p>
        </w:tc>
        <w:tc>
          <w:tcPr>
            <w:tcW w:w="1253" w:type="dxa"/>
            <w:shd w:val="clear" w:color="auto" w:fill="auto"/>
            <w:noWrap/>
            <w:vAlign w:val="center"/>
          </w:tcPr>
          <w:p w14:paraId="4CAD76F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0.8581</w:t>
            </w:r>
          </w:p>
        </w:tc>
        <w:tc>
          <w:tcPr>
            <w:tcW w:w="1253" w:type="dxa"/>
            <w:shd w:val="clear" w:color="auto" w:fill="auto"/>
            <w:noWrap/>
            <w:vAlign w:val="center"/>
          </w:tcPr>
          <w:p w14:paraId="35B8C73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0.715</w:t>
            </w:r>
          </w:p>
        </w:tc>
        <w:tc>
          <w:tcPr>
            <w:tcW w:w="1179" w:type="dxa"/>
            <w:shd w:val="clear" w:color="auto" w:fill="auto"/>
            <w:vAlign w:val="center"/>
          </w:tcPr>
          <w:p w14:paraId="0CBFE77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9.1 </w:t>
            </w:r>
          </w:p>
        </w:tc>
        <w:tc>
          <w:tcPr>
            <w:tcW w:w="979" w:type="dxa"/>
            <w:shd w:val="clear" w:color="auto" w:fill="auto"/>
            <w:noWrap/>
            <w:vAlign w:val="center"/>
          </w:tcPr>
          <w:p w14:paraId="391EBF0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0.845</w:t>
            </w:r>
          </w:p>
        </w:tc>
        <w:tc>
          <w:tcPr>
            <w:tcW w:w="1179" w:type="dxa"/>
            <w:shd w:val="clear" w:color="auto" w:fill="auto"/>
            <w:noWrap/>
            <w:vAlign w:val="center"/>
          </w:tcPr>
          <w:p w14:paraId="6B94503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0.7736</w:t>
            </w:r>
          </w:p>
        </w:tc>
        <w:tc>
          <w:tcPr>
            <w:tcW w:w="1179" w:type="dxa"/>
            <w:shd w:val="clear" w:color="auto" w:fill="auto"/>
            <w:noWrap/>
            <w:vAlign w:val="center"/>
          </w:tcPr>
          <w:p w14:paraId="33D6C09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0.613</w:t>
            </w:r>
          </w:p>
        </w:tc>
      </w:tr>
      <w:tr w:rsidR="0062768B" w14:paraId="24436978" w14:textId="77777777">
        <w:trPr>
          <w:cantSplit/>
          <w:jc w:val="center"/>
        </w:trPr>
        <w:tc>
          <w:tcPr>
            <w:tcW w:w="1179" w:type="dxa"/>
            <w:shd w:val="clear" w:color="auto" w:fill="auto"/>
            <w:noWrap/>
            <w:vAlign w:val="center"/>
          </w:tcPr>
          <w:p w14:paraId="46E9018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4.7 </w:t>
            </w:r>
          </w:p>
        </w:tc>
        <w:tc>
          <w:tcPr>
            <w:tcW w:w="1098" w:type="dxa"/>
            <w:shd w:val="clear" w:color="auto" w:fill="auto"/>
            <w:noWrap/>
            <w:vAlign w:val="center"/>
          </w:tcPr>
          <w:p w14:paraId="73EDB3E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0.9152</w:t>
            </w:r>
          </w:p>
        </w:tc>
        <w:tc>
          <w:tcPr>
            <w:tcW w:w="1253" w:type="dxa"/>
            <w:shd w:val="clear" w:color="auto" w:fill="auto"/>
            <w:noWrap/>
            <w:vAlign w:val="center"/>
          </w:tcPr>
          <w:p w14:paraId="011C50E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0.8557</w:t>
            </w:r>
          </w:p>
        </w:tc>
        <w:tc>
          <w:tcPr>
            <w:tcW w:w="1253" w:type="dxa"/>
            <w:shd w:val="clear" w:color="auto" w:fill="auto"/>
            <w:noWrap/>
            <w:vAlign w:val="center"/>
          </w:tcPr>
          <w:p w14:paraId="36599F6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0.712</w:t>
            </w:r>
          </w:p>
        </w:tc>
        <w:tc>
          <w:tcPr>
            <w:tcW w:w="1179" w:type="dxa"/>
            <w:shd w:val="clear" w:color="auto" w:fill="auto"/>
            <w:vAlign w:val="center"/>
          </w:tcPr>
          <w:p w14:paraId="27448C8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9.2 </w:t>
            </w:r>
          </w:p>
        </w:tc>
        <w:tc>
          <w:tcPr>
            <w:tcW w:w="979" w:type="dxa"/>
            <w:shd w:val="clear" w:color="auto" w:fill="auto"/>
            <w:noWrap/>
            <w:vAlign w:val="center"/>
          </w:tcPr>
          <w:p w14:paraId="0BCF199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0.8437</w:t>
            </w:r>
          </w:p>
        </w:tc>
        <w:tc>
          <w:tcPr>
            <w:tcW w:w="1179" w:type="dxa"/>
            <w:shd w:val="clear" w:color="auto" w:fill="auto"/>
            <w:noWrap/>
            <w:vAlign w:val="center"/>
          </w:tcPr>
          <w:p w14:paraId="2316735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0.7721</w:t>
            </w:r>
          </w:p>
        </w:tc>
        <w:tc>
          <w:tcPr>
            <w:tcW w:w="1179" w:type="dxa"/>
            <w:shd w:val="clear" w:color="auto" w:fill="auto"/>
            <w:noWrap/>
            <w:vAlign w:val="center"/>
          </w:tcPr>
          <w:p w14:paraId="2F53287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0.6112</w:t>
            </w:r>
          </w:p>
        </w:tc>
      </w:tr>
      <w:tr w:rsidR="0062768B" w14:paraId="3725FC27" w14:textId="77777777">
        <w:trPr>
          <w:cantSplit/>
          <w:jc w:val="center"/>
        </w:trPr>
        <w:tc>
          <w:tcPr>
            <w:tcW w:w="1179" w:type="dxa"/>
            <w:shd w:val="clear" w:color="auto" w:fill="auto"/>
            <w:noWrap/>
            <w:vAlign w:val="center"/>
          </w:tcPr>
          <w:p w14:paraId="4931E21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4.8 </w:t>
            </w:r>
          </w:p>
        </w:tc>
        <w:tc>
          <w:tcPr>
            <w:tcW w:w="1098" w:type="dxa"/>
            <w:shd w:val="clear" w:color="auto" w:fill="auto"/>
            <w:noWrap/>
            <w:vAlign w:val="center"/>
          </w:tcPr>
          <w:p w14:paraId="19BB100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0.9131</w:t>
            </w:r>
          </w:p>
        </w:tc>
        <w:tc>
          <w:tcPr>
            <w:tcW w:w="1253" w:type="dxa"/>
            <w:shd w:val="clear" w:color="auto" w:fill="auto"/>
            <w:noWrap/>
            <w:vAlign w:val="center"/>
          </w:tcPr>
          <w:p w14:paraId="3862B29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0.8534</w:t>
            </w:r>
          </w:p>
        </w:tc>
        <w:tc>
          <w:tcPr>
            <w:tcW w:w="1253" w:type="dxa"/>
            <w:shd w:val="clear" w:color="auto" w:fill="auto"/>
            <w:noWrap/>
            <w:vAlign w:val="center"/>
          </w:tcPr>
          <w:p w14:paraId="3D6905D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0.7091</w:t>
            </w:r>
          </w:p>
        </w:tc>
        <w:tc>
          <w:tcPr>
            <w:tcW w:w="1179" w:type="dxa"/>
            <w:shd w:val="clear" w:color="auto" w:fill="auto"/>
            <w:vAlign w:val="center"/>
          </w:tcPr>
          <w:p w14:paraId="0113016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9.3 </w:t>
            </w:r>
          </w:p>
        </w:tc>
        <w:tc>
          <w:tcPr>
            <w:tcW w:w="979" w:type="dxa"/>
            <w:shd w:val="clear" w:color="auto" w:fill="auto"/>
            <w:noWrap/>
            <w:vAlign w:val="center"/>
          </w:tcPr>
          <w:p w14:paraId="5129612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0.8425</w:t>
            </w:r>
          </w:p>
        </w:tc>
        <w:tc>
          <w:tcPr>
            <w:tcW w:w="1179" w:type="dxa"/>
            <w:shd w:val="clear" w:color="auto" w:fill="auto"/>
            <w:noWrap/>
            <w:vAlign w:val="center"/>
          </w:tcPr>
          <w:p w14:paraId="3B81BAE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0.7706</w:t>
            </w:r>
          </w:p>
        </w:tc>
        <w:tc>
          <w:tcPr>
            <w:tcW w:w="1179" w:type="dxa"/>
            <w:shd w:val="clear" w:color="auto" w:fill="auto"/>
            <w:noWrap/>
            <w:vAlign w:val="center"/>
          </w:tcPr>
          <w:p w14:paraId="7AEB7CF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0.6094</w:t>
            </w:r>
          </w:p>
        </w:tc>
      </w:tr>
      <w:tr w:rsidR="0062768B" w14:paraId="14765604" w14:textId="77777777">
        <w:trPr>
          <w:cantSplit/>
          <w:jc w:val="center"/>
        </w:trPr>
        <w:tc>
          <w:tcPr>
            <w:tcW w:w="1179" w:type="dxa"/>
            <w:shd w:val="clear" w:color="auto" w:fill="auto"/>
            <w:noWrap/>
            <w:vAlign w:val="center"/>
          </w:tcPr>
          <w:p w14:paraId="474737B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4.9 </w:t>
            </w:r>
          </w:p>
        </w:tc>
        <w:tc>
          <w:tcPr>
            <w:tcW w:w="1098" w:type="dxa"/>
            <w:shd w:val="clear" w:color="auto" w:fill="auto"/>
            <w:noWrap/>
            <w:vAlign w:val="center"/>
          </w:tcPr>
          <w:p w14:paraId="12312F4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0.9112</w:t>
            </w:r>
          </w:p>
        </w:tc>
        <w:tc>
          <w:tcPr>
            <w:tcW w:w="1253" w:type="dxa"/>
            <w:shd w:val="clear" w:color="auto" w:fill="auto"/>
            <w:noWrap/>
            <w:vAlign w:val="center"/>
          </w:tcPr>
          <w:p w14:paraId="03EEF7A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0.8511</w:t>
            </w:r>
          </w:p>
        </w:tc>
        <w:tc>
          <w:tcPr>
            <w:tcW w:w="1253" w:type="dxa"/>
            <w:shd w:val="clear" w:color="auto" w:fill="auto"/>
            <w:noWrap/>
            <w:vAlign w:val="center"/>
          </w:tcPr>
          <w:p w14:paraId="019EB09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0.7062</w:t>
            </w:r>
          </w:p>
        </w:tc>
        <w:tc>
          <w:tcPr>
            <w:tcW w:w="1179" w:type="dxa"/>
            <w:shd w:val="clear" w:color="auto" w:fill="auto"/>
            <w:vAlign w:val="center"/>
          </w:tcPr>
          <w:p w14:paraId="3FEA115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9.4 </w:t>
            </w:r>
          </w:p>
        </w:tc>
        <w:tc>
          <w:tcPr>
            <w:tcW w:w="979" w:type="dxa"/>
            <w:shd w:val="clear" w:color="auto" w:fill="auto"/>
            <w:noWrap/>
            <w:vAlign w:val="center"/>
          </w:tcPr>
          <w:p w14:paraId="11A7E0B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0.8413</w:t>
            </w:r>
          </w:p>
        </w:tc>
        <w:tc>
          <w:tcPr>
            <w:tcW w:w="1179" w:type="dxa"/>
            <w:shd w:val="clear" w:color="auto" w:fill="auto"/>
            <w:noWrap/>
            <w:vAlign w:val="center"/>
          </w:tcPr>
          <w:p w14:paraId="7064B4E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0.769</w:t>
            </w:r>
          </w:p>
        </w:tc>
        <w:tc>
          <w:tcPr>
            <w:tcW w:w="1179" w:type="dxa"/>
            <w:shd w:val="clear" w:color="auto" w:fill="auto"/>
            <w:noWrap/>
            <w:vAlign w:val="center"/>
          </w:tcPr>
          <w:p w14:paraId="627DF03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0.6076</w:t>
            </w:r>
          </w:p>
        </w:tc>
      </w:tr>
      <w:tr w:rsidR="0062768B" w14:paraId="350476C4" w14:textId="77777777">
        <w:trPr>
          <w:cantSplit/>
          <w:jc w:val="center"/>
        </w:trPr>
        <w:tc>
          <w:tcPr>
            <w:tcW w:w="1179" w:type="dxa"/>
            <w:shd w:val="clear" w:color="auto" w:fill="auto"/>
            <w:noWrap/>
            <w:vAlign w:val="center"/>
          </w:tcPr>
          <w:p w14:paraId="1ACE829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5.0</w:t>
            </w:r>
          </w:p>
        </w:tc>
        <w:tc>
          <w:tcPr>
            <w:tcW w:w="1098" w:type="dxa"/>
            <w:shd w:val="clear" w:color="auto" w:fill="auto"/>
            <w:noWrap/>
            <w:vAlign w:val="center"/>
          </w:tcPr>
          <w:p w14:paraId="7F758C7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0.9092</w:t>
            </w:r>
          </w:p>
        </w:tc>
        <w:tc>
          <w:tcPr>
            <w:tcW w:w="1253" w:type="dxa"/>
            <w:shd w:val="clear" w:color="auto" w:fill="auto"/>
            <w:noWrap/>
            <w:vAlign w:val="center"/>
          </w:tcPr>
          <w:p w14:paraId="5B9B6DE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0.8489</w:t>
            </w:r>
          </w:p>
        </w:tc>
        <w:tc>
          <w:tcPr>
            <w:tcW w:w="1253" w:type="dxa"/>
            <w:shd w:val="clear" w:color="auto" w:fill="auto"/>
            <w:noWrap/>
            <w:vAlign w:val="center"/>
          </w:tcPr>
          <w:p w14:paraId="74D31BE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0.7035</w:t>
            </w:r>
          </w:p>
        </w:tc>
        <w:tc>
          <w:tcPr>
            <w:tcW w:w="1179" w:type="dxa"/>
            <w:shd w:val="clear" w:color="auto" w:fill="auto"/>
            <w:vAlign w:val="center"/>
          </w:tcPr>
          <w:p w14:paraId="61E1DAC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9.5 </w:t>
            </w:r>
          </w:p>
        </w:tc>
        <w:tc>
          <w:tcPr>
            <w:tcW w:w="979" w:type="dxa"/>
            <w:shd w:val="clear" w:color="auto" w:fill="auto"/>
            <w:noWrap/>
            <w:vAlign w:val="center"/>
          </w:tcPr>
          <w:p w14:paraId="30932CA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0.8401</w:t>
            </w:r>
          </w:p>
        </w:tc>
        <w:tc>
          <w:tcPr>
            <w:tcW w:w="1179" w:type="dxa"/>
            <w:shd w:val="clear" w:color="auto" w:fill="auto"/>
            <w:noWrap/>
            <w:vAlign w:val="center"/>
          </w:tcPr>
          <w:p w14:paraId="1925087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0.7676</w:t>
            </w:r>
          </w:p>
        </w:tc>
        <w:tc>
          <w:tcPr>
            <w:tcW w:w="1179" w:type="dxa"/>
            <w:shd w:val="clear" w:color="auto" w:fill="auto"/>
            <w:noWrap/>
            <w:vAlign w:val="center"/>
          </w:tcPr>
          <w:p w14:paraId="3CC38CF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0.6058</w:t>
            </w:r>
          </w:p>
        </w:tc>
      </w:tr>
      <w:tr w:rsidR="0062768B" w14:paraId="10672779" w14:textId="77777777">
        <w:trPr>
          <w:cantSplit/>
          <w:jc w:val="center"/>
        </w:trPr>
        <w:tc>
          <w:tcPr>
            <w:tcW w:w="1179" w:type="dxa"/>
            <w:shd w:val="clear" w:color="auto" w:fill="auto"/>
            <w:noWrap/>
            <w:vAlign w:val="center"/>
          </w:tcPr>
          <w:p w14:paraId="074D012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5.1 </w:t>
            </w:r>
          </w:p>
        </w:tc>
        <w:tc>
          <w:tcPr>
            <w:tcW w:w="1098" w:type="dxa"/>
            <w:shd w:val="clear" w:color="auto" w:fill="auto"/>
            <w:noWrap/>
            <w:vAlign w:val="center"/>
          </w:tcPr>
          <w:p w14:paraId="3032786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0.9072</w:t>
            </w:r>
          </w:p>
        </w:tc>
        <w:tc>
          <w:tcPr>
            <w:tcW w:w="1253" w:type="dxa"/>
            <w:shd w:val="clear" w:color="auto" w:fill="auto"/>
            <w:noWrap/>
            <w:vAlign w:val="center"/>
          </w:tcPr>
          <w:p w14:paraId="1B42FB7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0.8467</w:t>
            </w:r>
          </w:p>
        </w:tc>
        <w:tc>
          <w:tcPr>
            <w:tcW w:w="1253" w:type="dxa"/>
            <w:shd w:val="clear" w:color="auto" w:fill="auto"/>
            <w:noWrap/>
            <w:vAlign w:val="center"/>
          </w:tcPr>
          <w:p w14:paraId="73B4CB9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0.7009</w:t>
            </w:r>
          </w:p>
        </w:tc>
        <w:tc>
          <w:tcPr>
            <w:tcW w:w="1179" w:type="dxa"/>
            <w:shd w:val="clear" w:color="auto" w:fill="auto"/>
            <w:vAlign w:val="center"/>
          </w:tcPr>
          <w:p w14:paraId="79F3E3E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9.6 </w:t>
            </w:r>
          </w:p>
        </w:tc>
        <w:tc>
          <w:tcPr>
            <w:tcW w:w="979" w:type="dxa"/>
            <w:shd w:val="clear" w:color="auto" w:fill="auto"/>
            <w:noWrap/>
            <w:vAlign w:val="center"/>
          </w:tcPr>
          <w:p w14:paraId="1C7C0D9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0.839</w:t>
            </w:r>
          </w:p>
        </w:tc>
        <w:tc>
          <w:tcPr>
            <w:tcW w:w="1179" w:type="dxa"/>
            <w:shd w:val="clear" w:color="auto" w:fill="auto"/>
            <w:noWrap/>
            <w:vAlign w:val="center"/>
          </w:tcPr>
          <w:p w14:paraId="5E21EB2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0.7662</w:t>
            </w:r>
          </w:p>
        </w:tc>
        <w:tc>
          <w:tcPr>
            <w:tcW w:w="1179" w:type="dxa"/>
            <w:shd w:val="clear" w:color="auto" w:fill="auto"/>
            <w:noWrap/>
            <w:vAlign w:val="center"/>
          </w:tcPr>
          <w:p w14:paraId="5647828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0.6041</w:t>
            </w:r>
          </w:p>
        </w:tc>
      </w:tr>
      <w:tr w:rsidR="0062768B" w14:paraId="38FDE70A" w14:textId="77777777">
        <w:trPr>
          <w:cantSplit/>
          <w:jc w:val="center"/>
        </w:trPr>
        <w:tc>
          <w:tcPr>
            <w:tcW w:w="1179" w:type="dxa"/>
            <w:shd w:val="clear" w:color="auto" w:fill="auto"/>
            <w:noWrap/>
            <w:vAlign w:val="center"/>
          </w:tcPr>
          <w:p w14:paraId="606209C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5.2 </w:t>
            </w:r>
          </w:p>
        </w:tc>
        <w:tc>
          <w:tcPr>
            <w:tcW w:w="1098" w:type="dxa"/>
            <w:shd w:val="clear" w:color="auto" w:fill="auto"/>
            <w:noWrap/>
            <w:vAlign w:val="center"/>
          </w:tcPr>
          <w:p w14:paraId="2C1EC3D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0.9053</w:t>
            </w:r>
          </w:p>
        </w:tc>
        <w:tc>
          <w:tcPr>
            <w:tcW w:w="1253" w:type="dxa"/>
            <w:shd w:val="clear" w:color="auto" w:fill="auto"/>
            <w:noWrap/>
            <w:vAlign w:val="center"/>
          </w:tcPr>
          <w:p w14:paraId="334B8B5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0.8445</w:t>
            </w:r>
          </w:p>
        </w:tc>
        <w:tc>
          <w:tcPr>
            <w:tcW w:w="1253" w:type="dxa"/>
            <w:shd w:val="clear" w:color="auto" w:fill="auto"/>
            <w:noWrap/>
            <w:vAlign w:val="center"/>
          </w:tcPr>
          <w:p w14:paraId="742E1F1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0.6982</w:t>
            </w:r>
          </w:p>
        </w:tc>
        <w:tc>
          <w:tcPr>
            <w:tcW w:w="1179" w:type="dxa"/>
            <w:shd w:val="clear" w:color="auto" w:fill="auto"/>
            <w:vAlign w:val="center"/>
          </w:tcPr>
          <w:p w14:paraId="286C7B7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9.7 </w:t>
            </w:r>
          </w:p>
        </w:tc>
        <w:tc>
          <w:tcPr>
            <w:tcW w:w="979" w:type="dxa"/>
            <w:shd w:val="clear" w:color="auto" w:fill="auto"/>
            <w:noWrap/>
            <w:vAlign w:val="center"/>
          </w:tcPr>
          <w:p w14:paraId="64C88B1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0.8378</w:t>
            </w:r>
          </w:p>
        </w:tc>
        <w:tc>
          <w:tcPr>
            <w:tcW w:w="1179" w:type="dxa"/>
            <w:shd w:val="clear" w:color="auto" w:fill="auto"/>
            <w:noWrap/>
            <w:vAlign w:val="center"/>
          </w:tcPr>
          <w:p w14:paraId="7C8C166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0.7648</w:t>
            </w:r>
          </w:p>
        </w:tc>
        <w:tc>
          <w:tcPr>
            <w:tcW w:w="1179" w:type="dxa"/>
            <w:shd w:val="clear" w:color="auto" w:fill="auto"/>
            <w:noWrap/>
            <w:vAlign w:val="center"/>
          </w:tcPr>
          <w:p w14:paraId="2543E6E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0.6024</w:t>
            </w:r>
          </w:p>
        </w:tc>
      </w:tr>
      <w:tr w:rsidR="0062768B" w14:paraId="32B94861" w14:textId="77777777">
        <w:trPr>
          <w:cantSplit/>
          <w:jc w:val="center"/>
        </w:trPr>
        <w:tc>
          <w:tcPr>
            <w:tcW w:w="1179" w:type="dxa"/>
            <w:shd w:val="clear" w:color="auto" w:fill="auto"/>
            <w:noWrap/>
            <w:vAlign w:val="center"/>
          </w:tcPr>
          <w:p w14:paraId="7F952A2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5.3 </w:t>
            </w:r>
          </w:p>
        </w:tc>
        <w:tc>
          <w:tcPr>
            <w:tcW w:w="1098" w:type="dxa"/>
            <w:shd w:val="clear" w:color="auto" w:fill="auto"/>
            <w:noWrap/>
            <w:vAlign w:val="center"/>
          </w:tcPr>
          <w:p w14:paraId="187FB50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0.9034</w:t>
            </w:r>
          </w:p>
        </w:tc>
        <w:tc>
          <w:tcPr>
            <w:tcW w:w="1253" w:type="dxa"/>
            <w:shd w:val="clear" w:color="auto" w:fill="auto"/>
            <w:noWrap/>
            <w:vAlign w:val="center"/>
          </w:tcPr>
          <w:p w14:paraId="7650755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0.8423</w:t>
            </w:r>
          </w:p>
        </w:tc>
        <w:tc>
          <w:tcPr>
            <w:tcW w:w="1253" w:type="dxa"/>
            <w:shd w:val="clear" w:color="auto" w:fill="auto"/>
            <w:noWrap/>
            <w:vAlign w:val="center"/>
          </w:tcPr>
          <w:p w14:paraId="07B202A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0.6957</w:t>
            </w:r>
          </w:p>
        </w:tc>
        <w:tc>
          <w:tcPr>
            <w:tcW w:w="1179" w:type="dxa"/>
            <w:shd w:val="clear" w:color="auto" w:fill="auto"/>
            <w:vAlign w:val="center"/>
          </w:tcPr>
          <w:p w14:paraId="531D040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9.8 </w:t>
            </w:r>
          </w:p>
        </w:tc>
        <w:tc>
          <w:tcPr>
            <w:tcW w:w="979" w:type="dxa"/>
            <w:shd w:val="clear" w:color="auto" w:fill="auto"/>
            <w:noWrap/>
            <w:vAlign w:val="center"/>
          </w:tcPr>
          <w:p w14:paraId="1B2F88C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0.8367</w:t>
            </w:r>
          </w:p>
        </w:tc>
        <w:tc>
          <w:tcPr>
            <w:tcW w:w="1179" w:type="dxa"/>
            <w:shd w:val="clear" w:color="auto" w:fill="auto"/>
            <w:noWrap/>
            <w:vAlign w:val="center"/>
          </w:tcPr>
          <w:p w14:paraId="09A03D0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0.7633</w:t>
            </w:r>
          </w:p>
        </w:tc>
        <w:tc>
          <w:tcPr>
            <w:tcW w:w="1179" w:type="dxa"/>
            <w:shd w:val="clear" w:color="auto" w:fill="auto"/>
            <w:noWrap/>
            <w:vAlign w:val="center"/>
          </w:tcPr>
          <w:p w14:paraId="6350EDA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0.6006</w:t>
            </w:r>
          </w:p>
        </w:tc>
      </w:tr>
      <w:tr w:rsidR="0062768B" w14:paraId="77BA8F2B" w14:textId="77777777">
        <w:trPr>
          <w:cantSplit/>
          <w:jc w:val="center"/>
        </w:trPr>
        <w:tc>
          <w:tcPr>
            <w:tcW w:w="1179" w:type="dxa"/>
            <w:shd w:val="clear" w:color="auto" w:fill="auto"/>
            <w:vAlign w:val="center"/>
          </w:tcPr>
          <w:p w14:paraId="091A73A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5.4 </w:t>
            </w:r>
          </w:p>
        </w:tc>
        <w:tc>
          <w:tcPr>
            <w:tcW w:w="1098" w:type="dxa"/>
            <w:shd w:val="clear" w:color="auto" w:fill="auto"/>
            <w:noWrap/>
            <w:vAlign w:val="center"/>
          </w:tcPr>
          <w:p w14:paraId="56D2986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0.9015</w:t>
            </w:r>
          </w:p>
        </w:tc>
        <w:tc>
          <w:tcPr>
            <w:tcW w:w="1253" w:type="dxa"/>
            <w:shd w:val="clear" w:color="auto" w:fill="auto"/>
            <w:noWrap/>
            <w:vAlign w:val="center"/>
          </w:tcPr>
          <w:p w14:paraId="682E0BC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0.8402</w:t>
            </w:r>
          </w:p>
        </w:tc>
        <w:tc>
          <w:tcPr>
            <w:tcW w:w="1253" w:type="dxa"/>
            <w:shd w:val="clear" w:color="auto" w:fill="auto"/>
            <w:noWrap/>
            <w:vAlign w:val="center"/>
          </w:tcPr>
          <w:p w14:paraId="4987838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0.6931</w:t>
            </w:r>
          </w:p>
        </w:tc>
        <w:tc>
          <w:tcPr>
            <w:tcW w:w="1179" w:type="dxa"/>
            <w:shd w:val="clear" w:color="auto" w:fill="auto"/>
            <w:vAlign w:val="center"/>
          </w:tcPr>
          <w:p w14:paraId="6ECD938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9.9</w:t>
            </w:r>
          </w:p>
        </w:tc>
        <w:tc>
          <w:tcPr>
            <w:tcW w:w="979" w:type="dxa"/>
            <w:shd w:val="clear" w:color="auto" w:fill="auto"/>
            <w:noWrap/>
            <w:vAlign w:val="center"/>
          </w:tcPr>
          <w:p w14:paraId="5FA198C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0.8356</w:t>
            </w:r>
          </w:p>
        </w:tc>
        <w:tc>
          <w:tcPr>
            <w:tcW w:w="1179" w:type="dxa"/>
            <w:shd w:val="clear" w:color="auto" w:fill="auto"/>
            <w:noWrap/>
            <w:vAlign w:val="center"/>
          </w:tcPr>
          <w:p w14:paraId="556FECE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0.7619</w:t>
            </w:r>
          </w:p>
        </w:tc>
        <w:tc>
          <w:tcPr>
            <w:tcW w:w="1179" w:type="dxa"/>
            <w:shd w:val="clear" w:color="auto" w:fill="auto"/>
            <w:noWrap/>
            <w:vAlign w:val="center"/>
          </w:tcPr>
          <w:p w14:paraId="41E134F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0.5989</w:t>
            </w:r>
          </w:p>
        </w:tc>
      </w:tr>
      <w:tr w:rsidR="0062768B" w14:paraId="434356A3" w14:textId="77777777">
        <w:trPr>
          <w:cantSplit/>
          <w:jc w:val="center"/>
        </w:trPr>
        <w:tc>
          <w:tcPr>
            <w:tcW w:w="9299" w:type="dxa"/>
            <w:gridSpan w:val="8"/>
            <w:shd w:val="clear" w:color="auto" w:fill="auto"/>
            <w:vAlign w:val="center"/>
          </w:tcPr>
          <w:p w14:paraId="4B136CD7" w14:textId="77777777" w:rsidR="0062768B" w:rsidRDefault="00136729">
            <w:pPr>
              <w:widowControl/>
              <w:adjustRightInd/>
              <w:spacing w:line="220" w:lineRule="exact"/>
              <w:textAlignment w:val="auto"/>
              <w:rPr>
                <w:rFonts w:ascii="Arial" w:eastAsia="仿宋" w:hAnsi="Arial" w:cs="Arial"/>
                <w:sz w:val="20"/>
              </w:rPr>
            </w:pPr>
            <w:r>
              <w:rPr>
                <w:rFonts w:ascii="Arial" w:eastAsia="仿宋" w:hAnsi="Arial" w:cs="Arial"/>
                <w:sz w:val="20"/>
              </w:rPr>
              <w:t>说明：容积率大于等于</w:t>
            </w:r>
            <w:r>
              <w:rPr>
                <w:rFonts w:ascii="Arial" w:eastAsia="仿宋" w:hAnsi="Arial" w:cs="Arial"/>
                <w:sz w:val="20"/>
              </w:rPr>
              <w:t>10</w:t>
            </w:r>
            <w:r>
              <w:rPr>
                <w:rFonts w:ascii="Arial" w:eastAsia="仿宋" w:hAnsi="Arial" w:cs="Arial"/>
                <w:sz w:val="20"/>
              </w:rPr>
              <w:t>时的容积率修正系数按照以下公式计算：</w:t>
            </w:r>
            <w:r>
              <w:rPr>
                <w:rFonts w:ascii="Arial" w:eastAsia="仿宋" w:hAnsi="Arial" w:cs="Arial"/>
                <w:sz w:val="20"/>
              </w:rPr>
              <w:t>1</w:t>
            </w:r>
            <w:r>
              <w:rPr>
                <w:rFonts w:ascii="Arial" w:eastAsia="仿宋" w:hAnsi="Arial" w:cs="Arial"/>
                <w:sz w:val="20"/>
              </w:rPr>
              <w:t>～</w:t>
            </w:r>
            <w:r>
              <w:rPr>
                <w:rFonts w:ascii="Arial" w:eastAsia="仿宋" w:hAnsi="Arial" w:cs="Arial"/>
                <w:sz w:val="20"/>
              </w:rPr>
              <w:t>2</w:t>
            </w:r>
            <w:r>
              <w:rPr>
                <w:rFonts w:ascii="Arial" w:eastAsia="仿宋" w:hAnsi="Arial" w:cs="Arial"/>
                <w:sz w:val="20"/>
              </w:rPr>
              <w:t>级：</w:t>
            </w:r>
            <w:r>
              <w:rPr>
                <w:rFonts w:ascii="Arial" w:eastAsia="仿宋" w:hAnsi="Arial" w:cs="Arial"/>
                <w:sz w:val="20"/>
              </w:rPr>
              <w:t>X</w:t>
            </w:r>
            <w:r>
              <w:rPr>
                <w:rFonts w:ascii="Arial" w:eastAsia="仿宋" w:hAnsi="Arial" w:cs="Arial"/>
                <w:sz w:val="20"/>
                <w:vertAlign w:val="subscript"/>
              </w:rPr>
              <w:t>R</w:t>
            </w:r>
            <w:r>
              <w:rPr>
                <w:rFonts w:ascii="Arial" w:eastAsia="仿宋" w:hAnsi="Arial" w:cs="Arial"/>
                <w:sz w:val="20"/>
              </w:rPr>
              <w:t>＝</w:t>
            </w:r>
            <w:r>
              <w:rPr>
                <w:rFonts w:ascii="Arial" w:eastAsia="仿宋" w:hAnsi="Arial" w:cs="Arial"/>
                <w:sz w:val="20"/>
              </w:rPr>
              <w:t>0.9404</w:t>
            </w:r>
            <w:r>
              <w:rPr>
                <w:rFonts w:ascii="Arial" w:eastAsia="仿宋" w:hAnsi="Arial" w:cs="Arial"/>
                <w:sz w:val="20"/>
              </w:rPr>
              <w:t>－</w:t>
            </w:r>
            <w:r>
              <w:rPr>
                <w:rFonts w:ascii="Arial" w:eastAsia="仿宋" w:hAnsi="Arial" w:cs="Arial"/>
                <w:sz w:val="20"/>
              </w:rPr>
              <w:t>0.0106R</w:t>
            </w:r>
            <w:r>
              <w:rPr>
                <w:rFonts w:ascii="Arial" w:eastAsia="仿宋" w:hAnsi="Arial" w:cs="Arial"/>
                <w:sz w:val="20"/>
              </w:rPr>
              <w:t>；</w:t>
            </w:r>
            <w:r>
              <w:rPr>
                <w:rFonts w:ascii="Arial" w:eastAsia="仿宋" w:hAnsi="Arial" w:cs="Arial"/>
                <w:sz w:val="20"/>
              </w:rPr>
              <w:t>3</w:t>
            </w:r>
            <w:r>
              <w:rPr>
                <w:rFonts w:ascii="Arial" w:eastAsia="仿宋" w:hAnsi="Arial" w:cs="Arial"/>
                <w:sz w:val="20"/>
              </w:rPr>
              <w:t>～</w:t>
            </w:r>
            <w:r>
              <w:rPr>
                <w:rFonts w:ascii="Arial" w:eastAsia="仿宋" w:hAnsi="Arial" w:cs="Arial"/>
                <w:sz w:val="20"/>
              </w:rPr>
              <w:t>7</w:t>
            </w:r>
            <w:r>
              <w:rPr>
                <w:rFonts w:ascii="Arial" w:eastAsia="仿宋" w:hAnsi="Arial" w:cs="Arial"/>
                <w:sz w:val="20"/>
              </w:rPr>
              <w:t>级：</w:t>
            </w:r>
            <w:r>
              <w:rPr>
                <w:rFonts w:ascii="Arial" w:eastAsia="仿宋" w:hAnsi="Arial" w:cs="Arial"/>
                <w:sz w:val="20"/>
              </w:rPr>
              <w:t>X</w:t>
            </w:r>
            <w:r>
              <w:rPr>
                <w:rFonts w:ascii="Arial" w:eastAsia="仿宋" w:hAnsi="Arial" w:cs="Arial"/>
                <w:sz w:val="20"/>
                <w:vertAlign w:val="subscript"/>
              </w:rPr>
              <w:t>R</w:t>
            </w:r>
            <w:r>
              <w:rPr>
                <w:rFonts w:ascii="Arial" w:eastAsia="仿宋" w:hAnsi="Arial" w:cs="Arial"/>
                <w:sz w:val="20"/>
              </w:rPr>
              <w:t>＝</w:t>
            </w:r>
            <w:r>
              <w:rPr>
                <w:rFonts w:ascii="Arial" w:eastAsia="仿宋" w:hAnsi="Arial" w:cs="Arial"/>
                <w:sz w:val="20"/>
              </w:rPr>
              <w:t>0.8955</w:t>
            </w:r>
            <w:r>
              <w:rPr>
                <w:rFonts w:ascii="Arial" w:eastAsia="仿宋" w:hAnsi="Arial" w:cs="Arial"/>
                <w:sz w:val="20"/>
              </w:rPr>
              <w:t>－</w:t>
            </w:r>
            <w:r>
              <w:rPr>
                <w:rFonts w:ascii="Arial" w:eastAsia="仿宋" w:hAnsi="Arial" w:cs="Arial"/>
                <w:sz w:val="20"/>
              </w:rPr>
              <w:t>0.0135R</w:t>
            </w:r>
            <w:r>
              <w:rPr>
                <w:rFonts w:ascii="Arial" w:eastAsia="仿宋" w:hAnsi="Arial" w:cs="Arial"/>
                <w:sz w:val="20"/>
              </w:rPr>
              <w:t>；</w:t>
            </w:r>
            <w:r>
              <w:rPr>
                <w:rFonts w:ascii="Arial" w:eastAsia="仿宋" w:hAnsi="Arial" w:cs="Arial"/>
                <w:sz w:val="20"/>
              </w:rPr>
              <w:t>8</w:t>
            </w:r>
            <w:r>
              <w:rPr>
                <w:rFonts w:ascii="Arial" w:eastAsia="仿宋" w:hAnsi="Arial" w:cs="Arial"/>
                <w:sz w:val="20"/>
              </w:rPr>
              <w:t>～</w:t>
            </w:r>
            <w:r>
              <w:rPr>
                <w:rFonts w:ascii="Arial" w:eastAsia="仿宋" w:hAnsi="Arial" w:cs="Arial"/>
                <w:sz w:val="20"/>
              </w:rPr>
              <w:t>12</w:t>
            </w:r>
            <w:r>
              <w:rPr>
                <w:rFonts w:ascii="Arial" w:eastAsia="仿宋" w:hAnsi="Arial" w:cs="Arial"/>
                <w:sz w:val="20"/>
              </w:rPr>
              <w:t>级：</w:t>
            </w:r>
            <w:r>
              <w:rPr>
                <w:rFonts w:ascii="Arial" w:eastAsia="仿宋" w:hAnsi="Arial" w:cs="Arial"/>
                <w:sz w:val="20"/>
              </w:rPr>
              <w:t>X</w:t>
            </w:r>
            <w:r>
              <w:rPr>
                <w:rFonts w:ascii="Arial" w:eastAsia="仿宋" w:hAnsi="Arial" w:cs="Arial"/>
                <w:sz w:val="20"/>
                <w:vertAlign w:val="subscript"/>
              </w:rPr>
              <w:t>R</w:t>
            </w:r>
            <w:r>
              <w:rPr>
                <w:rFonts w:ascii="Arial" w:eastAsia="仿宋" w:hAnsi="Arial" w:cs="Arial"/>
                <w:sz w:val="20"/>
              </w:rPr>
              <w:t>＝</w:t>
            </w:r>
            <w:r>
              <w:rPr>
                <w:rFonts w:ascii="Arial" w:eastAsia="仿宋" w:hAnsi="Arial" w:cs="Arial"/>
                <w:sz w:val="20"/>
              </w:rPr>
              <w:t>0.7632</w:t>
            </w:r>
            <w:r>
              <w:rPr>
                <w:rFonts w:ascii="Arial" w:eastAsia="仿宋" w:hAnsi="Arial" w:cs="Arial"/>
                <w:sz w:val="20"/>
              </w:rPr>
              <w:t>－</w:t>
            </w:r>
            <w:r>
              <w:rPr>
                <w:rFonts w:ascii="Arial" w:eastAsia="仿宋" w:hAnsi="Arial" w:cs="Arial"/>
                <w:sz w:val="20"/>
              </w:rPr>
              <w:t>0.0166R</w:t>
            </w:r>
            <w:r>
              <w:rPr>
                <w:rFonts w:ascii="Arial" w:eastAsia="仿宋" w:hAnsi="Arial" w:cs="Arial"/>
                <w:sz w:val="20"/>
              </w:rPr>
              <w:t>。</w:t>
            </w:r>
          </w:p>
        </w:tc>
      </w:tr>
    </w:tbl>
    <w:p w14:paraId="095F7F96" w14:textId="77777777" w:rsidR="0062768B" w:rsidRDefault="0062768B">
      <w:pPr>
        <w:spacing w:line="300" w:lineRule="auto"/>
        <w:ind w:firstLineChars="200" w:firstLine="560"/>
        <w:jc w:val="both"/>
        <w:rPr>
          <w:rFonts w:ascii="Arial" w:eastAsia="仿宋" w:hAnsi="Arial" w:cs="Arial"/>
          <w:sz w:val="28"/>
          <w:szCs w:val="28"/>
        </w:rPr>
      </w:pPr>
    </w:p>
    <w:p w14:paraId="2FAE6533"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估价对象容积率</w:t>
      </w:r>
      <w:r>
        <w:rPr>
          <w:rFonts w:ascii="Arial" w:eastAsia="仿宋" w:hAnsi="Arial" w:cs="Arial"/>
          <w:sz w:val="28"/>
          <w:szCs w:val="28"/>
        </w:rPr>
        <w:t>R</w:t>
      </w:r>
      <w:r>
        <w:rPr>
          <w:rFonts w:ascii="Arial" w:eastAsia="仿宋" w:hAnsi="Arial" w:cs="Arial"/>
          <w:sz w:val="28"/>
          <w:szCs w:val="28"/>
        </w:rPr>
        <w:t>为</w:t>
      </w:r>
      <w:r>
        <w:rPr>
          <w:rFonts w:ascii="Arial" w:eastAsia="仿宋" w:hAnsi="Arial" w:cs="Arial"/>
          <w:sz w:val="28"/>
          <w:szCs w:val="28"/>
        </w:rPr>
        <w:t>1.20</w:t>
      </w:r>
      <w:r>
        <w:rPr>
          <w:rFonts w:ascii="Arial" w:eastAsia="仿宋" w:hAnsi="Arial" w:cs="Arial"/>
          <w:sz w:val="28"/>
          <w:szCs w:val="28"/>
        </w:rPr>
        <w:t>，根据上表可知，容积率修正系数为</w:t>
      </w:r>
      <w:r>
        <w:rPr>
          <w:rFonts w:ascii="Arial" w:eastAsia="仿宋" w:hAnsi="Arial" w:cs="Arial"/>
          <w:sz w:val="28"/>
          <w:szCs w:val="28"/>
        </w:rPr>
        <w:t>1.0678</w:t>
      </w:r>
    </w:p>
    <w:p w14:paraId="506D28D9"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lastRenderedPageBreak/>
        <w:t>F.</w:t>
      </w:r>
      <w:r>
        <w:rPr>
          <w:rFonts w:ascii="Arial" w:eastAsia="仿宋" w:hAnsi="Arial" w:cs="Arial"/>
          <w:sz w:val="28"/>
          <w:szCs w:val="28"/>
        </w:rPr>
        <w:t>因素修正系数的确定</w:t>
      </w:r>
    </w:p>
    <w:p w14:paraId="06C4E613"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4ABB2731"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因素修正系数</w:t>
      </w:r>
      <w:r>
        <w:rPr>
          <w:rFonts w:ascii="Arial" w:eastAsia="仿宋" w:hAnsi="Arial" w:cs="Arial"/>
          <w:sz w:val="28"/>
          <w:szCs w:val="28"/>
        </w:rPr>
        <w:t>=1</w:t>
      </w:r>
      <w:r>
        <w:rPr>
          <w:rFonts w:ascii="Arial" w:eastAsia="仿宋" w:hAnsi="Arial" w:cs="Arial"/>
          <w:sz w:val="28"/>
          <w:szCs w:val="28"/>
        </w:rPr>
        <w:t>＋</w:t>
      </w:r>
      <w:r>
        <w:rPr>
          <w:rFonts w:ascii="Arial" w:eastAsia="仿宋" w:hAnsi="Arial" w:cs="Arial"/>
          <w:sz w:val="28"/>
          <w:szCs w:val="28"/>
        </w:rPr>
        <w:fldChar w:fldCharType="begin"/>
      </w:r>
      <w:r>
        <w:rPr>
          <w:rFonts w:ascii="Arial" w:eastAsia="仿宋" w:hAnsi="Arial" w:cs="Arial"/>
          <w:sz w:val="28"/>
          <w:szCs w:val="28"/>
        </w:rPr>
        <w:instrText xml:space="preserve"> QUOTE </w:instrText>
      </w:r>
      <w:r w:rsidR="00423A03">
        <w:rPr>
          <w:rFonts w:ascii="Arial" w:eastAsia="仿宋" w:hAnsi="Arial" w:cs="Arial"/>
          <w:sz w:val="28"/>
          <w:szCs w:val="28"/>
        </w:rPr>
        <w:pict w14:anchorId="21AFD31A">
          <v:shape id="_x0000_i1029" type="#_x0000_t75" style="width:31pt;height:18.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quot;/&gt;&lt;m:ctrlPr&gt;&lt;w:rPr&gt;&lt;w:rFonts w:ascii=&quot;Cambria Math&quot; w:h-ansi=&quot;Cambria Math&quot; w:cs=&quot;仿宋_GB2312&quot;/&gt;&lt;wx:font wx:val=&quot;Cambria Math&quot;/&gt;&lt;w:sz w:val=&quot;21&quot;/&gt;&lt;w:sz-cs w:val=&quot;29&quot;/&gt;&lt;/w:rPr&gt;&lt;/m:ctrlPr&gt;&lt;/m:naryPr&gt;&lt;m:sub&gt;&lt;m:r&gt;&lt;w:rPr&gt;&lt;w:rFonts w:ascii=&quot;Cambria Math&quot; O/wO/:O/hO/-ansi=&quot;Cambria Math&quot; w:cs=&quot;仿宋_GB2312&quot;/&gt;&lt;wx:font wx:val=&quot;Cambria Math&quot;/&gt;&lt;w:i/&gt;&lt;w:sz w:val=&quot;21&quot;/&gt;&lt;w:sz-cs w:val=&quot;29&quot;/&gt;&lt;/w:rPr&gt;&lt;m:t&gt;i=1&lt;/m:t&gt;&lt;/m:r&gt;&lt;/m:sub&gt;&lt;m:sup&gt;&lt;m:r&gt;&lt;w:rPr&gt;&lt;w:rFonts w:ascii=&quot;Cambria Math&quot; w:h-ansi=&quot;Cambria Math&quot; w:cs=&quot;仿宋_GB231&quot; O/2&quot;/ wO/&gt;&lt;ww:O/x:f:hO/ont wx:val=&quot;Cambria Math&quot;/&gt;&lt;w:i/&gt;&lt;w:sz w:val=&quot;21&quot;/&gt;&lt;w:sz-cs w:val=&quot;29&quot;/&gt;&lt;/w:rPr&gt;&lt;m:t&gt;n&lt;/m:t&gt;&lt;/m:r&gt;&lt;/m:sup&gt;&lt;m:e&gt;&lt;m:r&gt;&lt;w:rPr&gt;&lt;w:rFonts w:ascii=&quot;Cambria Math&quot; w:h-ansi=&quot;Cambria Math&quot; w:cs=&quot;仿宋_GB2312&quot;/&gt;&lt;wx:font wx:val=&quot;Cambria Math&quot;/&gt;&lt;wO/:i/&gt;&lt;w:O/sz w:vaO/l=&quot;21&quot;/O/&gt;&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62" o:title="" chromakey="white"/>
          </v:shape>
        </w:pict>
      </w:r>
      <w:r>
        <w:rPr>
          <w:rFonts w:ascii="Arial" w:eastAsia="仿宋" w:hAnsi="Arial" w:cs="Arial"/>
          <w:sz w:val="28"/>
          <w:szCs w:val="28"/>
        </w:rPr>
        <w:instrText xml:space="preserve"> </w:instrText>
      </w:r>
      <w:r>
        <w:rPr>
          <w:rFonts w:ascii="Arial" w:eastAsia="仿宋" w:hAnsi="Arial" w:cs="Arial"/>
          <w:sz w:val="28"/>
          <w:szCs w:val="28"/>
        </w:rPr>
        <w:fldChar w:fldCharType="separate"/>
      </w:r>
      <w:r w:rsidR="00423A03">
        <w:rPr>
          <w:rFonts w:ascii="Arial" w:eastAsia="仿宋" w:hAnsi="Arial" w:cs="Arial"/>
          <w:sz w:val="28"/>
          <w:szCs w:val="28"/>
        </w:rPr>
        <w:pict w14:anchorId="71425E6A">
          <v:shape id="_x0000_i1030" type="#_x0000_t75" style="width:31pt;height:18.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quot;/&gt;&lt;m:ctrlPr&gt;&lt;w:rPr&gt;&lt;w:rFonts w:ascii=&quot;Cambria Math&quot; w:h-ansi=&quot;Cambria Math&quot; w:cs=&quot;仿宋_GB2312&quot;/&gt;&lt;wx:font wx:val=&quot;Cambria Math&quot;/&gt;&lt;w:sz w:val=&quot;21&quot;/&gt;&lt;w:sz-cs w:val=&quot;29&quot;/&gt;&lt;/w:rPr&gt;&lt;/m:ctrlPr&gt;&lt;/m:naryPr&gt;&lt;m:sub&gt;&lt;m:r&gt;&lt;w:rPr&gt;&lt;w:rFonts w:ascii=&quot;Cambria Math&quot; O/wO/:O/hO/-ansi=&quot;Cambria Math&quot; w:cs=&quot;仿宋_GB2312&quot;/&gt;&lt;wx:font wx:val=&quot;Cambria Math&quot;/&gt;&lt;w:i/&gt;&lt;w:sz w:val=&quot;21&quot;/&gt;&lt;w:sz-cs w:val=&quot;29&quot;/&gt;&lt;/w:rPr&gt;&lt;m:t&gt;i=1&lt;/m:t&gt;&lt;/m:r&gt;&lt;/m:sub&gt;&lt;m:sup&gt;&lt;m:r&gt;&lt;w:rPr&gt;&lt;w:rFonts w:ascii=&quot;Cambria Math&quot; w:h-ansi=&quot;Cambria Math&quot; w:cs=&quot;仿宋_GB231&quot; O/2&quot;/ wO/&gt;&lt;ww:O/x:f:hO/ont wx:val=&quot;Cambria Math&quot;/&gt;&lt;w:i/&gt;&lt;w:sz w:val=&quot;21&quot;/&gt;&lt;w:sz-cs w:val=&quot;29&quot;/&gt;&lt;/w:rPr&gt;&lt;m:t&gt;n&lt;/m:t&gt;&lt;/m:r&gt;&lt;/m:sup&gt;&lt;m:e&gt;&lt;m:r&gt;&lt;w:rPr&gt;&lt;w:rFonts w:ascii=&quot;Cambria Math&quot; w:h-ansi=&quot;Cambria Math&quot; w:cs=&quot;仿宋_GB2312&quot;/&gt;&lt;wx:font wx:val=&quot;Cambria Math&quot;/&gt;&lt;wO/:i/&gt;&lt;w:O/sz w:vaO/l=&quot;21&quot;/O/&gt;&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62" o:title="" chromakey="white"/>
          </v:shape>
        </w:pict>
      </w:r>
      <w:r>
        <w:rPr>
          <w:rFonts w:ascii="Arial" w:eastAsia="仿宋" w:hAnsi="Arial" w:cs="Arial"/>
          <w:sz w:val="28"/>
          <w:szCs w:val="28"/>
        </w:rPr>
        <w:fldChar w:fldCharType="end"/>
      </w:r>
    </w:p>
    <w:p w14:paraId="08DB56CD"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其中</w:t>
      </w:r>
      <w:proofErr w:type="spellStart"/>
      <w:r>
        <w:rPr>
          <w:rFonts w:ascii="Arial" w:eastAsia="仿宋" w:hAnsi="Arial" w:cs="Arial"/>
          <w:sz w:val="28"/>
          <w:szCs w:val="28"/>
        </w:rPr>
        <w:t>ki</w:t>
      </w:r>
      <w:proofErr w:type="spellEnd"/>
      <w:r>
        <w:rPr>
          <w:rFonts w:ascii="Arial" w:eastAsia="仿宋" w:hAnsi="Arial" w:cs="Arial"/>
          <w:sz w:val="28"/>
          <w:szCs w:val="28"/>
        </w:rPr>
        <w:t>：第</w:t>
      </w:r>
      <w:r>
        <w:rPr>
          <w:rFonts w:ascii="Arial" w:eastAsia="仿宋" w:hAnsi="Arial" w:cs="Arial"/>
          <w:sz w:val="28"/>
          <w:szCs w:val="28"/>
        </w:rPr>
        <w:t>i</w:t>
      </w:r>
      <w:r>
        <w:rPr>
          <w:rFonts w:ascii="Arial" w:eastAsia="仿宋" w:hAnsi="Arial" w:cs="Arial"/>
          <w:sz w:val="28"/>
          <w:szCs w:val="28"/>
        </w:rPr>
        <w:t>种因素的修正系数</w:t>
      </w:r>
    </w:p>
    <w:p w14:paraId="619D9B56"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各因素的修正系数根据影响地价的因素权重和因素总修正幅度确定。</w:t>
      </w:r>
    </w:p>
    <w:p w14:paraId="765D1A2A" w14:textId="77777777" w:rsidR="0062768B" w:rsidRDefault="00136729">
      <w:pPr>
        <w:spacing w:line="300" w:lineRule="auto"/>
        <w:jc w:val="center"/>
        <w:rPr>
          <w:rFonts w:ascii="Arial" w:eastAsia="仿宋" w:hAnsi="Arial" w:cs="Arial"/>
          <w:sz w:val="28"/>
          <w:szCs w:val="28"/>
        </w:rPr>
      </w:pPr>
      <w:r>
        <w:rPr>
          <w:rFonts w:ascii="Arial" w:eastAsia="仿宋" w:hAnsi="Arial" w:cs="Arial"/>
          <w:bCs/>
          <w:sz w:val="28"/>
          <w:szCs w:val="28"/>
        </w:rPr>
        <w:t>北京市基准地价因素权重表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62768B" w14:paraId="4B6E6259" w14:textId="77777777">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14:paraId="6CC1BAF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5F2F4DF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34CE85F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71F57BD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719DBD2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公共服务类</w:t>
            </w:r>
          </w:p>
        </w:tc>
      </w:tr>
      <w:tr w:rsidR="0062768B" w14:paraId="7C3A0AC1"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14:paraId="64BFE0C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301FE49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权重</w:t>
            </w:r>
          </w:p>
        </w:tc>
        <w:tc>
          <w:tcPr>
            <w:tcW w:w="1261" w:type="dxa"/>
            <w:tcBorders>
              <w:top w:val="nil"/>
              <w:left w:val="nil"/>
              <w:bottom w:val="single" w:sz="8" w:space="0" w:color="404040"/>
              <w:right w:val="single" w:sz="8" w:space="0" w:color="404040"/>
            </w:tcBorders>
            <w:shd w:val="clear" w:color="auto" w:fill="auto"/>
            <w:noWrap/>
            <w:vAlign w:val="center"/>
          </w:tcPr>
          <w:p w14:paraId="5291B06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3A292BB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权重</w:t>
            </w:r>
          </w:p>
        </w:tc>
        <w:tc>
          <w:tcPr>
            <w:tcW w:w="1244" w:type="dxa"/>
            <w:tcBorders>
              <w:top w:val="nil"/>
              <w:left w:val="nil"/>
              <w:bottom w:val="single" w:sz="8" w:space="0" w:color="404040"/>
              <w:right w:val="single" w:sz="8" w:space="0" w:color="404040"/>
            </w:tcBorders>
            <w:shd w:val="clear" w:color="auto" w:fill="auto"/>
            <w:noWrap/>
            <w:vAlign w:val="center"/>
          </w:tcPr>
          <w:p w14:paraId="587E220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79ED5D7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权重</w:t>
            </w:r>
          </w:p>
        </w:tc>
        <w:tc>
          <w:tcPr>
            <w:tcW w:w="1226" w:type="dxa"/>
            <w:tcBorders>
              <w:top w:val="nil"/>
              <w:left w:val="nil"/>
              <w:bottom w:val="single" w:sz="8" w:space="0" w:color="404040"/>
              <w:right w:val="single" w:sz="8" w:space="0" w:color="404040"/>
            </w:tcBorders>
            <w:shd w:val="clear" w:color="auto" w:fill="auto"/>
            <w:noWrap/>
            <w:vAlign w:val="center"/>
          </w:tcPr>
          <w:p w14:paraId="2228353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7B8D55D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权重</w:t>
            </w:r>
          </w:p>
        </w:tc>
        <w:tc>
          <w:tcPr>
            <w:tcW w:w="1209" w:type="dxa"/>
            <w:tcBorders>
              <w:top w:val="nil"/>
              <w:left w:val="nil"/>
              <w:bottom w:val="single" w:sz="8" w:space="0" w:color="404040"/>
              <w:right w:val="single" w:sz="8" w:space="0" w:color="404040"/>
            </w:tcBorders>
            <w:shd w:val="clear" w:color="auto" w:fill="auto"/>
            <w:noWrap/>
            <w:vAlign w:val="center"/>
          </w:tcPr>
          <w:p w14:paraId="782400E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1843CDC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权重</w:t>
            </w:r>
          </w:p>
        </w:tc>
      </w:tr>
      <w:tr w:rsidR="0062768B" w14:paraId="1DA637E9"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59BB888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商业繁华程度</w:t>
            </w:r>
          </w:p>
        </w:tc>
        <w:tc>
          <w:tcPr>
            <w:tcW w:w="454" w:type="dxa"/>
            <w:tcBorders>
              <w:top w:val="nil"/>
              <w:left w:val="nil"/>
              <w:bottom w:val="single" w:sz="8" w:space="0" w:color="404040"/>
              <w:right w:val="single" w:sz="8" w:space="0" w:color="404040"/>
            </w:tcBorders>
            <w:shd w:val="clear" w:color="auto" w:fill="auto"/>
            <w:vAlign w:val="center"/>
          </w:tcPr>
          <w:p w14:paraId="0A72353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30%</w:t>
            </w:r>
          </w:p>
        </w:tc>
        <w:tc>
          <w:tcPr>
            <w:tcW w:w="1261" w:type="dxa"/>
            <w:tcBorders>
              <w:top w:val="nil"/>
              <w:left w:val="nil"/>
              <w:bottom w:val="single" w:sz="8" w:space="0" w:color="404040"/>
              <w:right w:val="single" w:sz="8" w:space="0" w:color="404040"/>
            </w:tcBorders>
            <w:shd w:val="clear" w:color="auto" w:fill="auto"/>
            <w:vAlign w:val="center"/>
          </w:tcPr>
          <w:p w14:paraId="5A6FFDA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办公集聚程度</w:t>
            </w:r>
          </w:p>
        </w:tc>
        <w:tc>
          <w:tcPr>
            <w:tcW w:w="454" w:type="dxa"/>
            <w:tcBorders>
              <w:top w:val="nil"/>
              <w:left w:val="nil"/>
              <w:bottom w:val="single" w:sz="8" w:space="0" w:color="404040"/>
              <w:right w:val="single" w:sz="8" w:space="0" w:color="404040"/>
            </w:tcBorders>
            <w:shd w:val="clear" w:color="auto" w:fill="auto"/>
            <w:vAlign w:val="center"/>
          </w:tcPr>
          <w:p w14:paraId="1561FF5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25%</w:t>
            </w:r>
          </w:p>
        </w:tc>
        <w:tc>
          <w:tcPr>
            <w:tcW w:w="1244" w:type="dxa"/>
            <w:tcBorders>
              <w:top w:val="nil"/>
              <w:left w:val="nil"/>
              <w:bottom w:val="single" w:sz="8" w:space="0" w:color="404040"/>
              <w:right w:val="single" w:sz="8" w:space="0" w:color="404040"/>
            </w:tcBorders>
            <w:shd w:val="clear" w:color="auto" w:fill="auto"/>
            <w:vAlign w:val="center"/>
          </w:tcPr>
          <w:p w14:paraId="6B8DEED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住宅社区成熟度</w:t>
            </w:r>
          </w:p>
        </w:tc>
        <w:tc>
          <w:tcPr>
            <w:tcW w:w="454" w:type="dxa"/>
            <w:tcBorders>
              <w:top w:val="nil"/>
              <w:left w:val="nil"/>
              <w:bottom w:val="single" w:sz="8" w:space="0" w:color="404040"/>
              <w:right w:val="single" w:sz="8" w:space="0" w:color="404040"/>
            </w:tcBorders>
            <w:shd w:val="clear" w:color="auto" w:fill="auto"/>
            <w:vAlign w:val="center"/>
          </w:tcPr>
          <w:p w14:paraId="3F0FC0E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20%</w:t>
            </w:r>
          </w:p>
        </w:tc>
        <w:tc>
          <w:tcPr>
            <w:tcW w:w="1226" w:type="dxa"/>
            <w:tcBorders>
              <w:top w:val="nil"/>
              <w:left w:val="nil"/>
              <w:bottom w:val="single" w:sz="8" w:space="0" w:color="404040"/>
              <w:right w:val="single" w:sz="8" w:space="0" w:color="404040"/>
            </w:tcBorders>
            <w:shd w:val="clear" w:color="auto" w:fill="auto"/>
            <w:vAlign w:val="center"/>
          </w:tcPr>
          <w:p w14:paraId="5A69782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产业集聚程度</w:t>
            </w:r>
          </w:p>
        </w:tc>
        <w:tc>
          <w:tcPr>
            <w:tcW w:w="454" w:type="dxa"/>
            <w:tcBorders>
              <w:top w:val="nil"/>
              <w:left w:val="nil"/>
              <w:bottom w:val="single" w:sz="8" w:space="0" w:color="404040"/>
              <w:right w:val="single" w:sz="8" w:space="0" w:color="404040"/>
            </w:tcBorders>
            <w:shd w:val="clear" w:color="auto" w:fill="auto"/>
            <w:vAlign w:val="center"/>
          </w:tcPr>
          <w:p w14:paraId="1B33362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26%</w:t>
            </w:r>
          </w:p>
        </w:tc>
        <w:tc>
          <w:tcPr>
            <w:tcW w:w="1209" w:type="dxa"/>
            <w:tcBorders>
              <w:top w:val="nil"/>
              <w:left w:val="nil"/>
              <w:bottom w:val="single" w:sz="8" w:space="0" w:color="404040"/>
              <w:right w:val="single" w:sz="8" w:space="0" w:color="404040"/>
            </w:tcBorders>
            <w:shd w:val="clear" w:color="auto" w:fill="auto"/>
            <w:vAlign w:val="center"/>
          </w:tcPr>
          <w:p w14:paraId="16B142A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物业集聚程度</w:t>
            </w:r>
          </w:p>
        </w:tc>
        <w:tc>
          <w:tcPr>
            <w:tcW w:w="454" w:type="dxa"/>
            <w:tcBorders>
              <w:top w:val="nil"/>
              <w:left w:val="nil"/>
              <w:bottom w:val="single" w:sz="8" w:space="0" w:color="404040"/>
              <w:right w:val="single" w:sz="8" w:space="0" w:color="404040"/>
            </w:tcBorders>
            <w:shd w:val="clear" w:color="auto" w:fill="auto"/>
            <w:vAlign w:val="center"/>
          </w:tcPr>
          <w:p w14:paraId="2957856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25%</w:t>
            </w:r>
          </w:p>
        </w:tc>
      </w:tr>
      <w:tr w:rsidR="0062768B" w14:paraId="7265A24F"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0CBB978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交通便捷度</w:t>
            </w:r>
          </w:p>
        </w:tc>
        <w:tc>
          <w:tcPr>
            <w:tcW w:w="454" w:type="dxa"/>
            <w:tcBorders>
              <w:top w:val="nil"/>
              <w:left w:val="nil"/>
              <w:bottom w:val="single" w:sz="8" w:space="0" w:color="404040"/>
              <w:right w:val="single" w:sz="8" w:space="0" w:color="404040"/>
            </w:tcBorders>
            <w:shd w:val="clear" w:color="auto" w:fill="auto"/>
            <w:vAlign w:val="center"/>
          </w:tcPr>
          <w:p w14:paraId="13B1AEA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22%</w:t>
            </w:r>
          </w:p>
        </w:tc>
        <w:tc>
          <w:tcPr>
            <w:tcW w:w="1261" w:type="dxa"/>
            <w:tcBorders>
              <w:top w:val="nil"/>
              <w:left w:val="nil"/>
              <w:bottom w:val="single" w:sz="8" w:space="0" w:color="404040"/>
              <w:right w:val="single" w:sz="8" w:space="0" w:color="404040"/>
            </w:tcBorders>
            <w:shd w:val="clear" w:color="auto" w:fill="auto"/>
            <w:vAlign w:val="center"/>
          </w:tcPr>
          <w:p w14:paraId="2285F98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交通便捷度</w:t>
            </w:r>
          </w:p>
        </w:tc>
        <w:tc>
          <w:tcPr>
            <w:tcW w:w="454" w:type="dxa"/>
            <w:tcBorders>
              <w:top w:val="nil"/>
              <w:left w:val="nil"/>
              <w:bottom w:val="single" w:sz="8" w:space="0" w:color="404040"/>
              <w:right w:val="single" w:sz="8" w:space="0" w:color="404040"/>
            </w:tcBorders>
            <w:shd w:val="clear" w:color="auto" w:fill="auto"/>
            <w:vAlign w:val="center"/>
          </w:tcPr>
          <w:p w14:paraId="08C1DCF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26%</w:t>
            </w:r>
          </w:p>
        </w:tc>
        <w:tc>
          <w:tcPr>
            <w:tcW w:w="1244" w:type="dxa"/>
            <w:tcBorders>
              <w:top w:val="nil"/>
              <w:left w:val="nil"/>
              <w:bottom w:val="single" w:sz="8" w:space="0" w:color="404040"/>
              <w:right w:val="single" w:sz="8" w:space="0" w:color="404040"/>
            </w:tcBorders>
            <w:shd w:val="clear" w:color="auto" w:fill="auto"/>
            <w:vAlign w:val="center"/>
          </w:tcPr>
          <w:p w14:paraId="10461F4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交通便捷度</w:t>
            </w:r>
          </w:p>
        </w:tc>
        <w:tc>
          <w:tcPr>
            <w:tcW w:w="454" w:type="dxa"/>
            <w:tcBorders>
              <w:top w:val="nil"/>
              <w:left w:val="nil"/>
              <w:bottom w:val="single" w:sz="8" w:space="0" w:color="404040"/>
              <w:right w:val="single" w:sz="8" w:space="0" w:color="404040"/>
            </w:tcBorders>
            <w:shd w:val="clear" w:color="auto" w:fill="auto"/>
            <w:vAlign w:val="center"/>
          </w:tcPr>
          <w:p w14:paraId="6D29FDA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26%</w:t>
            </w:r>
          </w:p>
        </w:tc>
        <w:tc>
          <w:tcPr>
            <w:tcW w:w="1226" w:type="dxa"/>
            <w:tcBorders>
              <w:top w:val="nil"/>
              <w:left w:val="nil"/>
              <w:bottom w:val="single" w:sz="8" w:space="0" w:color="404040"/>
              <w:right w:val="single" w:sz="8" w:space="0" w:color="404040"/>
            </w:tcBorders>
            <w:shd w:val="clear" w:color="auto" w:fill="auto"/>
            <w:vAlign w:val="center"/>
          </w:tcPr>
          <w:p w14:paraId="7EF5690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交通便捷度</w:t>
            </w:r>
          </w:p>
        </w:tc>
        <w:tc>
          <w:tcPr>
            <w:tcW w:w="454" w:type="dxa"/>
            <w:tcBorders>
              <w:top w:val="nil"/>
              <w:left w:val="nil"/>
              <w:bottom w:val="single" w:sz="8" w:space="0" w:color="404040"/>
              <w:right w:val="single" w:sz="8" w:space="0" w:color="404040"/>
            </w:tcBorders>
            <w:shd w:val="clear" w:color="auto" w:fill="auto"/>
            <w:vAlign w:val="center"/>
          </w:tcPr>
          <w:p w14:paraId="27CB1E9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30%</w:t>
            </w:r>
          </w:p>
        </w:tc>
        <w:tc>
          <w:tcPr>
            <w:tcW w:w="1209" w:type="dxa"/>
            <w:tcBorders>
              <w:top w:val="nil"/>
              <w:left w:val="nil"/>
              <w:bottom w:val="single" w:sz="8" w:space="0" w:color="404040"/>
              <w:right w:val="single" w:sz="8" w:space="0" w:color="404040"/>
            </w:tcBorders>
            <w:shd w:val="clear" w:color="auto" w:fill="auto"/>
            <w:vAlign w:val="center"/>
          </w:tcPr>
          <w:p w14:paraId="36605F3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交通便捷度</w:t>
            </w:r>
          </w:p>
        </w:tc>
        <w:tc>
          <w:tcPr>
            <w:tcW w:w="454" w:type="dxa"/>
            <w:tcBorders>
              <w:top w:val="nil"/>
              <w:left w:val="nil"/>
              <w:bottom w:val="single" w:sz="8" w:space="0" w:color="404040"/>
              <w:right w:val="single" w:sz="8" w:space="0" w:color="404040"/>
            </w:tcBorders>
            <w:shd w:val="clear" w:color="auto" w:fill="auto"/>
            <w:vAlign w:val="center"/>
          </w:tcPr>
          <w:p w14:paraId="2A329AB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26%</w:t>
            </w:r>
          </w:p>
        </w:tc>
      </w:tr>
      <w:tr w:rsidR="0062768B" w14:paraId="59CC206F"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010B65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5C31362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12%</w:t>
            </w:r>
          </w:p>
        </w:tc>
        <w:tc>
          <w:tcPr>
            <w:tcW w:w="1261" w:type="dxa"/>
            <w:tcBorders>
              <w:top w:val="nil"/>
              <w:left w:val="nil"/>
              <w:bottom w:val="single" w:sz="8" w:space="0" w:color="404040"/>
              <w:right w:val="single" w:sz="8" w:space="0" w:color="404040"/>
            </w:tcBorders>
            <w:shd w:val="clear" w:color="auto" w:fill="auto"/>
            <w:vAlign w:val="center"/>
          </w:tcPr>
          <w:p w14:paraId="66F72F4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33DD06E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11%</w:t>
            </w:r>
          </w:p>
        </w:tc>
        <w:tc>
          <w:tcPr>
            <w:tcW w:w="1244" w:type="dxa"/>
            <w:tcBorders>
              <w:top w:val="nil"/>
              <w:left w:val="nil"/>
              <w:bottom w:val="single" w:sz="8" w:space="0" w:color="404040"/>
              <w:right w:val="single" w:sz="8" w:space="0" w:color="404040"/>
            </w:tcBorders>
            <w:shd w:val="clear" w:color="auto" w:fill="auto"/>
            <w:vAlign w:val="center"/>
          </w:tcPr>
          <w:p w14:paraId="415F163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77E4730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10%</w:t>
            </w:r>
          </w:p>
        </w:tc>
        <w:tc>
          <w:tcPr>
            <w:tcW w:w="1226" w:type="dxa"/>
            <w:tcBorders>
              <w:top w:val="nil"/>
              <w:left w:val="nil"/>
              <w:bottom w:val="single" w:sz="8" w:space="0" w:color="404040"/>
              <w:right w:val="single" w:sz="8" w:space="0" w:color="404040"/>
            </w:tcBorders>
            <w:shd w:val="clear" w:color="auto" w:fill="auto"/>
            <w:vAlign w:val="center"/>
          </w:tcPr>
          <w:p w14:paraId="121DCA1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1BDE48E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10%</w:t>
            </w:r>
          </w:p>
        </w:tc>
        <w:tc>
          <w:tcPr>
            <w:tcW w:w="1209" w:type="dxa"/>
            <w:tcBorders>
              <w:top w:val="nil"/>
              <w:left w:val="nil"/>
              <w:bottom w:val="single" w:sz="8" w:space="0" w:color="404040"/>
              <w:right w:val="single" w:sz="8" w:space="0" w:color="404040"/>
            </w:tcBorders>
            <w:shd w:val="clear" w:color="auto" w:fill="auto"/>
            <w:vAlign w:val="center"/>
          </w:tcPr>
          <w:p w14:paraId="399F34A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2BB4FFF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11%</w:t>
            </w:r>
          </w:p>
        </w:tc>
      </w:tr>
      <w:tr w:rsidR="0062768B" w14:paraId="51AF816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070538A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6E5A97C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61" w:type="dxa"/>
            <w:tcBorders>
              <w:top w:val="nil"/>
              <w:left w:val="nil"/>
              <w:bottom w:val="single" w:sz="8" w:space="0" w:color="404040"/>
              <w:right w:val="single" w:sz="8" w:space="0" w:color="404040"/>
            </w:tcBorders>
            <w:shd w:val="clear" w:color="auto" w:fill="auto"/>
            <w:vAlign w:val="center"/>
          </w:tcPr>
          <w:p w14:paraId="247DDA4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0B2CA58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44" w:type="dxa"/>
            <w:tcBorders>
              <w:top w:val="nil"/>
              <w:left w:val="nil"/>
              <w:bottom w:val="single" w:sz="8" w:space="0" w:color="404040"/>
              <w:right w:val="single" w:sz="8" w:space="0" w:color="404040"/>
            </w:tcBorders>
            <w:shd w:val="clear" w:color="auto" w:fill="auto"/>
            <w:vAlign w:val="center"/>
          </w:tcPr>
          <w:p w14:paraId="4AD7C31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临路状况</w:t>
            </w:r>
          </w:p>
        </w:tc>
        <w:tc>
          <w:tcPr>
            <w:tcW w:w="454" w:type="dxa"/>
            <w:tcBorders>
              <w:top w:val="nil"/>
              <w:left w:val="nil"/>
              <w:bottom w:val="single" w:sz="8" w:space="0" w:color="404040"/>
              <w:right w:val="single" w:sz="8" w:space="0" w:color="404040"/>
            </w:tcBorders>
            <w:shd w:val="clear" w:color="auto" w:fill="auto"/>
            <w:vAlign w:val="center"/>
          </w:tcPr>
          <w:p w14:paraId="52639A3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26" w:type="dxa"/>
            <w:tcBorders>
              <w:top w:val="nil"/>
              <w:left w:val="nil"/>
              <w:bottom w:val="single" w:sz="8" w:space="0" w:color="404040"/>
              <w:right w:val="single" w:sz="8" w:space="0" w:color="404040"/>
            </w:tcBorders>
            <w:shd w:val="clear" w:color="auto" w:fill="auto"/>
            <w:vAlign w:val="center"/>
          </w:tcPr>
          <w:p w14:paraId="5220733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临路状况</w:t>
            </w:r>
          </w:p>
        </w:tc>
        <w:tc>
          <w:tcPr>
            <w:tcW w:w="454" w:type="dxa"/>
            <w:tcBorders>
              <w:top w:val="nil"/>
              <w:left w:val="nil"/>
              <w:bottom w:val="single" w:sz="8" w:space="0" w:color="404040"/>
              <w:right w:val="single" w:sz="8" w:space="0" w:color="404040"/>
            </w:tcBorders>
            <w:shd w:val="clear" w:color="auto" w:fill="auto"/>
            <w:vAlign w:val="center"/>
          </w:tcPr>
          <w:p w14:paraId="41F1F90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09" w:type="dxa"/>
            <w:tcBorders>
              <w:top w:val="nil"/>
              <w:left w:val="nil"/>
              <w:bottom w:val="single" w:sz="8" w:space="0" w:color="404040"/>
              <w:right w:val="single" w:sz="8" w:space="0" w:color="404040"/>
            </w:tcBorders>
            <w:shd w:val="clear" w:color="auto" w:fill="auto"/>
            <w:vAlign w:val="center"/>
          </w:tcPr>
          <w:p w14:paraId="7AEA48E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08FC49F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r>
      <w:tr w:rsidR="0062768B" w14:paraId="1DC22500"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5503DDA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105B20F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8%</w:t>
            </w:r>
          </w:p>
        </w:tc>
        <w:tc>
          <w:tcPr>
            <w:tcW w:w="1261" w:type="dxa"/>
            <w:tcBorders>
              <w:top w:val="nil"/>
              <w:left w:val="nil"/>
              <w:bottom w:val="single" w:sz="8" w:space="0" w:color="404040"/>
              <w:right w:val="single" w:sz="8" w:space="0" w:color="404040"/>
            </w:tcBorders>
            <w:shd w:val="clear" w:color="auto" w:fill="auto"/>
            <w:vAlign w:val="center"/>
          </w:tcPr>
          <w:p w14:paraId="130C80A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61AFF66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44" w:type="dxa"/>
            <w:tcBorders>
              <w:top w:val="nil"/>
              <w:left w:val="nil"/>
              <w:bottom w:val="single" w:sz="8" w:space="0" w:color="404040"/>
              <w:right w:val="single" w:sz="8" w:space="0" w:color="404040"/>
            </w:tcBorders>
            <w:shd w:val="clear" w:color="auto" w:fill="auto"/>
            <w:vAlign w:val="center"/>
          </w:tcPr>
          <w:p w14:paraId="368CE40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561497C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8%</w:t>
            </w:r>
          </w:p>
        </w:tc>
        <w:tc>
          <w:tcPr>
            <w:tcW w:w="1226" w:type="dxa"/>
            <w:tcBorders>
              <w:top w:val="nil"/>
              <w:left w:val="nil"/>
              <w:bottom w:val="single" w:sz="8" w:space="0" w:color="404040"/>
              <w:right w:val="single" w:sz="8" w:space="0" w:color="404040"/>
            </w:tcBorders>
            <w:shd w:val="clear" w:color="auto" w:fill="auto"/>
            <w:vAlign w:val="center"/>
          </w:tcPr>
          <w:p w14:paraId="6F0F0F0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2FC0245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c>
          <w:tcPr>
            <w:tcW w:w="1209" w:type="dxa"/>
            <w:tcBorders>
              <w:top w:val="nil"/>
              <w:left w:val="nil"/>
              <w:bottom w:val="single" w:sz="8" w:space="0" w:color="404040"/>
              <w:right w:val="single" w:sz="8" w:space="0" w:color="404040"/>
            </w:tcBorders>
            <w:shd w:val="clear" w:color="auto" w:fill="auto"/>
            <w:vAlign w:val="center"/>
          </w:tcPr>
          <w:p w14:paraId="793EB1E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753C1A1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r>
      <w:tr w:rsidR="0062768B" w14:paraId="4DD0BBAC"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3C12247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1F0E2DF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61" w:type="dxa"/>
            <w:tcBorders>
              <w:top w:val="nil"/>
              <w:left w:val="nil"/>
              <w:bottom w:val="single" w:sz="8" w:space="0" w:color="404040"/>
              <w:right w:val="single" w:sz="8" w:space="0" w:color="404040"/>
            </w:tcBorders>
            <w:shd w:val="clear" w:color="auto" w:fill="auto"/>
            <w:vAlign w:val="center"/>
          </w:tcPr>
          <w:p w14:paraId="7E0742A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779541F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c>
          <w:tcPr>
            <w:tcW w:w="1244" w:type="dxa"/>
            <w:tcBorders>
              <w:top w:val="nil"/>
              <w:left w:val="nil"/>
              <w:bottom w:val="single" w:sz="8" w:space="0" w:color="404040"/>
              <w:right w:val="single" w:sz="8" w:space="0" w:color="404040"/>
            </w:tcBorders>
            <w:shd w:val="clear" w:color="auto" w:fill="auto"/>
            <w:vAlign w:val="center"/>
          </w:tcPr>
          <w:p w14:paraId="34112C4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11DD520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26" w:type="dxa"/>
            <w:tcBorders>
              <w:top w:val="nil"/>
              <w:left w:val="nil"/>
              <w:bottom w:val="single" w:sz="8" w:space="0" w:color="404040"/>
              <w:right w:val="single" w:sz="8" w:space="0" w:color="404040"/>
            </w:tcBorders>
            <w:shd w:val="clear" w:color="auto" w:fill="auto"/>
            <w:vAlign w:val="center"/>
          </w:tcPr>
          <w:p w14:paraId="72A0980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15F53B4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c>
          <w:tcPr>
            <w:tcW w:w="1209" w:type="dxa"/>
            <w:tcBorders>
              <w:top w:val="nil"/>
              <w:left w:val="nil"/>
              <w:bottom w:val="single" w:sz="8" w:space="0" w:color="404040"/>
              <w:right w:val="single" w:sz="8" w:space="0" w:color="404040"/>
            </w:tcBorders>
            <w:shd w:val="clear" w:color="auto" w:fill="auto"/>
            <w:vAlign w:val="center"/>
          </w:tcPr>
          <w:p w14:paraId="7BF0F56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66044B7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r>
      <w:tr w:rsidR="0062768B" w14:paraId="49C41089"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5BBC975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D06C6F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61" w:type="dxa"/>
            <w:tcBorders>
              <w:top w:val="nil"/>
              <w:left w:val="nil"/>
              <w:bottom w:val="single" w:sz="8" w:space="0" w:color="404040"/>
              <w:right w:val="single" w:sz="8" w:space="0" w:color="404040"/>
            </w:tcBorders>
            <w:shd w:val="clear" w:color="auto" w:fill="auto"/>
            <w:vAlign w:val="center"/>
          </w:tcPr>
          <w:p w14:paraId="380C9E5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572365E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c>
          <w:tcPr>
            <w:tcW w:w="1244" w:type="dxa"/>
            <w:tcBorders>
              <w:top w:val="nil"/>
              <w:left w:val="nil"/>
              <w:bottom w:val="single" w:sz="8" w:space="0" w:color="404040"/>
              <w:right w:val="single" w:sz="8" w:space="0" w:color="404040"/>
            </w:tcBorders>
            <w:shd w:val="clear" w:color="auto" w:fill="auto"/>
            <w:vAlign w:val="center"/>
          </w:tcPr>
          <w:p w14:paraId="0409BAF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04558FD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9%</w:t>
            </w:r>
          </w:p>
        </w:tc>
        <w:tc>
          <w:tcPr>
            <w:tcW w:w="1226" w:type="dxa"/>
            <w:tcBorders>
              <w:top w:val="nil"/>
              <w:left w:val="nil"/>
              <w:bottom w:val="single" w:sz="8" w:space="0" w:color="404040"/>
              <w:right w:val="single" w:sz="8" w:space="0" w:color="404040"/>
            </w:tcBorders>
            <w:shd w:val="clear" w:color="auto" w:fill="auto"/>
            <w:vAlign w:val="center"/>
          </w:tcPr>
          <w:p w14:paraId="617BC7E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64AFD2F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12%</w:t>
            </w:r>
          </w:p>
        </w:tc>
        <w:tc>
          <w:tcPr>
            <w:tcW w:w="1209" w:type="dxa"/>
            <w:tcBorders>
              <w:top w:val="nil"/>
              <w:left w:val="nil"/>
              <w:bottom w:val="single" w:sz="8" w:space="0" w:color="404040"/>
              <w:right w:val="single" w:sz="8" w:space="0" w:color="404040"/>
            </w:tcBorders>
            <w:shd w:val="clear" w:color="auto" w:fill="auto"/>
            <w:vAlign w:val="center"/>
          </w:tcPr>
          <w:p w14:paraId="483DFBF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0CF90F1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r>
      <w:tr w:rsidR="0062768B" w14:paraId="5AB47EBE"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01BB404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079E660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8%</w:t>
            </w:r>
          </w:p>
        </w:tc>
        <w:tc>
          <w:tcPr>
            <w:tcW w:w="1261" w:type="dxa"/>
            <w:tcBorders>
              <w:top w:val="nil"/>
              <w:left w:val="nil"/>
              <w:bottom w:val="single" w:sz="8" w:space="0" w:color="404040"/>
              <w:right w:val="single" w:sz="8" w:space="0" w:color="404040"/>
            </w:tcBorders>
            <w:shd w:val="clear" w:color="auto" w:fill="auto"/>
            <w:vAlign w:val="center"/>
          </w:tcPr>
          <w:p w14:paraId="62BBBEE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5798926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9%</w:t>
            </w:r>
          </w:p>
        </w:tc>
        <w:tc>
          <w:tcPr>
            <w:tcW w:w="1244" w:type="dxa"/>
            <w:tcBorders>
              <w:top w:val="nil"/>
              <w:left w:val="nil"/>
              <w:bottom w:val="single" w:sz="8" w:space="0" w:color="404040"/>
              <w:right w:val="single" w:sz="8" w:space="0" w:color="404040"/>
            </w:tcBorders>
            <w:shd w:val="clear" w:color="auto" w:fill="auto"/>
            <w:vAlign w:val="center"/>
          </w:tcPr>
          <w:p w14:paraId="133493A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6311C75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12%</w:t>
            </w:r>
          </w:p>
        </w:tc>
        <w:tc>
          <w:tcPr>
            <w:tcW w:w="1226" w:type="dxa"/>
            <w:tcBorders>
              <w:top w:val="nil"/>
              <w:left w:val="nil"/>
              <w:bottom w:val="single" w:sz="8" w:space="0" w:color="404040"/>
              <w:right w:val="single" w:sz="8" w:space="0" w:color="404040"/>
            </w:tcBorders>
            <w:shd w:val="clear" w:color="auto" w:fill="auto"/>
            <w:vAlign w:val="center"/>
          </w:tcPr>
          <w:p w14:paraId="3C18FB4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环境状况</w:t>
            </w:r>
          </w:p>
        </w:tc>
        <w:tc>
          <w:tcPr>
            <w:tcW w:w="454" w:type="dxa"/>
            <w:tcBorders>
              <w:top w:val="nil"/>
              <w:left w:val="nil"/>
              <w:bottom w:val="single" w:sz="8" w:space="0" w:color="404040"/>
              <w:right w:val="single" w:sz="8" w:space="0" w:color="404040"/>
            </w:tcBorders>
            <w:shd w:val="clear" w:color="auto" w:fill="auto"/>
            <w:vAlign w:val="center"/>
          </w:tcPr>
          <w:p w14:paraId="256C556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09" w:type="dxa"/>
            <w:tcBorders>
              <w:top w:val="nil"/>
              <w:left w:val="nil"/>
              <w:bottom w:val="single" w:sz="8" w:space="0" w:color="404040"/>
              <w:right w:val="single" w:sz="8" w:space="0" w:color="404040"/>
            </w:tcBorders>
            <w:shd w:val="clear" w:color="auto" w:fill="auto"/>
            <w:vAlign w:val="center"/>
          </w:tcPr>
          <w:p w14:paraId="4815AB0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0250395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9%</w:t>
            </w:r>
          </w:p>
        </w:tc>
      </w:tr>
      <w:tr w:rsidR="0062768B" w14:paraId="3EFB8B53"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596F2B7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18E29EE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61" w:type="dxa"/>
            <w:tcBorders>
              <w:top w:val="nil"/>
              <w:left w:val="nil"/>
              <w:bottom w:val="single" w:sz="8" w:space="0" w:color="404040"/>
              <w:right w:val="single" w:sz="8" w:space="0" w:color="404040"/>
            </w:tcBorders>
            <w:shd w:val="clear" w:color="auto" w:fill="auto"/>
            <w:vAlign w:val="center"/>
          </w:tcPr>
          <w:p w14:paraId="48F6489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2B4B0EA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7%</w:t>
            </w:r>
          </w:p>
        </w:tc>
        <w:tc>
          <w:tcPr>
            <w:tcW w:w="1244" w:type="dxa"/>
            <w:tcBorders>
              <w:top w:val="nil"/>
              <w:left w:val="nil"/>
              <w:bottom w:val="single" w:sz="8" w:space="0" w:color="404040"/>
              <w:right w:val="single" w:sz="8" w:space="0" w:color="404040"/>
            </w:tcBorders>
            <w:shd w:val="clear" w:color="auto" w:fill="auto"/>
            <w:vAlign w:val="center"/>
          </w:tcPr>
          <w:p w14:paraId="797D57E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14:paraId="58A15CA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26" w:type="dxa"/>
            <w:tcBorders>
              <w:top w:val="nil"/>
              <w:left w:val="nil"/>
              <w:bottom w:val="single" w:sz="8" w:space="0" w:color="404040"/>
              <w:right w:val="single" w:sz="8" w:space="0" w:color="404040"/>
            </w:tcBorders>
            <w:shd w:val="clear" w:color="auto" w:fill="auto"/>
            <w:vAlign w:val="center"/>
          </w:tcPr>
          <w:p w14:paraId="416D687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　</w:t>
            </w:r>
          </w:p>
        </w:tc>
        <w:tc>
          <w:tcPr>
            <w:tcW w:w="454" w:type="dxa"/>
            <w:tcBorders>
              <w:top w:val="nil"/>
              <w:left w:val="nil"/>
              <w:bottom w:val="single" w:sz="8" w:space="0" w:color="404040"/>
              <w:right w:val="single" w:sz="8" w:space="0" w:color="404040"/>
            </w:tcBorders>
            <w:shd w:val="clear" w:color="auto" w:fill="auto"/>
            <w:vAlign w:val="center"/>
          </w:tcPr>
          <w:p w14:paraId="1D4E3EC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　</w:t>
            </w:r>
          </w:p>
        </w:tc>
        <w:tc>
          <w:tcPr>
            <w:tcW w:w="1209" w:type="dxa"/>
            <w:tcBorders>
              <w:top w:val="nil"/>
              <w:left w:val="nil"/>
              <w:bottom w:val="single" w:sz="8" w:space="0" w:color="404040"/>
              <w:right w:val="single" w:sz="8" w:space="0" w:color="404040"/>
            </w:tcBorders>
            <w:shd w:val="clear" w:color="auto" w:fill="auto"/>
            <w:vAlign w:val="center"/>
          </w:tcPr>
          <w:p w14:paraId="5DCA468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3401AAA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7%</w:t>
            </w:r>
          </w:p>
        </w:tc>
      </w:tr>
    </w:tbl>
    <w:p w14:paraId="531CC8C4" w14:textId="77777777" w:rsidR="0062768B" w:rsidRDefault="0062768B">
      <w:pPr>
        <w:widowControl/>
        <w:adjustRightInd/>
        <w:spacing w:line="240" w:lineRule="exact"/>
        <w:textAlignment w:val="auto"/>
        <w:rPr>
          <w:rFonts w:ascii="Arial" w:eastAsia="华文细黑" w:hAnsi="Arial" w:cs="宋体"/>
          <w:sz w:val="18"/>
          <w:szCs w:val="24"/>
        </w:rPr>
      </w:pPr>
    </w:p>
    <w:p w14:paraId="124EEA56"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估价对象位于公共服务类</w:t>
      </w:r>
      <w:r>
        <w:rPr>
          <w:rFonts w:ascii="Arial" w:eastAsia="仿宋" w:hAnsi="Arial" w:cs="Arial" w:hint="eastAsia"/>
          <w:sz w:val="28"/>
          <w:szCs w:val="28"/>
        </w:rPr>
        <w:t>九</w:t>
      </w:r>
      <w:r>
        <w:rPr>
          <w:rFonts w:ascii="Arial" w:eastAsia="仿宋" w:hAnsi="Arial" w:cs="Arial"/>
          <w:sz w:val="28"/>
          <w:szCs w:val="28"/>
        </w:rPr>
        <w:t>级地价区，该级别《区片基准地价因素总修正幅度表》如下：</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1886"/>
        <w:gridCol w:w="1204"/>
        <w:gridCol w:w="1204"/>
        <w:gridCol w:w="1204"/>
        <w:gridCol w:w="1064"/>
        <w:gridCol w:w="1344"/>
      </w:tblGrid>
      <w:tr w:rsidR="0062768B" w14:paraId="2D63DD6C" w14:textId="77777777">
        <w:trPr>
          <w:trHeight w:val="430"/>
          <w:jc w:val="center"/>
        </w:trPr>
        <w:tc>
          <w:tcPr>
            <w:tcW w:w="1022" w:type="dxa"/>
            <w:shd w:val="clear" w:color="auto" w:fill="auto"/>
            <w:vAlign w:val="center"/>
          </w:tcPr>
          <w:p w14:paraId="7880A4A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级别</w:t>
            </w:r>
          </w:p>
        </w:tc>
        <w:tc>
          <w:tcPr>
            <w:tcW w:w="1886" w:type="dxa"/>
            <w:shd w:val="clear" w:color="auto" w:fill="auto"/>
            <w:vAlign w:val="center"/>
          </w:tcPr>
          <w:p w14:paraId="7A38A7F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区片编号</w:t>
            </w:r>
          </w:p>
        </w:tc>
        <w:tc>
          <w:tcPr>
            <w:tcW w:w="1204" w:type="dxa"/>
            <w:shd w:val="clear" w:color="auto" w:fill="auto"/>
            <w:vAlign w:val="center"/>
          </w:tcPr>
          <w:p w14:paraId="6A90120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商业类</w:t>
            </w:r>
          </w:p>
        </w:tc>
        <w:tc>
          <w:tcPr>
            <w:tcW w:w="1204" w:type="dxa"/>
            <w:shd w:val="clear" w:color="auto" w:fill="auto"/>
            <w:vAlign w:val="center"/>
          </w:tcPr>
          <w:p w14:paraId="3410A76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办公类</w:t>
            </w:r>
          </w:p>
        </w:tc>
        <w:tc>
          <w:tcPr>
            <w:tcW w:w="1204" w:type="dxa"/>
            <w:shd w:val="clear" w:color="auto" w:fill="auto"/>
            <w:vAlign w:val="center"/>
          </w:tcPr>
          <w:p w14:paraId="7DF2125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住宅类</w:t>
            </w:r>
          </w:p>
        </w:tc>
        <w:tc>
          <w:tcPr>
            <w:tcW w:w="1064" w:type="dxa"/>
            <w:shd w:val="clear" w:color="auto" w:fill="auto"/>
            <w:vAlign w:val="center"/>
          </w:tcPr>
          <w:p w14:paraId="4AB6BF9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工业类</w:t>
            </w:r>
          </w:p>
        </w:tc>
        <w:tc>
          <w:tcPr>
            <w:tcW w:w="1344" w:type="dxa"/>
            <w:shd w:val="clear" w:color="auto" w:fill="auto"/>
            <w:vAlign w:val="center"/>
          </w:tcPr>
          <w:p w14:paraId="5FDFF26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公共服务类</w:t>
            </w:r>
          </w:p>
        </w:tc>
      </w:tr>
      <w:tr w:rsidR="0062768B" w14:paraId="15562ED4" w14:textId="77777777">
        <w:trPr>
          <w:trHeight w:val="265"/>
          <w:jc w:val="center"/>
        </w:trPr>
        <w:tc>
          <w:tcPr>
            <w:tcW w:w="1022" w:type="dxa"/>
            <w:vMerge w:val="restart"/>
            <w:shd w:val="clear" w:color="auto" w:fill="auto"/>
            <w:vAlign w:val="center"/>
          </w:tcPr>
          <w:p w14:paraId="6B3236F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九级</w:t>
            </w:r>
          </w:p>
        </w:tc>
        <w:tc>
          <w:tcPr>
            <w:tcW w:w="1886" w:type="dxa"/>
            <w:shd w:val="clear" w:color="auto" w:fill="auto"/>
            <w:vAlign w:val="center"/>
          </w:tcPr>
          <w:p w14:paraId="0072E36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-01</w:t>
            </w:r>
          </w:p>
        </w:tc>
        <w:tc>
          <w:tcPr>
            <w:tcW w:w="1204" w:type="dxa"/>
            <w:shd w:val="clear" w:color="auto" w:fill="auto"/>
            <w:vAlign w:val="center"/>
          </w:tcPr>
          <w:p w14:paraId="528A485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E07449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7DE751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4C3F14A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2B090D7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68359A34" w14:textId="77777777">
        <w:trPr>
          <w:trHeight w:val="265"/>
          <w:jc w:val="center"/>
        </w:trPr>
        <w:tc>
          <w:tcPr>
            <w:tcW w:w="1022" w:type="dxa"/>
            <w:vMerge/>
            <w:shd w:val="clear" w:color="auto" w:fill="auto"/>
            <w:vAlign w:val="center"/>
          </w:tcPr>
          <w:p w14:paraId="264F2F05"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6CB888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-02</w:t>
            </w:r>
          </w:p>
        </w:tc>
        <w:tc>
          <w:tcPr>
            <w:tcW w:w="1204" w:type="dxa"/>
            <w:shd w:val="clear" w:color="auto" w:fill="auto"/>
            <w:vAlign w:val="center"/>
          </w:tcPr>
          <w:p w14:paraId="0941F90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2FBC57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FD3D92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0D3E5C0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2C5C33A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1FE4420A" w14:textId="77777777">
        <w:trPr>
          <w:trHeight w:val="265"/>
          <w:jc w:val="center"/>
        </w:trPr>
        <w:tc>
          <w:tcPr>
            <w:tcW w:w="1022" w:type="dxa"/>
            <w:vMerge/>
            <w:shd w:val="clear" w:color="auto" w:fill="auto"/>
            <w:vAlign w:val="center"/>
          </w:tcPr>
          <w:p w14:paraId="6B699A40"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D4F6F8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门</w:t>
            </w:r>
            <w:r>
              <w:rPr>
                <w:rFonts w:ascii="Arial" w:eastAsia="仿宋" w:hAnsi="Arial" w:cs="Arial" w:hint="eastAsia"/>
                <w:sz w:val="21"/>
                <w:szCs w:val="21"/>
              </w:rPr>
              <w:t>1</w:t>
            </w:r>
          </w:p>
        </w:tc>
        <w:tc>
          <w:tcPr>
            <w:tcW w:w="1204" w:type="dxa"/>
            <w:shd w:val="clear" w:color="auto" w:fill="auto"/>
            <w:vAlign w:val="center"/>
          </w:tcPr>
          <w:p w14:paraId="7B7665A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825DEA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FDB8E9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14FA6CE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6631CF2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CA61867" w14:textId="77777777">
        <w:trPr>
          <w:trHeight w:val="265"/>
          <w:jc w:val="center"/>
        </w:trPr>
        <w:tc>
          <w:tcPr>
            <w:tcW w:w="1022" w:type="dxa"/>
            <w:vMerge/>
            <w:shd w:val="clear" w:color="auto" w:fill="auto"/>
            <w:vAlign w:val="center"/>
          </w:tcPr>
          <w:p w14:paraId="12C648AF"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BDF2D4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门</w:t>
            </w:r>
            <w:r>
              <w:rPr>
                <w:rFonts w:ascii="Arial" w:eastAsia="仿宋" w:hAnsi="Arial" w:cs="Arial" w:hint="eastAsia"/>
                <w:sz w:val="21"/>
                <w:szCs w:val="21"/>
              </w:rPr>
              <w:t>2</w:t>
            </w:r>
          </w:p>
        </w:tc>
        <w:tc>
          <w:tcPr>
            <w:tcW w:w="1204" w:type="dxa"/>
            <w:shd w:val="clear" w:color="auto" w:fill="auto"/>
            <w:vAlign w:val="center"/>
          </w:tcPr>
          <w:p w14:paraId="1BD7DBA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31147C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8FAFE5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1FFC758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333468D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57C225FB" w14:textId="77777777">
        <w:trPr>
          <w:trHeight w:val="265"/>
          <w:jc w:val="center"/>
        </w:trPr>
        <w:tc>
          <w:tcPr>
            <w:tcW w:w="1022" w:type="dxa"/>
            <w:vMerge/>
            <w:shd w:val="clear" w:color="auto" w:fill="auto"/>
            <w:vAlign w:val="center"/>
          </w:tcPr>
          <w:p w14:paraId="0B0318A3"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10D4EA6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proofErr w:type="gramStart"/>
            <w:r>
              <w:rPr>
                <w:rFonts w:ascii="Arial" w:eastAsia="仿宋" w:hAnsi="Arial" w:cs="Arial" w:hint="eastAsia"/>
                <w:sz w:val="21"/>
                <w:szCs w:val="21"/>
              </w:rPr>
              <w:t>门潭</w:t>
            </w:r>
            <w:proofErr w:type="gramEnd"/>
          </w:p>
        </w:tc>
        <w:tc>
          <w:tcPr>
            <w:tcW w:w="1204" w:type="dxa"/>
            <w:shd w:val="clear" w:color="auto" w:fill="auto"/>
            <w:vAlign w:val="center"/>
          </w:tcPr>
          <w:p w14:paraId="5330317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AE5FB0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63DCAEE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242EF94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391E3AC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36162B99" w14:textId="77777777">
        <w:trPr>
          <w:trHeight w:val="265"/>
          <w:jc w:val="center"/>
        </w:trPr>
        <w:tc>
          <w:tcPr>
            <w:tcW w:w="1022" w:type="dxa"/>
            <w:vMerge/>
            <w:shd w:val="clear" w:color="auto" w:fill="auto"/>
            <w:vAlign w:val="center"/>
          </w:tcPr>
          <w:p w14:paraId="4E37FCC7"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4E93C0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w:t>
            </w:r>
            <w:r>
              <w:rPr>
                <w:rFonts w:ascii="Arial" w:eastAsia="仿宋" w:hAnsi="Arial" w:cs="Arial" w:hint="eastAsia"/>
                <w:sz w:val="21"/>
                <w:szCs w:val="21"/>
              </w:rPr>
              <w:t>1</w:t>
            </w:r>
          </w:p>
        </w:tc>
        <w:tc>
          <w:tcPr>
            <w:tcW w:w="1204" w:type="dxa"/>
            <w:shd w:val="clear" w:color="auto" w:fill="auto"/>
            <w:vAlign w:val="center"/>
          </w:tcPr>
          <w:p w14:paraId="12B0BB4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10E3BE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A1C2EC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663C8FA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344" w:type="dxa"/>
            <w:shd w:val="clear" w:color="auto" w:fill="auto"/>
            <w:vAlign w:val="center"/>
          </w:tcPr>
          <w:p w14:paraId="3C5F7B9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6DC031B2" w14:textId="77777777">
        <w:trPr>
          <w:trHeight w:val="265"/>
          <w:jc w:val="center"/>
        </w:trPr>
        <w:tc>
          <w:tcPr>
            <w:tcW w:w="1022" w:type="dxa"/>
            <w:vMerge/>
            <w:shd w:val="clear" w:color="auto" w:fill="auto"/>
            <w:vAlign w:val="center"/>
          </w:tcPr>
          <w:p w14:paraId="0B936633"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0C46F4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w:t>
            </w:r>
            <w:r>
              <w:rPr>
                <w:rFonts w:ascii="Arial" w:eastAsia="仿宋" w:hAnsi="Arial" w:cs="Arial" w:hint="eastAsia"/>
                <w:sz w:val="21"/>
                <w:szCs w:val="21"/>
              </w:rPr>
              <w:t>2</w:t>
            </w:r>
          </w:p>
        </w:tc>
        <w:tc>
          <w:tcPr>
            <w:tcW w:w="1204" w:type="dxa"/>
            <w:shd w:val="clear" w:color="auto" w:fill="auto"/>
            <w:vAlign w:val="center"/>
          </w:tcPr>
          <w:p w14:paraId="7AEE75F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931AB1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17DDAD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04412E2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c>
          <w:tcPr>
            <w:tcW w:w="1344" w:type="dxa"/>
            <w:shd w:val="clear" w:color="auto" w:fill="auto"/>
            <w:vAlign w:val="center"/>
          </w:tcPr>
          <w:p w14:paraId="5393F23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4D0F0149" w14:textId="77777777">
        <w:trPr>
          <w:trHeight w:val="265"/>
          <w:jc w:val="center"/>
        </w:trPr>
        <w:tc>
          <w:tcPr>
            <w:tcW w:w="1022" w:type="dxa"/>
            <w:vMerge/>
            <w:shd w:val="clear" w:color="auto" w:fill="auto"/>
            <w:vAlign w:val="center"/>
          </w:tcPr>
          <w:p w14:paraId="013F7453"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A5E54F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w:t>
            </w:r>
            <w:r>
              <w:rPr>
                <w:rFonts w:ascii="Arial" w:eastAsia="仿宋" w:hAnsi="Arial" w:cs="Arial" w:hint="eastAsia"/>
                <w:sz w:val="21"/>
                <w:szCs w:val="21"/>
              </w:rPr>
              <w:t>3</w:t>
            </w:r>
          </w:p>
        </w:tc>
        <w:tc>
          <w:tcPr>
            <w:tcW w:w="1204" w:type="dxa"/>
            <w:shd w:val="clear" w:color="auto" w:fill="auto"/>
            <w:vAlign w:val="center"/>
          </w:tcPr>
          <w:p w14:paraId="0FEE662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7D1535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477D9E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44F002F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46AF45A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1A37B57" w14:textId="77777777">
        <w:trPr>
          <w:trHeight w:val="265"/>
          <w:jc w:val="center"/>
        </w:trPr>
        <w:tc>
          <w:tcPr>
            <w:tcW w:w="1022" w:type="dxa"/>
            <w:vMerge/>
            <w:shd w:val="clear" w:color="auto" w:fill="auto"/>
            <w:vAlign w:val="center"/>
          </w:tcPr>
          <w:p w14:paraId="53B13884"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0D2087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w:t>
            </w:r>
            <w:r>
              <w:rPr>
                <w:rFonts w:ascii="Arial" w:eastAsia="仿宋" w:hAnsi="Arial" w:cs="Arial" w:hint="eastAsia"/>
                <w:sz w:val="21"/>
                <w:szCs w:val="21"/>
              </w:rPr>
              <w:t>4</w:t>
            </w:r>
          </w:p>
        </w:tc>
        <w:tc>
          <w:tcPr>
            <w:tcW w:w="1204" w:type="dxa"/>
            <w:shd w:val="clear" w:color="auto" w:fill="auto"/>
            <w:vAlign w:val="center"/>
          </w:tcPr>
          <w:p w14:paraId="249C191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37A9ED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622C1C4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5146CEC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2476839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6431A67C" w14:textId="77777777">
        <w:trPr>
          <w:trHeight w:val="265"/>
          <w:jc w:val="center"/>
        </w:trPr>
        <w:tc>
          <w:tcPr>
            <w:tcW w:w="1022" w:type="dxa"/>
            <w:vMerge/>
            <w:shd w:val="clear" w:color="auto" w:fill="auto"/>
            <w:vAlign w:val="center"/>
          </w:tcPr>
          <w:p w14:paraId="27BFB4FD"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08F157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w:t>
            </w:r>
            <w:r>
              <w:rPr>
                <w:rFonts w:ascii="Arial" w:eastAsia="仿宋" w:hAnsi="Arial" w:cs="Arial" w:hint="eastAsia"/>
                <w:sz w:val="21"/>
                <w:szCs w:val="21"/>
              </w:rPr>
              <w:t>5</w:t>
            </w:r>
          </w:p>
        </w:tc>
        <w:tc>
          <w:tcPr>
            <w:tcW w:w="1204" w:type="dxa"/>
            <w:shd w:val="clear" w:color="auto" w:fill="auto"/>
            <w:vAlign w:val="center"/>
          </w:tcPr>
          <w:p w14:paraId="0C3761F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204" w:type="dxa"/>
            <w:shd w:val="clear" w:color="auto" w:fill="auto"/>
            <w:vAlign w:val="center"/>
          </w:tcPr>
          <w:p w14:paraId="43B6954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204" w:type="dxa"/>
            <w:shd w:val="clear" w:color="auto" w:fill="auto"/>
            <w:vAlign w:val="center"/>
          </w:tcPr>
          <w:p w14:paraId="4E8A9C6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369DF88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14.10%</w:t>
            </w:r>
          </w:p>
        </w:tc>
        <w:tc>
          <w:tcPr>
            <w:tcW w:w="1344" w:type="dxa"/>
            <w:shd w:val="clear" w:color="auto" w:fill="auto"/>
            <w:vAlign w:val="center"/>
          </w:tcPr>
          <w:p w14:paraId="65540AD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r>
      <w:tr w:rsidR="0062768B" w14:paraId="628E3914" w14:textId="77777777">
        <w:trPr>
          <w:trHeight w:val="265"/>
          <w:jc w:val="center"/>
        </w:trPr>
        <w:tc>
          <w:tcPr>
            <w:tcW w:w="1022" w:type="dxa"/>
            <w:vMerge/>
            <w:shd w:val="clear" w:color="auto" w:fill="auto"/>
            <w:vAlign w:val="center"/>
          </w:tcPr>
          <w:p w14:paraId="5FCCD9F5"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0D26FF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通</w:t>
            </w:r>
            <w:r>
              <w:rPr>
                <w:rFonts w:ascii="Arial" w:eastAsia="仿宋" w:hAnsi="Arial" w:cs="Arial" w:hint="eastAsia"/>
                <w:sz w:val="21"/>
                <w:szCs w:val="21"/>
              </w:rPr>
              <w:t>1</w:t>
            </w:r>
          </w:p>
        </w:tc>
        <w:tc>
          <w:tcPr>
            <w:tcW w:w="1204" w:type="dxa"/>
            <w:shd w:val="clear" w:color="auto" w:fill="auto"/>
            <w:vAlign w:val="center"/>
          </w:tcPr>
          <w:p w14:paraId="341DEFA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11.00%</w:t>
            </w:r>
          </w:p>
        </w:tc>
        <w:tc>
          <w:tcPr>
            <w:tcW w:w="1204" w:type="dxa"/>
            <w:shd w:val="clear" w:color="auto" w:fill="auto"/>
            <w:vAlign w:val="center"/>
          </w:tcPr>
          <w:p w14:paraId="7B80D2B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11.10%</w:t>
            </w:r>
          </w:p>
        </w:tc>
        <w:tc>
          <w:tcPr>
            <w:tcW w:w="1204" w:type="dxa"/>
            <w:shd w:val="clear" w:color="auto" w:fill="auto"/>
            <w:vAlign w:val="center"/>
          </w:tcPr>
          <w:p w14:paraId="1820443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14.10%</w:t>
            </w:r>
          </w:p>
        </w:tc>
        <w:tc>
          <w:tcPr>
            <w:tcW w:w="1064" w:type="dxa"/>
            <w:shd w:val="clear" w:color="auto" w:fill="auto"/>
            <w:vAlign w:val="center"/>
          </w:tcPr>
          <w:p w14:paraId="28E4EEE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11.00%</w:t>
            </w:r>
          </w:p>
        </w:tc>
        <w:tc>
          <w:tcPr>
            <w:tcW w:w="1344" w:type="dxa"/>
            <w:shd w:val="clear" w:color="auto" w:fill="auto"/>
            <w:vAlign w:val="center"/>
          </w:tcPr>
          <w:p w14:paraId="71AF063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12.00%</w:t>
            </w:r>
          </w:p>
        </w:tc>
      </w:tr>
      <w:tr w:rsidR="0062768B" w14:paraId="45CEF0C9" w14:textId="77777777">
        <w:trPr>
          <w:trHeight w:val="265"/>
          <w:jc w:val="center"/>
        </w:trPr>
        <w:tc>
          <w:tcPr>
            <w:tcW w:w="1022" w:type="dxa"/>
            <w:vMerge/>
            <w:shd w:val="clear" w:color="auto" w:fill="auto"/>
            <w:vAlign w:val="center"/>
          </w:tcPr>
          <w:p w14:paraId="0530B106"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803F73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通</w:t>
            </w:r>
            <w:r>
              <w:rPr>
                <w:rFonts w:ascii="Arial" w:eastAsia="仿宋" w:hAnsi="Arial" w:cs="Arial" w:hint="eastAsia"/>
                <w:sz w:val="21"/>
                <w:szCs w:val="21"/>
              </w:rPr>
              <w:t>2</w:t>
            </w:r>
          </w:p>
        </w:tc>
        <w:tc>
          <w:tcPr>
            <w:tcW w:w="1204" w:type="dxa"/>
            <w:shd w:val="clear" w:color="auto" w:fill="auto"/>
            <w:vAlign w:val="center"/>
          </w:tcPr>
          <w:p w14:paraId="0B2FD02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c>
          <w:tcPr>
            <w:tcW w:w="1204" w:type="dxa"/>
            <w:shd w:val="clear" w:color="auto" w:fill="auto"/>
            <w:vAlign w:val="center"/>
          </w:tcPr>
          <w:p w14:paraId="4450189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14.30%</w:t>
            </w:r>
          </w:p>
        </w:tc>
        <w:tc>
          <w:tcPr>
            <w:tcW w:w="1204" w:type="dxa"/>
            <w:shd w:val="clear" w:color="auto" w:fill="auto"/>
            <w:vAlign w:val="center"/>
          </w:tcPr>
          <w:p w14:paraId="4FCD39B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0F2B226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c>
          <w:tcPr>
            <w:tcW w:w="1344" w:type="dxa"/>
            <w:shd w:val="clear" w:color="auto" w:fill="auto"/>
            <w:vAlign w:val="center"/>
          </w:tcPr>
          <w:p w14:paraId="04D3A0D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r>
      <w:tr w:rsidR="0062768B" w14:paraId="4C871694" w14:textId="77777777">
        <w:trPr>
          <w:trHeight w:val="265"/>
          <w:jc w:val="center"/>
        </w:trPr>
        <w:tc>
          <w:tcPr>
            <w:tcW w:w="1022" w:type="dxa"/>
            <w:vMerge/>
            <w:shd w:val="clear" w:color="auto" w:fill="auto"/>
            <w:vAlign w:val="center"/>
          </w:tcPr>
          <w:p w14:paraId="2EF83932"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3B6F56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顺</w:t>
            </w:r>
            <w:r>
              <w:rPr>
                <w:rFonts w:ascii="Arial" w:eastAsia="仿宋" w:hAnsi="Arial" w:cs="Arial" w:hint="eastAsia"/>
                <w:sz w:val="21"/>
                <w:szCs w:val="21"/>
              </w:rPr>
              <w:t>1</w:t>
            </w:r>
          </w:p>
        </w:tc>
        <w:tc>
          <w:tcPr>
            <w:tcW w:w="1204" w:type="dxa"/>
            <w:shd w:val="clear" w:color="auto" w:fill="auto"/>
            <w:vAlign w:val="center"/>
          </w:tcPr>
          <w:p w14:paraId="1CF139C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14.30%</w:t>
            </w:r>
          </w:p>
        </w:tc>
        <w:tc>
          <w:tcPr>
            <w:tcW w:w="1204" w:type="dxa"/>
            <w:shd w:val="clear" w:color="auto" w:fill="auto"/>
            <w:vAlign w:val="center"/>
          </w:tcPr>
          <w:p w14:paraId="6D42341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14.30%</w:t>
            </w:r>
          </w:p>
        </w:tc>
        <w:tc>
          <w:tcPr>
            <w:tcW w:w="1204" w:type="dxa"/>
            <w:shd w:val="clear" w:color="auto" w:fill="auto"/>
            <w:vAlign w:val="center"/>
          </w:tcPr>
          <w:p w14:paraId="1FD594C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14.80%</w:t>
            </w:r>
          </w:p>
        </w:tc>
        <w:tc>
          <w:tcPr>
            <w:tcW w:w="1064" w:type="dxa"/>
            <w:shd w:val="clear" w:color="auto" w:fill="auto"/>
            <w:vAlign w:val="center"/>
          </w:tcPr>
          <w:p w14:paraId="5FB8525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c>
          <w:tcPr>
            <w:tcW w:w="1344" w:type="dxa"/>
            <w:shd w:val="clear" w:color="auto" w:fill="auto"/>
            <w:vAlign w:val="center"/>
          </w:tcPr>
          <w:p w14:paraId="3D3C474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r>
      <w:tr w:rsidR="0062768B" w14:paraId="48B8C444" w14:textId="77777777">
        <w:trPr>
          <w:trHeight w:val="265"/>
          <w:jc w:val="center"/>
        </w:trPr>
        <w:tc>
          <w:tcPr>
            <w:tcW w:w="1022" w:type="dxa"/>
            <w:vMerge/>
            <w:shd w:val="clear" w:color="auto" w:fill="auto"/>
            <w:vAlign w:val="center"/>
          </w:tcPr>
          <w:p w14:paraId="757A16E9"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67CDDF1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顺</w:t>
            </w:r>
            <w:r>
              <w:rPr>
                <w:rFonts w:ascii="Arial" w:eastAsia="仿宋" w:hAnsi="Arial" w:cs="Arial" w:hint="eastAsia"/>
                <w:sz w:val="21"/>
                <w:szCs w:val="21"/>
              </w:rPr>
              <w:t>2</w:t>
            </w:r>
          </w:p>
        </w:tc>
        <w:tc>
          <w:tcPr>
            <w:tcW w:w="1204" w:type="dxa"/>
            <w:shd w:val="clear" w:color="auto" w:fill="auto"/>
            <w:vAlign w:val="center"/>
          </w:tcPr>
          <w:p w14:paraId="5FF4EF6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14.80%</w:t>
            </w:r>
          </w:p>
        </w:tc>
        <w:tc>
          <w:tcPr>
            <w:tcW w:w="1204" w:type="dxa"/>
            <w:shd w:val="clear" w:color="auto" w:fill="auto"/>
            <w:vAlign w:val="center"/>
          </w:tcPr>
          <w:p w14:paraId="5290AE5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14.90%</w:t>
            </w:r>
          </w:p>
        </w:tc>
        <w:tc>
          <w:tcPr>
            <w:tcW w:w="1204" w:type="dxa"/>
            <w:shd w:val="clear" w:color="auto" w:fill="auto"/>
            <w:vAlign w:val="center"/>
          </w:tcPr>
          <w:p w14:paraId="137CFF5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3D5DA91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12.70%</w:t>
            </w:r>
          </w:p>
        </w:tc>
        <w:tc>
          <w:tcPr>
            <w:tcW w:w="1344" w:type="dxa"/>
            <w:shd w:val="clear" w:color="auto" w:fill="auto"/>
            <w:vAlign w:val="center"/>
          </w:tcPr>
          <w:p w14:paraId="4D2CBF6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2D99DC87" w14:textId="77777777">
        <w:trPr>
          <w:trHeight w:val="265"/>
          <w:jc w:val="center"/>
        </w:trPr>
        <w:tc>
          <w:tcPr>
            <w:tcW w:w="1022" w:type="dxa"/>
            <w:vMerge/>
            <w:shd w:val="clear" w:color="auto" w:fill="auto"/>
            <w:vAlign w:val="center"/>
          </w:tcPr>
          <w:p w14:paraId="734E2E5B"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1955481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顺</w:t>
            </w:r>
            <w:r>
              <w:rPr>
                <w:rFonts w:ascii="Arial" w:eastAsia="仿宋" w:hAnsi="Arial" w:cs="Arial" w:hint="eastAsia"/>
                <w:sz w:val="21"/>
                <w:szCs w:val="21"/>
              </w:rPr>
              <w:t>3</w:t>
            </w:r>
          </w:p>
        </w:tc>
        <w:tc>
          <w:tcPr>
            <w:tcW w:w="1204" w:type="dxa"/>
            <w:shd w:val="clear" w:color="auto" w:fill="auto"/>
            <w:vAlign w:val="center"/>
          </w:tcPr>
          <w:p w14:paraId="77BBEEC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FC4204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216676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5089DC1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14.90%</w:t>
            </w:r>
          </w:p>
        </w:tc>
        <w:tc>
          <w:tcPr>
            <w:tcW w:w="1344" w:type="dxa"/>
            <w:shd w:val="clear" w:color="auto" w:fill="auto"/>
            <w:vAlign w:val="center"/>
          </w:tcPr>
          <w:p w14:paraId="53CE54D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28468759" w14:textId="77777777">
        <w:trPr>
          <w:trHeight w:val="265"/>
          <w:jc w:val="center"/>
        </w:trPr>
        <w:tc>
          <w:tcPr>
            <w:tcW w:w="1022" w:type="dxa"/>
            <w:vMerge/>
            <w:shd w:val="clear" w:color="auto" w:fill="auto"/>
            <w:vAlign w:val="center"/>
          </w:tcPr>
          <w:p w14:paraId="02ADFCC4"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67C696E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顺</w:t>
            </w:r>
            <w:r>
              <w:rPr>
                <w:rFonts w:ascii="Arial" w:eastAsia="仿宋" w:hAnsi="Arial" w:cs="Arial" w:hint="eastAsia"/>
                <w:sz w:val="21"/>
                <w:szCs w:val="21"/>
              </w:rPr>
              <w:t>4</w:t>
            </w:r>
          </w:p>
        </w:tc>
        <w:tc>
          <w:tcPr>
            <w:tcW w:w="1204" w:type="dxa"/>
            <w:shd w:val="clear" w:color="auto" w:fill="auto"/>
            <w:vAlign w:val="center"/>
          </w:tcPr>
          <w:p w14:paraId="4897585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124ABD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6E2283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4D2D5AE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c>
          <w:tcPr>
            <w:tcW w:w="1344" w:type="dxa"/>
            <w:shd w:val="clear" w:color="auto" w:fill="auto"/>
            <w:vAlign w:val="center"/>
          </w:tcPr>
          <w:p w14:paraId="600483F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5365051" w14:textId="77777777">
        <w:trPr>
          <w:trHeight w:val="265"/>
          <w:jc w:val="center"/>
        </w:trPr>
        <w:tc>
          <w:tcPr>
            <w:tcW w:w="1022" w:type="dxa"/>
            <w:vMerge/>
            <w:shd w:val="clear" w:color="auto" w:fill="auto"/>
            <w:vAlign w:val="center"/>
          </w:tcPr>
          <w:p w14:paraId="34C33028"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F1B4BA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顺</w:t>
            </w:r>
            <w:r>
              <w:rPr>
                <w:rFonts w:ascii="Arial" w:eastAsia="仿宋" w:hAnsi="Arial" w:cs="Arial" w:hint="eastAsia"/>
                <w:sz w:val="21"/>
                <w:szCs w:val="21"/>
              </w:rPr>
              <w:t>5</w:t>
            </w:r>
          </w:p>
        </w:tc>
        <w:tc>
          <w:tcPr>
            <w:tcW w:w="1204" w:type="dxa"/>
            <w:shd w:val="clear" w:color="auto" w:fill="auto"/>
            <w:vAlign w:val="center"/>
          </w:tcPr>
          <w:p w14:paraId="1532B07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4A9B5A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DAAA66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66BDA17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344" w:type="dxa"/>
            <w:shd w:val="clear" w:color="auto" w:fill="auto"/>
            <w:vAlign w:val="center"/>
          </w:tcPr>
          <w:p w14:paraId="13E938D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32F04580" w14:textId="77777777">
        <w:trPr>
          <w:trHeight w:val="265"/>
          <w:jc w:val="center"/>
        </w:trPr>
        <w:tc>
          <w:tcPr>
            <w:tcW w:w="1022" w:type="dxa"/>
            <w:vMerge/>
            <w:shd w:val="clear" w:color="auto" w:fill="auto"/>
            <w:vAlign w:val="center"/>
          </w:tcPr>
          <w:p w14:paraId="3FB426D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D41EF4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昌</w:t>
            </w:r>
            <w:r>
              <w:rPr>
                <w:rFonts w:ascii="Arial" w:eastAsia="仿宋" w:hAnsi="Arial" w:cs="Arial" w:hint="eastAsia"/>
                <w:sz w:val="21"/>
                <w:szCs w:val="21"/>
              </w:rPr>
              <w:t>1</w:t>
            </w:r>
          </w:p>
        </w:tc>
        <w:tc>
          <w:tcPr>
            <w:tcW w:w="1204" w:type="dxa"/>
            <w:shd w:val="clear" w:color="auto" w:fill="auto"/>
            <w:vAlign w:val="center"/>
          </w:tcPr>
          <w:p w14:paraId="658537F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2C1733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26E1FC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25C61FD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14.90%</w:t>
            </w:r>
          </w:p>
        </w:tc>
        <w:tc>
          <w:tcPr>
            <w:tcW w:w="1344" w:type="dxa"/>
            <w:shd w:val="clear" w:color="auto" w:fill="auto"/>
            <w:vAlign w:val="center"/>
          </w:tcPr>
          <w:p w14:paraId="3CC028F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0F5FA3C7" w14:textId="77777777">
        <w:trPr>
          <w:trHeight w:val="265"/>
          <w:jc w:val="center"/>
        </w:trPr>
        <w:tc>
          <w:tcPr>
            <w:tcW w:w="1022" w:type="dxa"/>
            <w:vMerge/>
            <w:shd w:val="clear" w:color="auto" w:fill="auto"/>
            <w:vAlign w:val="center"/>
          </w:tcPr>
          <w:p w14:paraId="46A71B10"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13C60D4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昌</w:t>
            </w:r>
            <w:r>
              <w:rPr>
                <w:rFonts w:ascii="Arial" w:eastAsia="仿宋" w:hAnsi="Arial" w:cs="Arial" w:hint="eastAsia"/>
                <w:sz w:val="21"/>
                <w:szCs w:val="21"/>
              </w:rPr>
              <w:t>2</w:t>
            </w:r>
          </w:p>
        </w:tc>
        <w:tc>
          <w:tcPr>
            <w:tcW w:w="1204" w:type="dxa"/>
            <w:shd w:val="clear" w:color="auto" w:fill="auto"/>
            <w:vAlign w:val="center"/>
          </w:tcPr>
          <w:p w14:paraId="2FF930A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5CCE6F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0C5593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4DFC516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14.80%</w:t>
            </w:r>
          </w:p>
        </w:tc>
        <w:tc>
          <w:tcPr>
            <w:tcW w:w="1344" w:type="dxa"/>
            <w:shd w:val="clear" w:color="auto" w:fill="auto"/>
            <w:vAlign w:val="center"/>
          </w:tcPr>
          <w:p w14:paraId="63CB754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23BE02B9" w14:textId="77777777">
        <w:trPr>
          <w:trHeight w:val="265"/>
          <w:jc w:val="center"/>
        </w:trPr>
        <w:tc>
          <w:tcPr>
            <w:tcW w:w="1022" w:type="dxa"/>
            <w:vMerge/>
            <w:shd w:val="clear" w:color="auto" w:fill="auto"/>
            <w:vAlign w:val="center"/>
          </w:tcPr>
          <w:p w14:paraId="631AC17D"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147DBB1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昌</w:t>
            </w:r>
            <w:r>
              <w:rPr>
                <w:rFonts w:ascii="Arial" w:eastAsia="仿宋" w:hAnsi="Arial" w:cs="Arial" w:hint="eastAsia"/>
                <w:sz w:val="21"/>
                <w:szCs w:val="21"/>
              </w:rPr>
              <w:t>3</w:t>
            </w:r>
          </w:p>
        </w:tc>
        <w:tc>
          <w:tcPr>
            <w:tcW w:w="1204" w:type="dxa"/>
            <w:shd w:val="clear" w:color="auto" w:fill="auto"/>
            <w:vAlign w:val="center"/>
          </w:tcPr>
          <w:p w14:paraId="367F43A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B53903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FD0AEC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63CDDA7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c>
          <w:tcPr>
            <w:tcW w:w="1344" w:type="dxa"/>
            <w:shd w:val="clear" w:color="auto" w:fill="auto"/>
            <w:vAlign w:val="center"/>
          </w:tcPr>
          <w:p w14:paraId="6B43D13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8858713" w14:textId="77777777">
        <w:trPr>
          <w:trHeight w:val="265"/>
          <w:jc w:val="center"/>
        </w:trPr>
        <w:tc>
          <w:tcPr>
            <w:tcW w:w="1022" w:type="dxa"/>
            <w:vMerge/>
            <w:shd w:val="clear" w:color="auto" w:fill="auto"/>
            <w:vAlign w:val="center"/>
          </w:tcPr>
          <w:p w14:paraId="4B7B41A8"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292AAB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昌</w:t>
            </w:r>
            <w:r>
              <w:rPr>
                <w:rFonts w:ascii="Arial" w:eastAsia="仿宋" w:hAnsi="Arial" w:cs="Arial" w:hint="eastAsia"/>
                <w:sz w:val="21"/>
                <w:szCs w:val="21"/>
              </w:rPr>
              <w:t>4</w:t>
            </w:r>
          </w:p>
        </w:tc>
        <w:tc>
          <w:tcPr>
            <w:tcW w:w="1204" w:type="dxa"/>
            <w:shd w:val="clear" w:color="auto" w:fill="auto"/>
            <w:vAlign w:val="center"/>
          </w:tcPr>
          <w:p w14:paraId="5FAB07E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F5B7E0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3FE296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38875F5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344" w:type="dxa"/>
            <w:shd w:val="clear" w:color="auto" w:fill="auto"/>
            <w:vAlign w:val="center"/>
          </w:tcPr>
          <w:p w14:paraId="3C6136F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49A64508" w14:textId="77777777">
        <w:trPr>
          <w:trHeight w:val="265"/>
          <w:jc w:val="center"/>
        </w:trPr>
        <w:tc>
          <w:tcPr>
            <w:tcW w:w="1022" w:type="dxa"/>
            <w:vMerge/>
            <w:shd w:val="clear" w:color="auto" w:fill="auto"/>
            <w:vAlign w:val="center"/>
          </w:tcPr>
          <w:p w14:paraId="359BE7B4"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914AB5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昌</w:t>
            </w:r>
            <w:r>
              <w:rPr>
                <w:rFonts w:ascii="Arial" w:eastAsia="仿宋" w:hAnsi="Arial" w:cs="Arial" w:hint="eastAsia"/>
                <w:sz w:val="21"/>
                <w:szCs w:val="21"/>
              </w:rPr>
              <w:t>5</w:t>
            </w:r>
          </w:p>
        </w:tc>
        <w:tc>
          <w:tcPr>
            <w:tcW w:w="1204" w:type="dxa"/>
            <w:shd w:val="clear" w:color="auto" w:fill="auto"/>
            <w:vAlign w:val="center"/>
          </w:tcPr>
          <w:p w14:paraId="68FE4FB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F443BB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7B517A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795958E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73B3894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26D1C2C3" w14:textId="77777777">
        <w:trPr>
          <w:trHeight w:val="265"/>
          <w:jc w:val="center"/>
        </w:trPr>
        <w:tc>
          <w:tcPr>
            <w:tcW w:w="1022" w:type="dxa"/>
            <w:vMerge/>
            <w:shd w:val="clear" w:color="auto" w:fill="auto"/>
            <w:vAlign w:val="center"/>
          </w:tcPr>
          <w:p w14:paraId="0AB30E77"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123E947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兴</w:t>
            </w:r>
            <w:r>
              <w:rPr>
                <w:rFonts w:ascii="Arial" w:eastAsia="仿宋" w:hAnsi="Arial" w:cs="Arial" w:hint="eastAsia"/>
                <w:sz w:val="21"/>
                <w:szCs w:val="21"/>
              </w:rPr>
              <w:t>1</w:t>
            </w:r>
          </w:p>
        </w:tc>
        <w:tc>
          <w:tcPr>
            <w:tcW w:w="1204" w:type="dxa"/>
            <w:shd w:val="clear" w:color="auto" w:fill="auto"/>
            <w:vAlign w:val="center"/>
          </w:tcPr>
          <w:p w14:paraId="05D1892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2871EF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4BBD15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545B71E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344" w:type="dxa"/>
            <w:shd w:val="clear" w:color="auto" w:fill="auto"/>
            <w:vAlign w:val="center"/>
          </w:tcPr>
          <w:p w14:paraId="532E006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56F3A9DE" w14:textId="77777777">
        <w:trPr>
          <w:trHeight w:val="265"/>
          <w:jc w:val="center"/>
        </w:trPr>
        <w:tc>
          <w:tcPr>
            <w:tcW w:w="1022" w:type="dxa"/>
            <w:vMerge/>
            <w:shd w:val="clear" w:color="auto" w:fill="auto"/>
            <w:vAlign w:val="center"/>
          </w:tcPr>
          <w:p w14:paraId="582982CA"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B8B51F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兴</w:t>
            </w:r>
            <w:r>
              <w:rPr>
                <w:rFonts w:ascii="Arial" w:eastAsia="仿宋" w:hAnsi="Arial" w:cs="Arial" w:hint="eastAsia"/>
                <w:sz w:val="21"/>
                <w:szCs w:val="21"/>
              </w:rPr>
              <w:t>2</w:t>
            </w:r>
          </w:p>
        </w:tc>
        <w:tc>
          <w:tcPr>
            <w:tcW w:w="1204" w:type="dxa"/>
            <w:shd w:val="clear" w:color="auto" w:fill="auto"/>
            <w:vAlign w:val="center"/>
          </w:tcPr>
          <w:p w14:paraId="3AD3DDE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6CF5903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3AB1E0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76AC7A8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14.60%</w:t>
            </w:r>
          </w:p>
        </w:tc>
        <w:tc>
          <w:tcPr>
            <w:tcW w:w="1344" w:type="dxa"/>
            <w:shd w:val="clear" w:color="auto" w:fill="auto"/>
            <w:vAlign w:val="center"/>
          </w:tcPr>
          <w:p w14:paraId="51E4F0B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167B02D9" w14:textId="77777777">
        <w:trPr>
          <w:trHeight w:val="265"/>
          <w:jc w:val="center"/>
        </w:trPr>
        <w:tc>
          <w:tcPr>
            <w:tcW w:w="1022" w:type="dxa"/>
            <w:vMerge/>
            <w:shd w:val="clear" w:color="auto" w:fill="auto"/>
            <w:vAlign w:val="center"/>
          </w:tcPr>
          <w:p w14:paraId="5CC8A07C"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17C1920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兴</w:t>
            </w:r>
            <w:r>
              <w:rPr>
                <w:rFonts w:ascii="Arial" w:eastAsia="仿宋" w:hAnsi="Arial" w:cs="Arial" w:hint="eastAsia"/>
                <w:sz w:val="21"/>
                <w:szCs w:val="21"/>
              </w:rPr>
              <w:t>3</w:t>
            </w:r>
          </w:p>
        </w:tc>
        <w:tc>
          <w:tcPr>
            <w:tcW w:w="1204" w:type="dxa"/>
            <w:shd w:val="clear" w:color="auto" w:fill="auto"/>
            <w:vAlign w:val="center"/>
          </w:tcPr>
          <w:p w14:paraId="780C26B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12.60%</w:t>
            </w:r>
          </w:p>
        </w:tc>
        <w:tc>
          <w:tcPr>
            <w:tcW w:w="1204" w:type="dxa"/>
            <w:shd w:val="clear" w:color="auto" w:fill="auto"/>
            <w:vAlign w:val="center"/>
          </w:tcPr>
          <w:p w14:paraId="0535B38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12.40%</w:t>
            </w:r>
          </w:p>
        </w:tc>
        <w:tc>
          <w:tcPr>
            <w:tcW w:w="1204" w:type="dxa"/>
            <w:shd w:val="clear" w:color="auto" w:fill="auto"/>
            <w:vAlign w:val="center"/>
          </w:tcPr>
          <w:p w14:paraId="7834869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14.10%</w:t>
            </w:r>
          </w:p>
        </w:tc>
        <w:tc>
          <w:tcPr>
            <w:tcW w:w="1064" w:type="dxa"/>
            <w:shd w:val="clear" w:color="auto" w:fill="auto"/>
            <w:vAlign w:val="center"/>
          </w:tcPr>
          <w:p w14:paraId="121D806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c>
          <w:tcPr>
            <w:tcW w:w="1344" w:type="dxa"/>
            <w:shd w:val="clear" w:color="auto" w:fill="auto"/>
            <w:vAlign w:val="center"/>
          </w:tcPr>
          <w:p w14:paraId="10D3554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13.00%</w:t>
            </w:r>
          </w:p>
        </w:tc>
      </w:tr>
      <w:tr w:rsidR="0062768B" w14:paraId="1FDCFA60" w14:textId="77777777">
        <w:trPr>
          <w:trHeight w:val="265"/>
          <w:jc w:val="center"/>
        </w:trPr>
        <w:tc>
          <w:tcPr>
            <w:tcW w:w="1022" w:type="dxa"/>
            <w:vMerge/>
            <w:shd w:val="clear" w:color="auto" w:fill="auto"/>
            <w:vAlign w:val="center"/>
          </w:tcPr>
          <w:p w14:paraId="0828FCF4"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77CC00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怀</w:t>
            </w:r>
            <w:r>
              <w:rPr>
                <w:rFonts w:ascii="Arial" w:eastAsia="仿宋" w:hAnsi="Arial" w:cs="Arial" w:hint="eastAsia"/>
                <w:sz w:val="21"/>
                <w:szCs w:val="21"/>
              </w:rPr>
              <w:t>1</w:t>
            </w:r>
          </w:p>
        </w:tc>
        <w:tc>
          <w:tcPr>
            <w:tcW w:w="1204" w:type="dxa"/>
            <w:shd w:val="clear" w:color="auto" w:fill="auto"/>
            <w:vAlign w:val="center"/>
          </w:tcPr>
          <w:p w14:paraId="77DEDC5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BB92BF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9D760B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66A7289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14.70%</w:t>
            </w:r>
          </w:p>
        </w:tc>
        <w:tc>
          <w:tcPr>
            <w:tcW w:w="1344" w:type="dxa"/>
            <w:shd w:val="clear" w:color="auto" w:fill="auto"/>
            <w:vAlign w:val="center"/>
          </w:tcPr>
          <w:p w14:paraId="35CD4BA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108D286" w14:textId="77777777">
        <w:trPr>
          <w:trHeight w:val="265"/>
          <w:jc w:val="center"/>
        </w:trPr>
        <w:tc>
          <w:tcPr>
            <w:tcW w:w="1022" w:type="dxa"/>
            <w:vMerge/>
            <w:shd w:val="clear" w:color="auto" w:fill="auto"/>
            <w:vAlign w:val="center"/>
          </w:tcPr>
          <w:p w14:paraId="7B7DF622"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A587E9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怀</w:t>
            </w:r>
            <w:r>
              <w:rPr>
                <w:rFonts w:ascii="Arial" w:eastAsia="仿宋" w:hAnsi="Arial" w:cs="Arial" w:hint="eastAsia"/>
                <w:sz w:val="21"/>
                <w:szCs w:val="21"/>
              </w:rPr>
              <w:t>2</w:t>
            </w:r>
          </w:p>
        </w:tc>
        <w:tc>
          <w:tcPr>
            <w:tcW w:w="1204" w:type="dxa"/>
            <w:shd w:val="clear" w:color="auto" w:fill="auto"/>
            <w:vAlign w:val="center"/>
          </w:tcPr>
          <w:p w14:paraId="1FFC899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6367A6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6302D5D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7ED2DF8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c>
          <w:tcPr>
            <w:tcW w:w="1344" w:type="dxa"/>
            <w:shd w:val="clear" w:color="auto" w:fill="auto"/>
            <w:vAlign w:val="center"/>
          </w:tcPr>
          <w:p w14:paraId="7AD5A43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6A4A85C6" w14:textId="77777777">
        <w:trPr>
          <w:trHeight w:val="265"/>
          <w:jc w:val="center"/>
        </w:trPr>
        <w:tc>
          <w:tcPr>
            <w:tcW w:w="1022" w:type="dxa"/>
            <w:vMerge/>
            <w:shd w:val="clear" w:color="auto" w:fill="auto"/>
            <w:vAlign w:val="center"/>
          </w:tcPr>
          <w:p w14:paraId="7A816014"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04FD3C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怀</w:t>
            </w:r>
            <w:r>
              <w:rPr>
                <w:rFonts w:ascii="Arial" w:eastAsia="仿宋" w:hAnsi="Arial" w:cs="Arial" w:hint="eastAsia"/>
                <w:sz w:val="21"/>
                <w:szCs w:val="21"/>
              </w:rPr>
              <w:t>3</w:t>
            </w:r>
          </w:p>
        </w:tc>
        <w:tc>
          <w:tcPr>
            <w:tcW w:w="1204" w:type="dxa"/>
            <w:shd w:val="clear" w:color="auto" w:fill="auto"/>
            <w:vAlign w:val="center"/>
          </w:tcPr>
          <w:p w14:paraId="217C648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C28F30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9FFE33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38BC1A4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344" w:type="dxa"/>
            <w:shd w:val="clear" w:color="auto" w:fill="auto"/>
            <w:vAlign w:val="center"/>
          </w:tcPr>
          <w:p w14:paraId="234A091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542B7FD" w14:textId="77777777">
        <w:trPr>
          <w:trHeight w:val="265"/>
          <w:jc w:val="center"/>
        </w:trPr>
        <w:tc>
          <w:tcPr>
            <w:tcW w:w="1022" w:type="dxa"/>
            <w:vMerge/>
            <w:shd w:val="clear" w:color="auto" w:fill="auto"/>
            <w:vAlign w:val="center"/>
          </w:tcPr>
          <w:p w14:paraId="47FAEA66"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FFF335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怀</w:t>
            </w:r>
            <w:r>
              <w:rPr>
                <w:rFonts w:ascii="Arial" w:eastAsia="仿宋" w:hAnsi="Arial" w:cs="Arial" w:hint="eastAsia"/>
                <w:sz w:val="21"/>
                <w:szCs w:val="21"/>
              </w:rPr>
              <w:t>4</w:t>
            </w:r>
          </w:p>
        </w:tc>
        <w:tc>
          <w:tcPr>
            <w:tcW w:w="1204" w:type="dxa"/>
            <w:shd w:val="clear" w:color="auto" w:fill="auto"/>
            <w:vAlign w:val="center"/>
          </w:tcPr>
          <w:p w14:paraId="7C61FDE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6566AA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C46332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3C2538A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11.10%</w:t>
            </w:r>
          </w:p>
        </w:tc>
        <w:tc>
          <w:tcPr>
            <w:tcW w:w="1344" w:type="dxa"/>
            <w:shd w:val="clear" w:color="auto" w:fill="auto"/>
            <w:vAlign w:val="center"/>
          </w:tcPr>
          <w:p w14:paraId="7AFA740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5B4895C7" w14:textId="77777777">
        <w:trPr>
          <w:trHeight w:val="265"/>
          <w:jc w:val="center"/>
        </w:trPr>
        <w:tc>
          <w:tcPr>
            <w:tcW w:w="1022" w:type="dxa"/>
            <w:vMerge/>
            <w:shd w:val="clear" w:color="auto" w:fill="auto"/>
            <w:vAlign w:val="center"/>
          </w:tcPr>
          <w:p w14:paraId="1B9957A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64C3728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平</w:t>
            </w:r>
            <w:r>
              <w:rPr>
                <w:rFonts w:ascii="Arial" w:eastAsia="仿宋" w:hAnsi="Arial" w:cs="Arial" w:hint="eastAsia"/>
                <w:sz w:val="21"/>
                <w:szCs w:val="21"/>
              </w:rPr>
              <w:t>1</w:t>
            </w:r>
          </w:p>
        </w:tc>
        <w:tc>
          <w:tcPr>
            <w:tcW w:w="1204" w:type="dxa"/>
            <w:shd w:val="clear" w:color="auto" w:fill="auto"/>
            <w:vAlign w:val="center"/>
          </w:tcPr>
          <w:p w14:paraId="390EC53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6AFE29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493682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460FA91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12.60%</w:t>
            </w:r>
          </w:p>
        </w:tc>
        <w:tc>
          <w:tcPr>
            <w:tcW w:w="1344" w:type="dxa"/>
            <w:shd w:val="clear" w:color="auto" w:fill="auto"/>
            <w:vAlign w:val="center"/>
          </w:tcPr>
          <w:p w14:paraId="61D59F2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551A7AD5" w14:textId="77777777">
        <w:trPr>
          <w:trHeight w:val="265"/>
          <w:jc w:val="center"/>
        </w:trPr>
        <w:tc>
          <w:tcPr>
            <w:tcW w:w="1022" w:type="dxa"/>
            <w:vMerge/>
            <w:shd w:val="clear" w:color="auto" w:fill="auto"/>
            <w:vAlign w:val="center"/>
          </w:tcPr>
          <w:p w14:paraId="0AA6ECFB"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0DE0C0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平</w:t>
            </w:r>
            <w:r>
              <w:rPr>
                <w:rFonts w:ascii="Arial" w:eastAsia="仿宋" w:hAnsi="Arial" w:cs="Arial" w:hint="eastAsia"/>
                <w:sz w:val="21"/>
                <w:szCs w:val="21"/>
              </w:rPr>
              <w:t>2</w:t>
            </w:r>
          </w:p>
        </w:tc>
        <w:tc>
          <w:tcPr>
            <w:tcW w:w="1204" w:type="dxa"/>
            <w:shd w:val="clear" w:color="auto" w:fill="auto"/>
            <w:vAlign w:val="center"/>
          </w:tcPr>
          <w:p w14:paraId="2181821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068F37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550014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794DE8B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12.00%</w:t>
            </w:r>
          </w:p>
        </w:tc>
        <w:tc>
          <w:tcPr>
            <w:tcW w:w="1344" w:type="dxa"/>
            <w:shd w:val="clear" w:color="auto" w:fill="auto"/>
            <w:vAlign w:val="center"/>
          </w:tcPr>
          <w:p w14:paraId="3CE5C09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49F88438" w14:textId="77777777">
        <w:trPr>
          <w:trHeight w:val="265"/>
          <w:jc w:val="center"/>
        </w:trPr>
        <w:tc>
          <w:tcPr>
            <w:tcW w:w="1022" w:type="dxa"/>
            <w:vMerge/>
            <w:shd w:val="clear" w:color="auto" w:fill="auto"/>
            <w:vAlign w:val="center"/>
          </w:tcPr>
          <w:p w14:paraId="73E721A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5021F0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密</w:t>
            </w:r>
            <w:r>
              <w:rPr>
                <w:rFonts w:ascii="Arial" w:eastAsia="仿宋" w:hAnsi="Arial" w:cs="Arial" w:hint="eastAsia"/>
                <w:sz w:val="21"/>
                <w:szCs w:val="21"/>
              </w:rPr>
              <w:t>1</w:t>
            </w:r>
          </w:p>
        </w:tc>
        <w:tc>
          <w:tcPr>
            <w:tcW w:w="1204" w:type="dxa"/>
            <w:shd w:val="clear" w:color="auto" w:fill="auto"/>
            <w:vAlign w:val="center"/>
          </w:tcPr>
          <w:p w14:paraId="3D6D9EB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16EDBC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4F1259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323C380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13.00%</w:t>
            </w:r>
          </w:p>
        </w:tc>
        <w:tc>
          <w:tcPr>
            <w:tcW w:w="1344" w:type="dxa"/>
            <w:shd w:val="clear" w:color="auto" w:fill="auto"/>
            <w:vAlign w:val="center"/>
          </w:tcPr>
          <w:p w14:paraId="4B3EF98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F4A9FFD" w14:textId="77777777">
        <w:trPr>
          <w:trHeight w:val="265"/>
          <w:jc w:val="center"/>
        </w:trPr>
        <w:tc>
          <w:tcPr>
            <w:tcW w:w="1022" w:type="dxa"/>
            <w:vMerge/>
            <w:shd w:val="clear" w:color="auto" w:fill="auto"/>
            <w:vAlign w:val="center"/>
          </w:tcPr>
          <w:p w14:paraId="5DF524B2"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08D9E0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延</w:t>
            </w:r>
            <w:r>
              <w:rPr>
                <w:rFonts w:ascii="Arial" w:eastAsia="仿宋" w:hAnsi="Arial" w:cs="Arial" w:hint="eastAsia"/>
                <w:sz w:val="21"/>
                <w:szCs w:val="21"/>
              </w:rPr>
              <w:t>1</w:t>
            </w:r>
          </w:p>
        </w:tc>
        <w:tc>
          <w:tcPr>
            <w:tcW w:w="1204" w:type="dxa"/>
            <w:shd w:val="clear" w:color="auto" w:fill="auto"/>
            <w:vAlign w:val="center"/>
          </w:tcPr>
          <w:p w14:paraId="73F4327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A408A0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8FBC1A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0D40E36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14.10%</w:t>
            </w:r>
          </w:p>
        </w:tc>
        <w:tc>
          <w:tcPr>
            <w:tcW w:w="1344" w:type="dxa"/>
            <w:shd w:val="clear" w:color="auto" w:fill="auto"/>
            <w:vAlign w:val="center"/>
          </w:tcPr>
          <w:p w14:paraId="0D61E2E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6EB6EFEC" w14:textId="77777777">
        <w:trPr>
          <w:trHeight w:val="265"/>
          <w:jc w:val="center"/>
        </w:trPr>
        <w:tc>
          <w:tcPr>
            <w:tcW w:w="1022" w:type="dxa"/>
            <w:vMerge/>
            <w:shd w:val="clear" w:color="auto" w:fill="auto"/>
            <w:vAlign w:val="center"/>
          </w:tcPr>
          <w:p w14:paraId="6CE8B893"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6FDCF6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延</w:t>
            </w:r>
            <w:r>
              <w:rPr>
                <w:rFonts w:ascii="Arial" w:eastAsia="仿宋" w:hAnsi="Arial" w:cs="Arial" w:hint="eastAsia"/>
                <w:sz w:val="21"/>
                <w:szCs w:val="21"/>
              </w:rPr>
              <w:t>2</w:t>
            </w:r>
          </w:p>
        </w:tc>
        <w:tc>
          <w:tcPr>
            <w:tcW w:w="1204" w:type="dxa"/>
            <w:shd w:val="clear" w:color="auto" w:fill="auto"/>
            <w:vAlign w:val="center"/>
          </w:tcPr>
          <w:p w14:paraId="420B2AF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17D141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6776FB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5F05D1B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7D4C2F1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57FBB905" w14:textId="77777777">
        <w:trPr>
          <w:trHeight w:val="265"/>
          <w:jc w:val="center"/>
        </w:trPr>
        <w:tc>
          <w:tcPr>
            <w:tcW w:w="1022" w:type="dxa"/>
            <w:vMerge/>
            <w:shd w:val="clear" w:color="auto" w:fill="auto"/>
            <w:vAlign w:val="center"/>
          </w:tcPr>
          <w:p w14:paraId="7B1F3308"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6F5B54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亦</w:t>
            </w:r>
            <w:r>
              <w:rPr>
                <w:rFonts w:ascii="Arial" w:eastAsia="仿宋" w:hAnsi="Arial" w:cs="Arial" w:hint="eastAsia"/>
                <w:sz w:val="21"/>
                <w:szCs w:val="21"/>
              </w:rPr>
              <w:t>1</w:t>
            </w:r>
          </w:p>
        </w:tc>
        <w:tc>
          <w:tcPr>
            <w:tcW w:w="1204" w:type="dxa"/>
            <w:shd w:val="clear" w:color="auto" w:fill="auto"/>
            <w:vAlign w:val="center"/>
          </w:tcPr>
          <w:p w14:paraId="4B399E3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13.20%</w:t>
            </w:r>
          </w:p>
        </w:tc>
        <w:tc>
          <w:tcPr>
            <w:tcW w:w="1204" w:type="dxa"/>
            <w:shd w:val="clear" w:color="auto" w:fill="auto"/>
            <w:vAlign w:val="center"/>
          </w:tcPr>
          <w:p w14:paraId="7C76BFC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13.30%</w:t>
            </w:r>
          </w:p>
        </w:tc>
        <w:tc>
          <w:tcPr>
            <w:tcW w:w="1204" w:type="dxa"/>
            <w:shd w:val="clear" w:color="auto" w:fill="auto"/>
            <w:vAlign w:val="center"/>
          </w:tcPr>
          <w:p w14:paraId="72A8FAE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064" w:type="dxa"/>
            <w:shd w:val="clear" w:color="auto" w:fill="auto"/>
            <w:vAlign w:val="center"/>
          </w:tcPr>
          <w:p w14:paraId="57AF662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c>
          <w:tcPr>
            <w:tcW w:w="1344" w:type="dxa"/>
            <w:shd w:val="clear" w:color="auto" w:fill="auto"/>
            <w:vAlign w:val="center"/>
          </w:tcPr>
          <w:p w14:paraId="7EEFFE4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14.00%</w:t>
            </w:r>
          </w:p>
        </w:tc>
      </w:tr>
      <w:tr w:rsidR="0062768B" w14:paraId="531F0039" w14:textId="77777777">
        <w:trPr>
          <w:trHeight w:val="265"/>
          <w:jc w:val="center"/>
        </w:trPr>
        <w:tc>
          <w:tcPr>
            <w:tcW w:w="1022" w:type="dxa"/>
            <w:vMerge/>
            <w:shd w:val="clear" w:color="auto" w:fill="auto"/>
            <w:vAlign w:val="center"/>
          </w:tcPr>
          <w:p w14:paraId="6EF5E82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6AD728B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亦</w:t>
            </w:r>
            <w:r>
              <w:rPr>
                <w:rFonts w:ascii="Arial" w:eastAsia="仿宋" w:hAnsi="Arial" w:cs="Arial" w:hint="eastAsia"/>
                <w:sz w:val="21"/>
                <w:szCs w:val="21"/>
              </w:rPr>
              <w:t>2</w:t>
            </w:r>
          </w:p>
        </w:tc>
        <w:tc>
          <w:tcPr>
            <w:tcW w:w="1204" w:type="dxa"/>
            <w:shd w:val="clear" w:color="auto" w:fill="auto"/>
            <w:vAlign w:val="center"/>
          </w:tcPr>
          <w:p w14:paraId="5B4279C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13.80%</w:t>
            </w:r>
          </w:p>
        </w:tc>
        <w:tc>
          <w:tcPr>
            <w:tcW w:w="1204" w:type="dxa"/>
            <w:shd w:val="clear" w:color="auto" w:fill="auto"/>
            <w:vAlign w:val="center"/>
          </w:tcPr>
          <w:p w14:paraId="2045C9A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14.00%</w:t>
            </w:r>
          </w:p>
        </w:tc>
        <w:tc>
          <w:tcPr>
            <w:tcW w:w="1204" w:type="dxa"/>
            <w:shd w:val="clear" w:color="auto" w:fill="auto"/>
            <w:vAlign w:val="center"/>
          </w:tcPr>
          <w:p w14:paraId="30555AF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14.60%</w:t>
            </w:r>
          </w:p>
        </w:tc>
        <w:tc>
          <w:tcPr>
            <w:tcW w:w="1064" w:type="dxa"/>
            <w:shd w:val="clear" w:color="auto" w:fill="auto"/>
            <w:vAlign w:val="center"/>
          </w:tcPr>
          <w:p w14:paraId="558F8D0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14.90%</w:t>
            </w:r>
          </w:p>
        </w:tc>
        <w:tc>
          <w:tcPr>
            <w:tcW w:w="1344" w:type="dxa"/>
            <w:shd w:val="clear" w:color="auto" w:fill="auto"/>
            <w:vAlign w:val="center"/>
          </w:tcPr>
          <w:p w14:paraId="7F21EA1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r>
      <w:tr w:rsidR="0062768B" w14:paraId="6CBA9E6F" w14:textId="77777777">
        <w:trPr>
          <w:trHeight w:val="265"/>
          <w:jc w:val="center"/>
        </w:trPr>
        <w:tc>
          <w:tcPr>
            <w:tcW w:w="1022" w:type="dxa"/>
            <w:vMerge/>
            <w:shd w:val="clear" w:color="auto" w:fill="auto"/>
            <w:vAlign w:val="center"/>
          </w:tcPr>
          <w:p w14:paraId="675872A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732883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亦</w:t>
            </w:r>
            <w:r>
              <w:rPr>
                <w:rFonts w:ascii="Arial" w:eastAsia="仿宋" w:hAnsi="Arial" w:cs="Arial" w:hint="eastAsia"/>
                <w:sz w:val="21"/>
                <w:szCs w:val="21"/>
              </w:rPr>
              <w:t>3</w:t>
            </w:r>
          </w:p>
        </w:tc>
        <w:tc>
          <w:tcPr>
            <w:tcW w:w="1204" w:type="dxa"/>
            <w:shd w:val="clear" w:color="auto" w:fill="auto"/>
            <w:vAlign w:val="center"/>
          </w:tcPr>
          <w:p w14:paraId="78A09E3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12.50%</w:t>
            </w:r>
          </w:p>
        </w:tc>
        <w:tc>
          <w:tcPr>
            <w:tcW w:w="1204" w:type="dxa"/>
            <w:shd w:val="clear" w:color="auto" w:fill="auto"/>
            <w:vAlign w:val="center"/>
          </w:tcPr>
          <w:p w14:paraId="44E3787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12.70%</w:t>
            </w:r>
          </w:p>
        </w:tc>
        <w:tc>
          <w:tcPr>
            <w:tcW w:w="1204" w:type="dxa"/>
            <w:shd w:val="clear" w:color="auto" w:fill="auto"/>
            <w:vAlign w:val="center"/>
          </w:tcPr>
          <w:p w14:paraId="6590E25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c>
          <w:tcPr>
            <w:tcW w:w="1064" w:type="dxa"/>
            <w:shd w:val="clear" w:color="auto" w:fill="auto"/>
            <w:vAlign w:val="center"/>
          </w:tcPr>
          <w:p w14:paraId="0248FD0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11.50%</w:t>
            </w:r>
          </w:p>
        </w:tc>
        <w:tc>
          <w:tcPr>
            <w:tcW w:w="1344" w:type="dxa"/>
            <w:shd w:val="clear" w:color="auto" w:fill="auto"/>
            <w:vAlign w:val="center"/>
          </w:tcPr>
          <w:p w14:paraId="451FB6F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13.60%</w:t>
            </w:r>
          </w:p>
        </w:tc>
      </w:tr>
      <w:tr w:rsidR="0062768B" w14:paraId="69DA9472" w14:textId="77777777">
        <w:trPr>
          <w:trHeight w:val="265"/>
          <w:jc w:val="center"/>
        </w:trPr>
        <w:tc>
          <w:tcPr>
            <w:tcW w:w="1022" w:type="dxa"/>
            <w:vMerge/>
            <w:shd w:val="clear" w:color="auto" w:fill="auto"/>
            <w:vAlign w:val="center"/>
          </w:tcPr>
          <w:p w14:paraId="4E5CF977"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FDB2ED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房山工业园西</w:t>
            </w:r>
          </w:p>
        </w:tc>
        <w:tc>
          <w:tcPr>
            <w:tcW w:w="1204" w:type="dxa"/>
            <w:shd w:val="clear" w:color="auto" w:fill="auto"/>
            <w:vAlign w:val="center"/>
          </w:tcPr>
          <w:p w14:paraId="76A1859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204" w:type="dxa"/>
            <w:shd w:val="clear" w:color="auto" w:fill="auto"/>
            <w:vAlign w:val="center"/>
          </w:tcPr>
          <w:p w14:paraId="2D8EB94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204" w:type="dxa"/>
            <w:shd w:val="clear" w:color="auto" w:fill="auto"/>
            <w:vAlign w:val="center"/>
          </w:tcPr>
          <w:p w14:paraId="57661D3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064" w:type="dxa"/>
            <w:shd w:val="clear" w:color="auto" w:fill="auto"/>
            <w:vAlign w:val="center"/>
          </w:tcPr>
          <w:p w14:paraId="037C046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47C19E1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36617698" w14:textId="77777777">
        <w:trPr>
          <w:trHeight w:val="265"/>
          <w:jc w:val="center"/>
        </w:trPr>
        <w:tc>
          <w:tcPr>
            <w:tcW w:w="1022" w:type="dxa"/>
            <w:vMerge/>
            <w:shd w:val="clear" w:color="auto" w:fill="auto"/>
            <w:vAlign w:val="center"/>
          </w:tcPr>
          <w:p w14:paraId="017DCD2F"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235298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房山工业园东</w:t>
            </w:r>
          </w:p>
        </w:tc>
        <w:tc>
          <w:tcPr>
            <w:tcW w:w="1204" w:type="dxa"/>
            <w:shd w:val="clear" w:color="auto" w:fill="auto"/>
            <w:vAlign w:val="center"/>
          </w:tcPr>
          <w:p w14:paraId="5C87661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204" w:type="dxa"/>
            <w:shd w:val="clear" w:color="auto" w:fill="auto"/>
            <w:vAlign w:val="center"/>
          </w:tcPr>
          <w:p w14:paraId="5163F57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204" w:type="dxa"/>
            <w:shd w:val="clear" w:color="auto" w:fill="auto"/>
            <w:vAlign w:val="center"/>
          </w:tcPr>
          <w:p w14:paraId="02CDAFA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064" w:type="dxa"/>
            <w:shd w:val="clear" w:color="auto" w:fill="auto"/>
            <w:vAlign w:val="center"/>
          </w:tcPr>
          <w:p w14:paraId="27D85B1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322AFE1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033074AA" w14:textId="77777777">
        <w:trPr>
          <w:trHeight w:val="265"/>
          <w:jc w:val="center"/>
        </w:trPr>
        <w:tc>
          <w:tcPr>
            <w:tcW w:w="1022" w:type="dxa"/>
            <w:vMerge/>
            <w:shd w:val="clear" w:color="auto" w:fill="auto"/>
            <w:vAlign w:val="center"/>
          </w:tcPr>
          <w:p w14:paraId="540F6355"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6D62A3F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永乐开发区</w:t>
            </w:r>
          </w:p>
        </w:tc>
        <w:tc>
          <w:tcPr>
            <w:tcW w:w="1204" w:type="dxa"/>
            <w:shd w:val="clear" w:color="auto" w:fill="auto"/>
            <w:noWrap/>
            <w:vAlign w:val="center"/>
          </w:tcPr>
          <w:p w14:paraId="7C39571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3ECF83F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3A05AC5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06B2304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7CF2A1A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085AD923" w14:textId="77777777">
        <w:trPr>
          <w:trHeight w:val="265"/>
          <w:jc w:val="center"/>
        </w:trPr>
        <w:tc>
          <w:tcPr>
            <w:tcW w:w="1022" w:type="dxa"/>
            <w:vMerge/>
            <w:shd w:val="clear" w:color="auto" w:fill="auto"/>
            <w:vAlign w:val="center"/>
          </w:tcPr>
          <w:p w14:paraId="74F84DEF"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4D2C22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采育开发区</w:t>
            </w:r>
          </w:p>
        </w:tc>
        <w:tc>
          <w:tcPr>
            <w:tcW w:w="1204" w:type="dxa"/>
            <w:shd w:val="clear" w:color="auto" w:fill="auto"/>
            <w:noWrap/>
            <w:vAlign w:val="center"/>
          </w:tcPr>
          <w:p w14:paraId="546F84D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5549411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765306A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6A32A20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337E1E3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56F5FFBD" w14:textId="77777777">
        <w:trPr>
          <w:trHeight w:val="265"/>
          <w:jc w:val="center"/>
        </w:trPr>
        <w:tc>
          <w:tcPr>
            <w:tcW w:w="1022" w:type="dxa"/>
            <w:vMerge/>
            <w:shd w:val="clear" w:color="auto" w:fill="auto"/>
            <w:vAlign w:val="center"/>
          </w:tcPr>
          <w:p w14:paraId="2048D86D"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5A396B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雁栖开发区</w:t>
            </w:r>
            <w:r>
              <w:rPr>
                <w:rFonts w:ascii="Arial" w:eastAsia="仿宋" w:hAnsi="Arial" w:cs="Arial" w:hint="eastAsia"/>
                <w:sz w:val="21"/>
                <w:szCs w:val="21"/>
              </w:rPr>
              <w:t>A</w:t>
            </w:r>
          </w:p>
        </w:tc>
        <w:tc>
          <w:tcPr>
            <w:tcW w:w="1204" w:type="dxa"/>
            <w:shd w:val="clear" w:color="auto" w:fill="auto"/>
            <w:noWrap/>
            <w:vAlign w:val="center"/>
          </w:tcPr>
          <w:p w14:paraId="0FDA423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432A763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4F05239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133275D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11DFEF8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1EEC816B" w14:textId="77777777">
        <w:trPr>
          <w:trHeight w:val="265"/>
          <w:jc w:val="center"/>
        </w:trPr>
        <w:tc>
          <w:tcPr>
            <w:tcW w:w="1022" w:type="dxa"/>
            <w:vMerge/>
            <w:shd w:val="clear" w:color="auto" w:fill="auto"/>
            <w:vAlign w:val="center"/>
          </w:tcPr>
          <w:p w14:paraId="3660D7BE"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C4164F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雁栖开发区</w:t>
            </w:r>
            <w:r>
              <w:rPr>
                <w:rFonts w:ascii="Arial" w:eastAsia="仿宋" w:hAnsi="Arial" w:cs="Arial" w:hint="eastAsia"/>
                <w:sz w:val="21"/>
                <w:szCs w:val="21"/>
              </w:rPr>
              <w:t>B</w:t>
            </w:r>
          </w:p>
        </w:tc>
        <w:tc>
          <w:tcPr>
            <w:tcW w:w="1204" w:type="dxa"/>
            <w:shd w:val="clear" w:color="auto" w:fill="auto"/>
            <w:noWrap/>
            <w:vAlign w:val="center"/>
          </w:tcPr>
          <w:p w14:paraId="33CA785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7977BF6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01F6C0C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724ECE4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544CBC9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628E1D8A" w14:textId="77777777">
        <w:trPr>
          <w:trHeight w:val="265"/>
          <w:jc w:val="center"/>
        </w:trPr>
        <w:tc>
          <w:tcPr>
            <w:tcW w:w="1022" w:type="dxa"/>
            <w:vMerge/>
            <w:shd w:val="clear" w:color="auto" w:fill="auto"/>
            <w:vAlign w:val="center"/>
          </w:tcPr>
          <w:p w14:paraId="722DAA0E"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CE1C02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雁栖开发区</w:t>
            </w:r>
            <w:r>
              <w:rPr>
                <w:rFonts w:ascii="Arial" w:eastAsia="仿宋" w:hAnsi="Arial" w:cs="Arial" w:hint="eastAsia"/>
                <w:sz w:val="21"/>
                <w:szCs w:val="21"/>
              </w:rPr>
              <w:t>C</w:t>
            </w:r>
          </w:p>
        </w:tc>
        <w:tc>
          <w:tcPr>
            <w:tcW w:w="1204" w:type="dxa"/>
            <w:shd w:val="clear" w:color="auto" w:fill="auto"/>
            <w:noWrap/>
            <w:vAlign w:val="center"/>
          </w:tcPr>
          <w:p w14:paraId="5B95E67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20B67F6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1443548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760EE0B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33D08BC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5FC68FAD" w14:textId="77777777">
        <w:trPr>
          <w:trHeight w:val="265"/>
          <w:jc w:val="center"/>
        </w:trPr>
        <w:tc>
          <w:tcPr>
            <w:tcW w:w="1022" w:type="dxa"/>
            <w:vMerge/>
            <w:shd w:val="clear" w:color="auto" w:fill="auto"/>
            <w:vAlign w:val="center"/>
          </w:tcPr>
          <w:p w14:paraId="01101A58"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61CF41F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proofErr w:type="gramStart"/>
            <w:r>
              <w:rPr>
                <w:rFonts w:ascii="Arial" w:eastAsia="仿宋" w:hAnsi="Arial" w:cs="Arial" w:hint="eastAsia"/>
                <w:sz w:val="21"/>
                <w:szCs w:val="21"/>
              </w:rPr>
              <w:t>兴谷开发区</w:t>
            </w:r>
            <w:proofErr w:type="gramEnd"/>
            <w:r>
              <w:rPr>
                <w:rFonts w:ascii="Arial" w:eastAsia="仿宋" w:hAnsi="Arial" w:cs="Arial" w:hint="eastAsia"/>
                <w:sz w:val="21"/>
                <w:szCs w:val="21"/>
              </w:rPr>
              <w:t>A</w:t>
            </w:r>
          </w:p>
        </w:tc>
        <w:tc>
          <w:tcPr>
            <w:tcW w:w="1204" w:type="dxa"/>
            <w:shd w:val="clear" w:color="auto" w:fill="auto"/>
            <w:noWrap/>
            <w:vAlign w:val="center"/>
          </w:tcPr>
          <w:p w14:paraId="672269B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2E3E4D4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27274E5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29F47C1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2349C2E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7D939111" w14:textId="77777777">
        <w:trPr>
          <w:trHeight w:val="265"/>
          <w:jc w:val="center"/>
        </w:trPr>
        <w:tc>
          <w:tcPr>
            <w:tcW w:w="1022" w:type="dxa"/>
            <w:vMerge/>
            <w:shd w:val="clear" w:color="auto" w:fill="auto"/>
            <w:vAlign w:val="center"/>
          </w:tcPr>
          <w:p w14:paraId="5F82BA6F"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537255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proofErr w:type="gramStart"/>
            <w:r>
              <w:rPr>
                <w:rFonts w:ascii="Arial" w:eastAsia="仿宋" w:hAnsi="Arial" w:cs="Arial" w:hint="eastAsia"/>
                <w:sz w:val="21"/>
                <w:szCs w:val="21"/>
              </w:rPr>
              <w:t>兴谷开发区</w:t>
            </w:r>
            <w:proofErr w:type="gramEnd"/>
            <w:r>
              <w:rPr>
                <w:rFonts w:ascii="Arial" w:eastAsia="仿宋" w:hAnsi="Arial" w:cs="Arial" w:hint="eastAsia"/>
                <w:sz w:val="21"/>
                <w:szCs w:val="21"/>
              </w:rPr>
              <w:t>B</w:t>
            </w:r>
          </w:p>
        </w:tc>
        <w:tc>
          <w:tcPr>
            <w:tcW w:w="1204" w:type="dxa"/>
            <w:shd w:val="clear" w:color="auto" w:fill="auto"/>
            <w:noWrap/>
            <w:vAlign w:val="center"/>
          </w:tcPr>
          <w:p w14:paraId="1F9F6AF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41D77E1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030C211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035DBA0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3DB5ABF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06A420B6" w14:textId="77777777">
        <w:trPr>
          <w:trHeight w:val="265"/>
          <w:jc w:val="center"/>
        </w:trPr>
        <w:tc>
          <w:tcPr>
            <w:tcW w:w="1022" w:type="dxa"/>
            <w:vMerge/>
            <w:shd w:val="clear" w:color="auto" w:fill="auto"/>
            <w:vAlign w:val="center"/>
          </w:tcPr>
          <w:p w14:paraId="2131226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500979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马</w:t>
            </w:r>
            <w:proofErr w:type="gramStart"/>
            <w:r>
              <w:rPr>
                <w:rFonts w:ascii="Arial" w:eastAsia="仿宋" w:hAnsi="Arial" w:cs="Arial" w:hint="eastAsia"/>
                <w:sz w:val="21"/>
                <w:szCs w:val="21"/>
              </w:rPr>
              <w:t>坊工业</w:t>
            </w:r>
            <w:proofErr w:type="gramEnd"/>
            <w:r>
              <w:rPr>
                <w:rFonts w:ascii="Arial" w:eastAsia="仿宋" w:hAnsi="Arial" w:cs="Arial" w:hint="eastAsia"/>
                <w:sz w:val="21"/>
                <w:szCs w:val="21"/>
              </w:rPr>
              <w:t>园</w:t>
            </w:r>
          </w:p>
        </w:tc>
        <w:tc>
          <w:tcPr>
            <w:tcW w:w="1204" w:type="dxa"/>
            <w:shd w:val="clear" w:color="auto" w:fill="auto"/>
            <w:noWrap/>
            <w:vAlign w:val="center"/>
          </w:tcPr>
          <w:p w14:paraId="32C53A9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5365F46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095DA75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68E9E74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705BA3B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0F46F3E1" w14:textId="77777777">
        <w:trPr>
          <w:trHeight w:val="265"/>
          <w:jc w:val="center"/>
        </w:trPr>
        <w:tc>
          <w:tcPr>
            <w:tcW w:w="1022" w:type="dxa"/>
            <w:vMerge/>
            <w:shd w:val="clear" w:color="auto" w:fill="auto"/>
            <w:vAlign w:val="center"/>
          </w:tcPr>
          <w:p w14:paraId="6187A462"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BBA1B4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密云开发区</w:t>
            </w:r>
          </w:p>
        </w:tc>
        <w:tc>
          <w:tcPr>
            <w:tcW w:w="1204" w:type="dxa"/>
            <w:shd w:val="clear" w:color="auto" w:fill="auto"/>
            <w:noWrap/>
            <w:vAlign w:val="center"/>
          </w:tcPr>
          <w:p w14:paraId="1DB4ED7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410718C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484E00E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7386693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06809E5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5B5D5833" w14:textId="77777777">
        <w:trPr>
          <w:trHeight w:val="265"/>
          <w:jc w:val="center"/>
        </w:trPr>
        <w:tc>
          <w:tcPr>
            <w:tcW w:w="1022" w:type="dxa"/>
            <w:vMerge/>
            <w:shd w:val="clear" w:color="auto" w:fill="auto"/>
            <w:vAlign w:val="center"/>
          </w:tcPr>
          <w:p w14:paraId="3006BFC7"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DF8023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延庆开发区</w:t>
            </w:r>
          </w:p>
        </w:tc>
        <w:tc>
          <w:tcPr>
            <w:tcW w:w="1204" w:type="dxa"/>
            <w:shd w:val="clear" w:color="auto" w:fill="auto"/>
            <w:noWrap/>
            <w:vAlign w:val="center"/>
          </w:tcPr>
          <w:p w14:paraId="7E7AF34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4DD3636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4198347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072183D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2BCC657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42FB1EF9" w14:textId="77777777">
        <w:trPr>
          <w:trHeight w:val="279"/>
          <w:jc w:val="center"/>
        </w:trPr>
        <w:tc>
          <w:tcPr>
            <w:tcW w:w="1022" w:type="dxa"/>
            <w:vMerge/>
            <w:shd w:val="clear" w:color="auto" w:fill="auto"/>
            <w:vAlign w:val="center"/>
          </w:tcPr>
          <w:p w14:paraId="270D91CB"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E9ED67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八达岭开发区</w:t>
            </w:r>
          </w:p>
        </w:tc>
        <w:tc>
          <w:tcPr>
            <w:tcW w:w="1204" w:type="dxa"/>
            <w:shd w:val="clear" w:color="auto" w:fill="auto"/>
            <w:noWrap/>
            <w:vAlign w:val="center"/>
          </w:tcPr>
          <w:p w14:paraId="3E9746A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4C7EA5A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31A5AC7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3BD739C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4AD0AFF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bl>
    <w:p w14:paraId="36E00F8C" w14:textId="77777777" w:rsidR="0062768B" w:rsidRDefault="0062768B">
      <w:pPr>
        <w:spacing w:line="300" w:lineRule="auto"/>
        <w:ind w:firstLineChars="200" w:firstLine="560"/>
        <w:jc w:val="both"/>
        <w:rPr>
          <w:rFonts w:ascii="Arial" w:eastAsia="仿宋" w:hAnsi="Arial" w:cs="Arial"/>
          <w:sz w:val="28"/>
          <w:szCs w:val="28"/>
        </w:rPr>
      </w:pPr>
    </w:p>
    <w:p w14:paraId="4CC14693" w14:textId="77777777" w:rsidR="0062768B" w:rsidRDefault="00136729">
      <w:pPr>
        <w:spacing w:line="360" w:lineRule="auto"/>
        <w:jc w:val="center"/>
        <w:rPr>
          <w:rFonts w:ascii="Arial" w:eastAsia="仿宋" w:hAnsi="Arial" w:cs="Arial"/>
          <w:bCs/>
          <w:sz w:val="28"/>
          <w:szCs w:val="28"/>
        </w:rPr>
      </w:pPr>
      <w:r>
        <w:rPr>
          <w:rFonts w:ascii="Arial" w:eastAsia="仿宋" w:hAnsi="Arial" w:cs="Arial"/>
          <w:bCs/>
          <w:sz w:val="28"/>
          <w:szCs w:val="28"/>
        </w:rPr>
        <w:t>因素等级说明表</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09"/>
        <w:gridCol w:w="1417"/>
        <w:gridCol w:w="1418"/>
        <w:gridCol w:w="1418"/>
        <w:gridCol w:w="1418"/>
        <w:gridCol w:w="1418"/>
      </w:tblGrid>
      <w:tr w:rsidR="0062768B" w14:paraId="74E16D07" w14:textId="77777777">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2DBD51A4" w14:textId="77777777" w:rsidR="0062768B" w:rsidRDefault="00136729">
            <w:pPr>
              <w:widowControl/>
              <w:adjustRightInd/>
              <w:spacing w:line="240" w:lineRule="exact"/>
              <w:ind w:firstLineChars="650" w:firstLine="1365"/>
              <w:jc w:val="right"/>
              <w:rPr>
                <w:rFonts w:ascii="Arial" w:eastAsia="仿宋" w:hAnsi="Arial" w:cs="Arial"/>
                <w:sz w:val="21"/>
                <w:szCs w:val="21"/>
              </w:rPr>
            </w:pPr>
            <w:r>
              <w:rPr>
                <w:rFonts w:ascii="Arial" w:eastAsia="仿宋" w:hAnsi="Arial" w:cs="Arial"/>
                <w:sz w:val="21"/>
                <w:szCs w:val="21"/>
              </w:rPr>
              <w:t>等级</w:t>
            </w:r>
          </w:p>
          <w:p w14:paraId="52F1CB0E"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tcPr>
          <w:p w14:paraId="2107C70F"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426C3E4D"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4D9EDE1F"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62BC3668"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69802A3E"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差</w:t>
            </w:r>
          </w:p>
        </w:tc>
      </w:tr>
      <w:tr w:rsidR="0062768B" w14:paraId="735DA72B" w14:textId="77777777">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0720A3F3"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物业聚集程度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0A3E653E"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周边公共服务物业分布密集，物业聚集程度好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16BEA556"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周边公共服务物业分布较密集，物业聚集程度较好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2AD9955B"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周边有一定数量的公共服务物业，物业聚集程度一般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784397FA"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周边公共服务物业分布较分散，物业聚集程度较差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542A3C71"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周边暂无公共服务物业分布，物业聚集程度差</w:t>
            </w:r>
          </w:p>
        </w:tc>
      </w:tr>
      <w:tr w:rsidR="0062768B" w14:paraId="49EDEE87" w14:textId="77777777">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6AE320F1"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2673B55D"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便捷</w:t>
            </w:r>
          </w:p>
        </w:tc>
        <w:tc>
          <w:tcPr>
            <w:tcW w:w="1380" w:type="dxa"/>
            <w:tcBorders>
              <w:top w:val="single" w:sz="2" w:space="0" w:color="404040"/>
              <w:left w:val="single" w:sz="2" w:space="0" w:color="404040"/>
              <w:bottom w:val="single" w:sz="2" w:space="0" w:color="404040"/>
              <w:right w:val="single" w:sz="2" w:space="0" w:color="404040"/>
            </w:tcBorders>
            <w:vAlign w:val="center"/>
          </w:tcPr>
          <w:p w14:paraId="40017558"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较便捷</w:t>
            </w:r>
          </w:p>
        </w:tc>
        <w:tc>
          <w:tcPr>
            <w:tcW w:w="1380" w:type="dxa"/>
            <w:tcBorders>
              <w:top w:val="single" w:sz="2" w:space="0" w:color="404040"/>
              <w:left w:val="single" w:sz="2" w:space="0" w:color="404040"/>
              <w:bottom w:val="single" w:sz="2" w:space="0" w:color="404040"/>
              <w:right w:val="single" w:sz="2" w:space="0" w:color="404040"/>
            </w:tcBorders>
            <w:vAlign w:val="center"/>
          </w:tcPr>
          <w:p w14:paraId="12FF9287"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71A50B8C"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tcPr>
          <w:p w14:paraId="63B8F723"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不便捷</w:t>
            </w:r>
          </w:p>
        </w:tc>
      </w:tr>
      <w:tr w:rsidR="0062768B" w14:paraId="61C6865F" w14:textId="77777777">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47E491B3"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tcPr>
          <w:p w14:paraId="26B66602"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tcPr>
          <w:p w14:paraId="3E74165F" w14:textId="77777777" w:rsidR="0062768B" w:rsidRDefault="00136729">
            <w:pPr>
              <w:widowControl/>
              <w:adjustRightInd/>
              <w:spacing w:line="240" w:lineRule="exact"/>
              <w:rPr>
                <w:rFonts w:ascii="Arial" w:eastAsia="仿宋" w:hAnsi="Arial" w:cs="Arial"/>
                <w:sz w:val="21"/>
                <w:szCs w:val="21"/>
              </w:rPr>
            </w:pPr>
            <w:proofErr w:type="gramStart"/>
            <w:r>
              <w:rPr>
                <w:rFonts w:ascii="Arial" w:eastAsia="仿宋" w:hAnsi="Arial" w:cs="Arial"/>
                <w:sz w:val="21"/>
                <w:szCs w:val="21"/>
              </w:rPr>
              <w:t>零星有</w:t>
            </w:r>
            <w:proofErr w:type="gramEnd"/>
            <w:r>
              <w:rPr>
                <w:rFonts w:ascii="Arial" w:eastAsia="仿宋" w:hAnsi="Arial" w:cs="Arial"/>
                <w:sz w:val="21"/>
                <w:szCs w:val="21"/>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tcPr>
          <w:p w14:paraId="068B0478"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tcPr>
          <w:p w14:paraId="1E372DC9"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tcPr>
          <w:p w14:paraId="45E448B8"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全部为不同用地，对本宗地有大的影响</w:t>
            </w:r>
          </w:p>
        </w:tc>
      </w:tr>
      <w:tr w:rsidR="0062768B" w14:paraId="04EA5C74" w14:textId="77777777">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181DC7F3"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498C7C29"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tcPr>
          <w:p w14:paraId="2D84044B"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tcPr>
          <w:p w14:paraId="3CA56B17"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310A33E3"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6F755FD5"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差</w:t>
            </w:r>
          </w:p>
        </w:tc>
      </w:tr>
      <w:tr w:rsidR="0062768B" w14:paraId="4A5AD398" w14:textId="77777777">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2DE97B2D"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71272731"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tcPr>
          <w:p w14:paraId="06176556" w14:textId="77777777" w:rsidR="0062768B" w:rsidRDefault="00136729">
            <w:pPr>
              <w:widowControl/>
              <w:adjustRightInd/>
              <w:spacing w:line="240" w:lineRule="exact"/>
              <w:rPr>
                <w:rFonts w:ascii="Arial" w:eastAsia="仿宋" w:hAnsi="Arial" w:cs="Arial"/>
                <w:sz w:val="21"/>
                <w:szCs w:val="21"/>
              </w:rPr>
            </w:pPr>
            <w:proofErr w:type="gramStart"/>
            <w:r>
              <w:rPr>
                <w:rFonts w:ascii="Arial" w:eastAsia="仿宋" w:hAnsi="Arial" w:cs="Arial"/>
                <w:sz w:val="21"/>
                <w:szCs w:val="21"/>
              </w:rPr>
              <w:t>临城市</w:t>
            </w:r>
            <w:proofErr w:type="gramEnd"/>
            <w:r>
              <w:rPr>
                <w:rFonts w:ascii="Arial" w:eastAsia="仿宋" w:hAnsi="Arial" w:cs="Arial"/>
                <w:sz w:val="21"/>
                <w:szCs w:val="21"/>
              </w:rPr>
              <w:t>快速路</w:t>
            </w:r>
          </w:p>
        </w:tc>
        <w:tc>
          <w:tcPr>
            <w:tcW w:w="1380" w:type="dxa"/>
            <w:tcBorders>
              <w:top w:val="single" w:sz="2" w:space="0" w:color="404040"/>
              <w:left w:val="single" w:sz="2" w:space="0" w:color="404040"/>
              <w:bottom w:val="single" w:sz="2" w:space="0" w:color="404040"/>
              <w:right w:val="single" w:sz="2" w:space="0" w:color="404040"/>
            </w:tcBorders>
            <w:vAlign w:val="center"/>
          </w:tcPr>
          <w:p w14:paraId="4A974253" w14:textId="77777777" w:rsidR="0062768B" w:rsidRDefault="00136729">
            <w:pPr>
              <w:widowControl/>
              <w:adjustRightInd/>
              <w:spacing w:line="240" w:lineRule="exact"/>
              <w:rPr>
                <w:rFonts w:ascii="Arial" w:eastAsia="仿宋" w:hAnsi="Arial" w:cs="Arial"/>
                <w:sz w:val="21"/>
                <w:szCs w:val="21"/>
              </w:rPr>
            </w:pPr>
            <w:proofErr w:type="gramStart"/>
            <w:r>
              <w:rPr>
                <w:rFonts w:ascii="Arial" w:eastAsia="仿宋" w:hAnsi="Arial" w:cs="Arial"/>
                <w:sz w:val="21"/>
                <w:szCs w:val="21"/>
              </w:rPr>
              <w:t>临城市</w:t>
            </w:r>
            <w:proofErr w:type="gramEnd"/>
            <w:r>
              <w:rPr>
                <w:rFonts w:ascii="Arial" w:eastAsia="仿宋" w:hAnsi="Arial" w:cs="Arial"/>
                <w:sz w:val="21"/>
                <w:szCs w:val="21"/>
              </w:rPr>
              <w:t>主干道</w:t>
            </w:r>
          </w:p>
        </w:tc>
        <w:tc>
          <w:tcPr>
            <w:tcW w:w="1380" w:type="dxa"/>
            <w:tcBorders>
              <w:top w:val="single" w:sz="2" w:space="0" w:color="404040"/>
              <w:left w:val="single" w:sz="2" w:space="0" w:color="404040"/>
              <w:bottom w:val="single" w:sz="2" w:space="0" w:color="404040"/>
              <w:right w:val="single" w:sz="2" w:space="0" w:color="404040"/>
            </w:tcBorders>
            <w:vAlign w:val="center"/>
          </w:tcPr>
          <w:p w14:paraId="27D838D4" w14:textId="77777777" w:rsidR="0062768B" w:rsidRDefault="00136729">
            <w:pPr>
              <w:widowControl/>
              <w:adjustRightInd/>
              <w:spacing w:line="240" w:lineRule="exact"/>
              <w:rPr>
                <w:rFonts w:ascii="Arial" w:eastAsia="仿宋" w:hAnsi="Arial" w:cs="Arial"/>
                <w:sz w:val="21"/>
                <w:szCs w:val="21"/>
              </w:rPr>
            </w:pPr>
            <w:proofErr w:type="gramStart"/>
            <w:r>
              <w:rPr>
                <w:rFonts w:ascii="Arial" w:eastAsia="仿宋" w:hAnsi="Arial" w:cs="Arial"/>
                <w:sz w:val="21"/>
                <w:szCs w:val="21"/>
              </w:rPr>
              <w:t>临城市</w:t>
            </w:r>
            <w:proofErr w:type="gramEnd"/>
            <w:r>
              <w:rPr>
                <w:rFonts w:ascii="Arial" w:eastAsia="仿宋" w:hAnsi="Arial" w:cs="Arial"/>
                <w:sz w:val="21"/>
                <w:szCs w:val="21"/>
              </w:rPr>
              <w:t>次干道</w:t>
            </w:r>
          </w:p>
        </w:tc>
        <w:tc>
          <w:tcPr>
            <w:tcW w:w="1380" w:type="dxa"/>
            <w:tcBorders>
              <w:top w:val="single" w:sz="2" w:space="0" w:color="404040"/>
              <w:left w:val="single" w:sz="2" w:space="0" w:color="404040"/>
              <w:bottom w:val="single" w:sz="2" w:space="0" w:color="404040"/>
              <w:right w:val="single" w:sz="2" w:space="0" w:color="404040"/>
            </w:tcBorders>
            <w:vAlign w:val="center"/>
          </w:tcPr>
          <w:p w14:paraId="2D08EC37" w14:textId="77777777" w:rsidR="0062768B" w:rsidRDefault="00136729">
            <w:pPr>
              <w:widowControl/>
              <w:adjustRightInd/>
              <w:spacing w:line="240" w:lineRule="exact"/>
              <w:rPr>
                <w:rFonts w:ascii="Arial" w:eastAsia="仿宋" w:hAnsi="Arial" w:cs="Arial"/>
                <w:sz w:val="21"/>
                <w:szCs w:val="21"/>
              </w:rPr>
            </w:pPr>
            <w:proofErr w:type="gramStart"/>
            <w:r>
              <w:rPr>
                <w:rFonts w:ascii="Arial" w:eastAsia="仿宋" w:hAnsi="Arial" w:cs="Arial"/>
                <w:sz w:val="21"/>
                <w:szCs w:val="21"/>
              </w:rPr>
              <w:t>临城市</w:t>
            </w:r>
            <w:proofErr w:type="gramEnd"/>
            <w:r>
              <w:rPr>
                <w:rFonts w:ascii="Arial" w:eastAsia="仿宋" w:hAnsi="Arial" w:cs="Arial"/>
                <w:sz w:val="21"/>
                <w:szCs w:val="21"/>
              </w:rPr>
              <w:t>支路</w:t>
            </w:r>
          </w:p>
        </w:tc>
      </w:tr>
      <w:tr w:rsidR="0062768B" w14:paraId="249254DD" w14:textId="77777777">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1974515A"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1E61A916"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23A07E18"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5F123509"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tcPr>
          <w:p w14:paraId="58897DB3"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tcPr>
          <w:p w14:paraId="2DA8174B"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宗地形状极其不规则，对宗地利用影响很大</w:t>
            </w:r>
          </w:p>
        </w:tc>
      </w:tr>
      <w:tr w:rsidR="0062768B" w14:paraId="44520BAA" w14:textId="77777777">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1CCE7A1B"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382F0CCA"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tcPr>
          <w:p w14:paraId="000A76F5"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tcPr>
          <w:p w14:paraId="2C8232C1"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tcPr>
          <w:p w14:paraId="19E1CDDD"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配套少</w:t>
            </w:r>
          </w:p>
        </w:tc>
        <w:tc>
          <w:tcPr>
            <w:tcW w:w="1380" w:type="dxa"/>
            <w:tcBorders>
              <w:top w:val="single" w:sz="2" w:space="0" w:color="404040"/>
              <w:left w:val="single" w:sz="2" w:space="0" w:color="404040"/>
              <w:bottom w:val="single" w:sz="2" w:space="0" w:color="404040"/>
              <w:right w:val="single" w:sz="2" w:space="0" w:color="404040"/>
            </w:tcBorders>
            <w:vAlign w:val="center"/>
          </w:tcPr>
          <w:p w14:paraId="06A35DCC"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配套极少</w:t>
            </w:r>
          </w:p>
        </w:tc>
      </w:tr>
      <w:tr w:rsidR="0062768B" w14:paraId="28C851B6" w14:textId="77777777">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1A964736"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12369CEA"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七通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542E7C9F"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六通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166FC1C5"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五通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58696C85"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四通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5F750EDE"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三通</w:t>
            </w:r>
          </w:p>
        </w:tc>
      </w:tr>
      <w:tr w:rsidR="0062768B" w14:paraId="17F07EAC" w14:textId="77777777">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27F37EA6"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434E5D61"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3061191F"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180D8DA9"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5B00463D"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349374B1"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差</w:t>
            </w:r>
          </w:p>
        </w:tc>
      </w:tr>
    </w:tbl>
    <w:p w14:paraId="00385432"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估价对象地处公共服务类</w:t>
      </w:r>
      <w:r>
        <w:rPr>
          <w:rFonts w:ascii="Arial" w:eastAsia="仿宋_GB2312" w:hAnsi="Arial" w:cs="Arial" w:hint="eastAsia"/>
          <w:sz w:val="28"/>
        </w:rPr>
        <w:t>九级</w:t>
      </w:r>
      <w:r>
        <w:rPr>
          <w:rFonts w:ascii="Arial" w:eastAsia="仿宋_GB2312" w:hAnsi="Arial" w:cs="Arial"/>
          <w:sz w:val="28"/>
        </w:rPr>
        <w:t>IX-</w:t>
      </w:r>
      <w:r>
        <w:rPr>
          <w:rFonts w:ascii="Arial" w:eastAsia="仿宋_GB2312" w:hAnsi="Arial" w:cs="Arial" w:hint="eastAsia"/>
          <w:sz w:val="28"/>
        </w:rPr>
        <w:t>顺</w:t>
      </w:r>
      <w:r>
        <w:rPr>
          <w:rFonts w:ascii="Arial" w:eastAsia="仿宋_GB2312" w:hAnsi="Arial" w:cs="Arial" w:hint="eastAsia"/>
          <w:sz w:val="28"/>
        </w:rPr>
        <w:t>5</w:t>
      </w:r>
      <w:r>
        <w:rPr>
          <w:rFonts w:ascii="Arial" w:eastAsia="仿宋" w:hAnsi="Arial" w:cs="Arial"/>
          <w:sz w:val="28"/>
          <w:szCs w:val="28"/>
        </w:rPr>
        <w:t>区片，依据前述《北京市基准地价因素权重表》、《区片基准地价因素总修正幅度表》及《因素等级说明表》，整理《等级系数表》如下：</w:t>
      </w:r>
    </w:p>
    <w:p w14:paraId="0C02AF20" w14:textId="77777777" w:rsidR="0062768B" w:rsidRDefault="00136729">
      <w:pPr>
        <w:adjustRightInd/>
        <w:spacing w:line="300" w:lineRule="auto"/>
        <w:jc w:val="center"/>
        <w:rPr>
          <w:rFonts w:ascii="Arial" w:eastAsia="仿宋_GB2312" w:hAnsi="Arial" w:cs="Arial"/>
          <w:szCs w:val="24"/>
        </w:rPr>
      </w:pPr>
      <w:r>
        <w:rPr>
          <w:rFonts w:ascii="Arial" w:eastAsia="仿宋" w:hAnsi="Arial" w:cs="Arial"/>
          <w:sz w:val="28"/>
          <w:szCs w:val="28"/>
        </w:rPr>
        <w:t>等级系数表</w:t>
      </w:r>
      <w:r>
        <w:rPr>
          <w:rFonts w:ascii="Arial" w:eastAsia="仿宋" w:hAnsi="Arial" w:cs="Arial"/>
          <w:sz w:val="28"/>
          <w:szCs w:val="28"/>
        </w:rPr>
        <w:t xml:space="preserve">     </w:t>
      </w:r>
      <w:r>
        <w:rPr>
          <w:rFonts w:ascii="Arial" w:eastAsia="仿宋_GB2312" w:hAnsi="Arial" w:cs="Arial"/>
          <w:szCs w:val="24"/>
        </w:rPr>
        <w:t xml:space="preserve">                 </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382"/>
        <w:gridCol w:w="1275"/>
        <w:gridCol w:w="1355"/>
        <w:gridCol w:w="1456"/>
        <w:gridCol w:w="1390"/>
        <w:gridCol w:w="1440"/>
      </w:tblGrid>
      <w:tr w:rsidR="0062768B" w14:paraId="456B8F9C" w14:textId="77777777">
        <w:trPr>
          <w:cantSplit/>
          <w:trHeight w:val="90"/>
          <w:tblHeader/>
          <w:jc w:val="center"/>
        </w:trPr>
        <w:tc>
          <w:tcPr>
            <w:tcW w:w="2382" w:type="dxa"/>
            <w:tcBorders>
              <w:tl2br w:val="single" w:sz="2" w:space="0" w:color="404040"/>
            </w:tcBorders>
            <w:vAlign w:val="center"/>
          </w:tcPr>
          <w:p w14:paraId="5E051180" w14:textId="77777777" w:rsidR="0062768B" w:rsidRDefault="00136729" w:rsidP="004532BF">
            <w:pPr>
              <w:widowControl/>
              <w:adjustRightInd/>
              <w:spacing w:line="240" w:lineRule="atLeast"/>
              <w:jc w:val="right"/>
              <w:textAlignment w:val="auto"/>
              <w:rPr>
                <w:rFonts w:ascii="Arial" w:eastAsia="仿宋" w:hAnsi="Arial" w:cs="Arial"/>
                <w:sz w:val="21"/>
                <w:szCs w:val="21"/>
              </w:rPr>
            </w:pPr>
            <w:r>
              <w:rPr>
                <w:rFonts w:ascii="Arial" w:eastAsia="仿宋" w:hAnsi="Arial" w:cs="Arial"/>
                <w:sz w:val="21"/>
                <w:szCs w:val="21"/>
              </w:rPr>
              <w:t>等级</w:t>
            </w:r>
          </w:p>
          <w:p w14:paraId="037D5088" w14:textId="77777777" w:rsidR="0062768B" w:rsidRDefault="00136729" w:rsidP="004532BF">
            <w:pPr>
              <w:widowControl/>
              <w:adjustRightInd/>
              <w:spacing w:line="240" w:lineRule="atLeast"/>
              <w:jc w:val="right"/>
              <w:textAlignment w:val="auto"/>
              <w:rPr>
                <w:rFonts w:ascii="Arial" w:eastAsia="仿宋" w:hAnsi="Arial" w:cs="Arial"/>
                <w:sz w:val="21"/>
                <w:szCs w:val="21"/>
              </w:rPr>
            </w:pPr>
            <w:r>
              <w:rPr>
                <w:rFonts w:ascii="Arial" w:eastAsia="仿宋" w:hAnsi="Arial" w:cs="Arial"/>
                <w:sz w:val="21"/>
                <w:szCs w:val="21"/>
              </w:rPr>
              <w:t xml:space="preserve">     </w:t>
            </w:r>
          </w:p>
          <w:p w14:paraId="79873151" w14:textId="77777777" w:rsidR="0062768B" w:rsidRDefault="00136729" w:rsidP="004532BF">
            <w:pPr>
              <w:widowControl/>
              <w:adjustRightInd/>
              <w:spacing w:line="240" w:lineRule="atLeast"/>
              <w:textAlignment w:val="auto"/>
              <w:rPr>
                <w:rFonts w:ascii="Arial" w:eastAsia="仿宋" w:hAnsi="Arial" w:cs="Arial"/>
                <w:sz w:val="21"/>
                <w:szCs w:val="21"/>
              </w:rPr>
            </w:pPr>
            <w:r>
              <w:rPr>
                <w:rFonts w:ascii="Arial" w:eastAsia="仿宋" w:hAnsi="Arial" w:cs="Arial"/>
                <w:sz w:val="21"/>
                <w:szCs w:val="21"/>
              </w:rPr>
              <w:t>影响因素</w:t>
            </w:r>
          </w:p>
        </w:tc>
        <w:tc>
          <w:tcPr>
            <w:tcW w:w="1275" w:type="dxa"/>
            <w:vAlign w:val="center"/>
          </w:tcPr>
          <w:p w14:paraId="527BEE4E" w14:textId="77777777" w:rsidR="0062768B" w:rsidRDefault="00136729" w:rsidP="004532BF">
            <w:pPr>
              <w:widowControl/>
              <w:adjustRightInd/>
              <w:spacing w:line="240" w:lineRule="atLeast"/>
              <w:textAlignment w:val="auto"/>
              <w:rPr>
                <w:rFonts w:ascii="Arial" w:eastAsia="仿宋" w:hAnsi="Arial" w:cs="Arial"/>
                <w:sz w:val="21"/>
                <w:szCs w:val="21"/>
              </w:rPr>
            </w:pPr>
            <w:r>
              <w:rPr>
                <w:rFonts w:ascii="Arial" w:eastAsia="仿宋" w:hAnsi="Arial" w:cs="Arial"/>
                <w:sz w:val="21"/>
                <w:szCs w:val="21"/>
              </w:rPr>
              <w:t>好</w:t>
            </w:r>
          </w:p>
        </w:tc>
        <w:tc>
          <w:tcPr>
            <w:tcW w:w="1355" w:type="dxa"/>
            <w:vAlign w:val="center"/>
          </w:tcPr>
          <w:p w14:paraId="7772062B"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较好</w:t>
            </w:r>
          </w:p>
        </w:tc>
        <w:tc>
          <w:tcPr>
            <w:tcW w:w="1456" w:type="dxa"/>
            <w:vAlign w:val="center"/>
          </w:tcPr>
          <w:p w14:paraId="6C6385AC"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一般</w:t>
            </w:r>
          </w:p>
        </w:tc>
        <w:tc>
          <w:tcPr>
            <w:tcW w:w="1390" w:type="dxa"/>
            <w:vAlign w:val="center"/>
          </w:tcPr>
          <w:p w14:paraId="410C009C"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较差</w:t>
            </w:r>
          </w:p>
        </w:tc>
        <w:tc>
          <w:tcPr>
            <w:tcW w:w="1440" w:type="dxa"/>
            <w:vAlign w:val="center"/>
          </w:tcPr>
          <w:p w14:paraId="04803485"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差</w:t>
            </w:r>
          </w:p>
        </w:tc>
      </w:tr>
      <w:tr w:rsidR="0062768B" w14:paraId="0EDD9931" w14:textId="77777777">
        <w:trPr>
          <w:cantSplit/>
          <w:trHeight w:val="90"/>
          <w:jc w:val="center"/>
        </w:trPr>
        <w:tc>
          <w:tcPr>
            <w:tcW w:w="2382" w:type="dxa"/>
            <w:vAlign w:val="center"/>
          </w:tcPr>
          <w:p w14:paraId="4A711D7A"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物业聚集程度</w:t>
            </w:r>
          </w:p>
        </w:tc>
        <w:tc>
          <w:tcPr>
            <w:tcW w:w="1275" w:type="dxa"/>
            <w:vAlign w:val="center"/>
          </w:tcPr>
          <w:p w14:paraId="7084A7EF" w14:textId="77777777" w:rsidR="0062768B" w:rsidRDefault="00136729" w:rsidP="004532BF">
            <w:pPr>
              <w:widowControl/>
              <w:adjustRightInd/>
              <w:spacing w:line="240" w:lineRule="atLeast"/>
              <w:textAlignment w:val="auto"/>
              <w:rPr>
                <w:rFonts w:ascii="Arial" w:hAnsi="Arial" w:cs="Arial"/>
                <w:sz w:val="22"/>
                <w:szCs w:val="22"/>
              </w:rPr>
            </w:pPr>
            <w:r>
              <w:rPr>
                <w:rFonts w:ascii="Arial" w:hAnsi="Arial" w:cs="Arial"/>
                <w:sz w:val="22"/>
                <w:szCs w:val="22"/>
              </w:rPr>
              <w:t>3.74</w:t>
            </w:r>
          </w:p>
        </w:tc>
        <w:tc>
          <w:tcPr>
            <w:tcW w:w="1355" w:type="dxa"/>
            <w:vAlign w:val="center"/>
          </w:tcPr>
          <w:p w14:paraId="2C2B7B21" w14:textId="77777777" w:rsidR="0062768B" w:rsidRDefault="00136729" w:rsidP="004532BF">
            <w:pPr>
              <w:spacing w:line="240" w:lineRule="atLeast"/>
              <w:rPr>
                <w:rFonts w:ascii="Arial" w:hAnsi="Arial" w:cs="Arial"/>
                <w:sz w:val="22"/>
                <w:szCs w:val="22"/>
              </w:rPr>
            </w:pPr>
            <w:r>
              <w:rPr>
                <w:rFonts w:ascii="Arial" w:hAnsi="Arial" w:cs="Arial"/>
                <w:sz w:val="22"/>
                <w:szCs w:val="22"/>
              </w:rPr>
              <w:t>1.87</w:t>
            </w:r>
          </w:p>
        </w:tc>
        <w:tc>
          <w:tcPr>
            <w:tcW w:w="1456" w:type="dxa"/>
            <w:vAlign w:val="center"/>
          </w:tcPr>
          <w:p w14:paraId="1B1F6BD8"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1F79028E" w14:textId="77777777" w:rsidR="0062768B" w:rsidRDefault="00136729" w:rsidP="004532BF">
            <w:pPr>
              <w:spacing w:line="240" w:lineRule="atLeast"/>
              <w:rPr>
                <w:rFonts w:ascii="Arial" w:hAnsi="Arial" w:cs="Arial"/>
                <w:sz w:val="22"/>
                <w:szCs w:val="22"/>
              </w:rPr>
            </w:pPr>
            <w:r>
              <w:rPr>
                <w:rFonts w:ascii="Arial" w:hAnsi="Arial" w:cs="Arial"/>
                <w:sz w:val="22"/>
                <w:szCs w:val="22"/>
              </w:rPr>
              <w:t>-1.87</w:t>
            </w:r>
          </w:p>
        </w:tc>
        <w:tc>
          <w:tcPr>
            <w:tcW w:w="1440" w:type="dxa"/>
            <w:vAlign w:val="center"/>
          </w:tcPr>
          <w:p w14:paraId="0063C733" w14:textId="77777777" w:rsidR="0062768B" w:rsidRDefault="00136729" w:rsidP="004532BF">
            <w:pPr>
              <w:spacing w:line="240" w:lineRule="atLeast"/>
              <w:rPr>
                <w:rFonts w:ascii="Arial" w:hAnsi="Arial" w:cs="Arial"/>
                <w:sz w:val="22"/>
                <w:szCs w:val="22"/>
              </w:rPr>
            </w:pPr>
            <w:r>
              <w:rPr>
                <w:rFonts w:ascii="Arial" w:hAnsi="Arial" w:cs="Arial"/>
                <w:sz w:val="22"/>
                <w:szCs w:val="22"/>
              </w:rPr>
              <w:t>-3.74</w:t>
            </w:r>
          </w:p>
        </w:tc>
      </w:tr>
      <w:tr w:rsidR="0062768B" w14:paraId="626D9B9A" w14:textId="77777777">
        <w:trPr>
          <w:cantSplit/>
          <w:trHeight w:val="90"/>
          <w:jc w:val="center"/>
        </w:trPr>
        <w:tc>
          <w:tcPr>
            <w:tcW w:w="2382" w:type="dxa"/>
            <w:vAlign w:val="center"/>
          </w:tcPr>
          <w:p w14:paraId="664A9FFA"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交通便捷度</w:t>
            </w:r>
          </w:p>
        </w:tc>
        <w:tc>
          <w:tcPr>
            <w:tcW w:w="1275" w:type="dxa"/>
            <w:vAlign w:val="center"/>
          </w:tcPr>
          <w:p w14:paraId="57E82459" w14:textId="77777777" w:rsidR="0062768B" w:rsidRDefault="00136729" w:rsidP="004532BF">
            <w:pPr>
              <w:spacing w:line="240" w:lineRule="atLeast"/>
              <w:rPr>
                <w:rFonts w:ascii="Arial" w:hAnsi="Arial" w:cs="Arial"/>
                <w:sz w:val="22"/>
                <w:szCs w:val="22"/>
              </w:rPr>
            </w:pPr>
            <w:r>
              <w:rPr>
                <w:rFonts w:ascii="Arial" w:hAnsi="Arial" w:cs="Arial"/>
                <w:sz w:val="22"/>
                <w:szCs w:val="22"/>
              </w:rPr>
              <w:t>3.90</w:t>
            </w:r>
          </w:p>
        </w:tc>
        <w:tc>
          <w:tcPr>
            <w:tcW w:w="1355" w:type="dxa"/>
            <w:vAlign w:val="center"/>
          </w:tcPr>
          <w:p w14:paraId="7FC75746" w14:textId="77777777" w:rsidR="0062768B" w:rsidRDefault="00136729" w:rsidP="004532BF">
            <w:pPr>
              <w:spacing w:line="240" w:lineRule="atLeast"/>
              <w:rPr>
                <w:rFonts w:ascii="Arial" w:hAnsi="Arial" w:cs="Arial"/>
                <w:sz w:val="22"/>
                <w:szCs w:val="22"/>
              </w:rPr>
            </w:pPr>
            <w:r>
              <w:rPr>
                <w:rFonts w:ascii="Arial" w:hAnsi="Arial" w:cs="Arial"/>
                <w:sz w:val="22"/>
                <w:szCs w:val="22"/>
              </w:rPr>
              <w:t>1.95</w:t>
            </w:r>
          </w:p>
        </w:tc>
        <w:tc>
          <w:tcPr>
            <w:tcW w:w="1456" w:type="dxa"/>
            <w:vAlign w:val="center"/>
          </w:tcPr>
          <w:p w14:paraId="1D6C1CAE"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5795099D" w14:textId="77777777" w:rsidR="0062768B" w:rsidRDefault="00136729" w:rsidP="004532BF">
            <w:pPr>
              <w:spacing w:line="240" w:lineRule="atLeast"/>
              <w:rPr>
                <w:rFonts w:ascii="Arial" w:hAnsi="Arial" w:cs="Arial"/>
                <w:sz w:val="22"/>
                <w:szCs w:val="22"/>
              </w:rPr>
            </w:pPr>
            <w:r>
              <w:rPr>
                <w:rFonts w:ascii="Arial" w:hAnsi="Arial" w:cs="Arial"/>
                <w:sz w:val="22"/>
                <w:szCs w:val="22"/>
              </w:rPr>
              <w:t>-1.95</w:t>
            </w:r>
          </w:p>
        </w:tc>
        <w:tc>
          <w:tcPr>
            <w:tcW w:w="1440" w:type="dxa"/>
            <w:vAlign w:val="center"/>
          </w:tcPr>
          <w:p w14:paraId="0B9EB40A" w14:textId="77777777" w:rsidR="0062768B" w:rsidRDefault="00136729" w:rsidP="004532BF">
            <w:pPr>
              <w:spacing w:line="240" w:lineRule="atLeast"/>
              <w:rPr>
                <w:rFonts w:ascii="Arial" w:hAnsi="Arial" w:cs="Arial"/>
                <w:sz w:val="22"/>
                <w:szCs w:val="22"/>
              </w:rPr>
            </w:pPr>
            <w:r>
              <w:rPr>
                <w:rFonts w:ascii="Arial" w:hAnsi="Arial" w:cs="Arial"/>
                <w:sz w:val="22"/>
                <w:szCs w:val="22"/>
              </w:rPr>
              <w:t>-3.90</w:t>
            </w:r>
          </w:p>
        </w:tc>
      </w:tr>
      <w:tr w:rsidR="0062768B" w14:paraId="63AE3662" w14:textId="77777777">
        <w:trPr>
          <w:cantSplit/>
          <w:trHeight w:val="90"/>
          <w:jc w:val="center"/>
        </w:trPr>
        <w:tc>
          <w:tcPr>
            <w:tcW w:w="2382" w:type="dxa"/>
            <w:vAlign w:val="center"/>
          </w:tcPr>
          <w:p w14:paraId="21F75716"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区域土地利用方向</w:t>
            </w:r>
          </w:p>
        </w:tc>
        <w:tc>
          <w:tcPr>
            <w:tcW w:w="1275" w:type="dxa"/>
            <w:vAlign w:val="center"/>
          </w:tcPr>
          <w:p w14:paraId="28D4AF4D" w14:textId="77777777" w:rsidR="0062768B" w:rsidRDefault="00136729" w:rsidP="004532BF">
            <w:pPr>
              <w:spacing w:line="240" w:lineRule="atLeast"/>
              <w:rPr>
                <w:rFonts w:ascii="Arial" w:hAnsi="Arial" w:cs="Arial"/>
                <w:sz w:val="22"/>
                <w:szCs w:val="22"/>
              </w:rPr>
            </w:pPr>
            <w:r>
              <w:rPr>
                <w:rFonts w:ascii="Arial" w:hAnsi="Arial" w:cs="Arial"/>
                <w:sz w:val="22"/>
                <w:szCs w:val="22"/>
              </w:rPr>
              <w:t>1.64</w:t>
            </w:r>
          </w:p>
        </w:tc>
        <w:tc>
          <w:tcPr>
            <w:tcW w:w="1355" w:type="dxa"/>
            <w:vAlign w:val="center"/>
          </w:tcPr>
          <w:p w14:paraId="0255DB51" w14:textId="77777777" w:rsidR="0062768B" w:rsidRDefault="00136729" w:rsidP="004532BF">
            <w:pPr>
              <w:spacing w:line="240" w:lineRule="atLeast"/>
              <w:rPr>
                <w:rFonts w:ascii="Arial" w:hAnsi="Arial" w:cs="Arial"/>
                <w:sz w:val="22"/>
                <w:szCs w:val="22"/>
              </w:rPr>
            </w:pPr>
            <w:r>
              <w:rPr>
                <w:rFonts w:ascii="Arial" w:hAnsi="Arial" w:cs="Arial"/>
                <w:sz w:val="22"/>
                <w:szCs w:val="22"/>
              </w:rPr>
              <w:t>0.82</w:t>
            </w:r>
          </w:p>
        </w:tc>
        <w:tc>
          <w:tcPr>
            <w:tcW w:w="1456" w:type="dxa"/>
            <w:vAlign w:val="center"/>
          </w:tcPr>
          <w:p w14:paraId="32CB6AB3"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40C91851" w14:textId="77777777" w:rsidR="0062768B" w:rsidRDefault="00136729" w:rsidP="004532BF">
            <w:pPr>
              <w:spacing w:line="240" w:lineRule="atLeast"/>
              <w:rPr>
                <w:rFonts w:ascii="Arial" w:hAnsi="Arial" w:cs="Arial"/>
                <w:sz w:val="22"/>
                <w:szCs w:val="22"/>
              </w:rPr>
            </w:pPr>
            <w:r>
              <w:rPr>
                <w:rFonts w:ascii="Arial" w:hAnsi="Arial" w:cs="Arial"/>
                <w:sz w:val="22"/>
                <w:szCs w:val="22"/>
              </w:rPr>
              <w:t>-0.82</w:t>
            </w:r>
          </w:p>
        </w:tc>
        <w:tc>
          <w:tcPr>
            <w:tcW w:w="1440" w:type="dxa"/>
            <w:vAlign w:val="center"/>
          </w:tcPr>
          <w:p w14:paraId="7DB6AA3F" w14:textId="77777777" w:rsidR="0062768B" w:rsidRDefault="00136729" w:rsidP="004532BF">
            <w:pPr>
              <w:spacing w:line="240" w:lineRule="atLeast"/>
              <w:rPr>
                <w:rFonts w:ascii="Arial" w:hAnsi="Arial" w:cs="Arial"/>
                <w:sz w:val="22"/>
                <w:szCs w:val="22"/>
              </w:rPr>
            </w:pPr>
            <w:r>
              <w:rPr>
                <w:rFonts w:ascii="Arial" w:hAnsi="Arial" w:cs="Arial"/>
                <w:sz w:val="22"/>
                <w:szCs w:val="22"/>
              </w:rPr>
              <w:t>-1.64</w:t>
            </w:r>
          </w:p>
        </w:tc>
      </w:tr>
      <w:tr w:rsidR="0062768B" w14:paraId="6544F010" w14:textId="77777777">
        <w:trPr>
          <w:cantSplit/>
          <w:trHeight w:val="90"/>
          <w:jc w:val="center"/>
        </w:trPr>
        <w:tc>
          <w:tcPr>
            <w:tcW w:w="2382" w:type="dxa"/>
            <w:vAlign w:val="center"/>
          </w:tcPr>
          <w:p w14:paraId="2D69456A"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临街宽度和深度</w:t>
            </w:r>
          </w:p>
        </w:tc>
        <w:tc>
          <w:tcPr>
            <w:tcW w:w="1275" w:type="dxa"/>
            <w:vAlign w:val="center"/>
          </w:tcPr>
          <w:p w14:paraId="3A98B7FE"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c>
          <w:tcPr>
            <w:tcW w:w="1355" w:type="dxa"/>
            <w:vAlign w:val="center"/>
          </w:tcPr>
          <w:p w14:paraId="0FD765DD"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56" w:type="dxa"/>
            <w:vAlign w:val="center"/>
          </w:tcPr>
          <w:p w14:paraId="556B99EA"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1BFC7C8D"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40" w:type="dxa"/>
            <w:vAlign w:val="center"/>
          </w:tcPr>
          <w:p w14:paraId="4042FF32"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r>
      <w:tr w:rsidR="0062768B" w14:paraId="4C9D74B7" w14:textId="77777777">
        <w:trPr>
          <w:cantSplit/>
          <w:trHeight w:val="90"/>
          <w:jc w:val="center"/>
        </w:trPr>
        <w:tc>
          <w:tcPr>
            <w:tcW w:w="2382" w:type="dxa"/>
            <w:vAlign w:val="center"/>
          </w:tcPr>
          <w:p w14:paraId="20BA79EB"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临街道路状况</w:t>
            </w:r>
          </w:p>
        </w:tc>
        <w:tc>
          <w:tcPr>
            <w:tcW w:w="1275" w:type="dxa"/>
            <w:vAlign w:val="center"/>
          </w:tcPr>
          <w:p w14:paraId="2CE3F9A0"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c>
          <w:tcPr>
            <w:tcW w:w="1355" w:type="dxa"/>
            <w:vAlign w:val="center"/>
          </w:tcPr>
          <w:p w14:paraId="40EC2D04"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56" w:type="dxa"/>
            <w:vAlign w:val="center"/>
          </w:tcPr>
          <w:p w14:paraId="3F87CDA4"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57E8E897"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40" w:type="dxa"/>
            <w:vAlign w:val="center"/>
          </w:tcPr>
          <w:p w14:paraId="1D2FC4CC"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r>
      <w:tr w:rsidR="0062768B" w14:paraId="7D6588B5" w14:textId="77777777">
        <w:trPr>
          <w:cantSplit/>
          <w:trHeight w:val="90"/>
          <w:jc w:val="center"/>
        </w:trPr>
        <w:tc>
          <w:tcPr>
            <w:tcW w:w="2382" w:type="dxa"/>
            <w:vAlign w:val="center"/>
          </w:tcPr>
          <w:p w14:paraId="4F936992"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宗地形状及可利用程度</w:t>
            </w:r>
          </w:p>
        </w:tc>
        <w:tc>
          <w:tcPr>
            <w:tcW w:w="1275" w:type="dxa"/>
            <w:vAlign w:val="center"/>
          </w:tcPr>
          <w:p w14:paraId="6545DEC1" w14:textId="77777777" w:rsidR="0062768B" w:rsidRDefault="00136729" w:rsidP="004532BF">
            <w:pPr>
              <w:spacing w:line="240" w:lineRule="atLeast"/>
              <w:rPr>
                <w:rFonts w:ascii="Arial" w:hAnsi="Arial" w:cs="Arial"/>
                <w:sz w:val="22"/>
                <w:szCs w:val="22"/>
              </w:rPr>
            </w:pPr>
            <w:r>
              <w:rPr>
                <w:rFonts w:ascii="Arial" w:hAnsi="Arial" w:cs="Arial"/>
                <w:sz w:val="22"/>
                <w:szCs w:val="22"/>
              </w:rPr>
              <w:t>0.90</w:t>
            </w:r>
          </w:p>
        </w:tc>
        <w:tc>
          <w:tcPr>
            <w:tcW w:w="1355" w:type="dxa"/>
            <w:vAlign w:val="center"/>
          </w:tcPr>
          <w:p w14:paraId="447F6E5A" w14:textId="77777777" w:rsidR="0062768B" w:rsidRDefault="00136729" w:rsidP="004532BF">
            <w:pPr>
              <w:spacing w:line="240" w:lineRule="atLeast"/>
              <w:rPr>
                <w:rFonts w:ascii="Arial" w:hAnsi="Arial" w:cs="Arial"/>
                <w:sz w:val="22"/>
                <w:szCs w:val="22"/>
              </w:rPr>
            </w:pPr>
            <w:r>
              <w:rPr>
                <w:rFonts w:ascii="Arial" w:hAnsi="Arial" w:cs="Arial"/>
                <w:sz w:val="22"/>
                <w:szCs w:val="22"/>
              </w:rPr>
              <w:t>0.45</w:t>
            </w:r>
          </w:p>
        </w:tc>
        <w:tc>
          <w:tcPr>
            <w:tcW w:w="1456" w:type="dxa"/>
            <w:vAlign w:val="center"/>
          </w:tcPr>
          <w:p w14:paraId="67B93D2C"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486CAFF4" w14:textId="77777777" w:rsidR="0062768B" w:rsidRDefault="00136729" w:rsidP="004532BF">
            <w:pPr>
              <w:spacing w:line="240" w:lineRule="atLeast"/>
              <w:rPr>
                <w:rFonts w:ascii="Arial" w:hAnsi="Arial" w:cs="Arial"/>
                <w:sz w:val="22"/>
                <w:szCs w:val="22"/>
              </w:rPr>
            </w:pPr>
            <w:r>
              <w:rPr>
                <w:rFonts w:ascii="Arial" w:hAnsi="Arial" w:cs="Arial"/>
                <w:sz w:val="22"/>
                <w:szCs w:val="22"/>
              </w:rPr>
              <w:t>-0.45</w:t>
            </w:r>
          </w:p>
        </w:tc>
        <w:tc>
          <w:tcPr>
            <w:tcW w:w="1440" w:type="dxa"/>
            <w:vAlign w:val="center"/>
          </w:tcPr>
          <w:p w14:paraId="0CA6FDDC" w14:textId="77777777" w:rsidR="0062768B" w:rsidRDefault="00136729" w:rsidP="004532BF">
            <w:pPr>
              <w:spacing w:line="240" w:lineRule="atLeast"/>
              <w:rPr>
                <w:rFonts w:ascii="Arial" w:hAnsi="Arial" w:cs="Arial"/>
                <w:sz w:val="22"/>
                <w:szCs w:val="22"/>
              </w:rPr>
            </w:pPr>
            <w:r>
              <w:rPr>
                <w:rFonts w:ascii="Arial" w:hAnsi="Arial" w:cs="Arial"/>
                <w:sz w:val="22"/>
                <w:szCs w:val="22"/>
              </w:rPr>
              <w:t>-0.90</w:t>
            </w:r>
          </w:p>
        </w:tc>
      </w:tr>
      <w:tr w:rsidR="0062768B" w14:paraId="5850050B" w14:textId="77777777">
        <w:trPr>
          <w:cantSplit/>
          <w:trHeight w:val="90"/>
          <w:jc w:val="center"/>
        </w:trPr>
        <w:tc>
          <w:tcPr>
            <w:tcW w:w="2382" w:type="dxa"/>
            <w:vAlign w:val="center"/>
          </w:tcPr>
          <w:p w14:paraId="3B3A72E7"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公共服务设施状况</w:t>
            </w:r>
          </w:p>
        </w:tc>
        <w:tc>
          <w:tcPr>
            <w:tcW w:w="1275" w:type="dxa"/>
            <w:vAlign w:val="center"/>
          </w:tcPr>
          <w:p w14:paraId="4C56D82A" w14:textId="77777777" w:rsidR="0062768B" w:rsidRDefault="00136729" w:rsidP="004532BF">
            <w:pPr>
              <w:spacing w:line="240" w:lineRule="atLeast"/>
              <w:rPr>
                <w:rFonts w:ascii="Arial" w:hAnsi="Arial" w:cs="Arial"/>
                <w:sz w:val="22"/>
                <w:szCs w:val="22"/>
              </w:rPr>
            </w:pPr>
            <w:r>
              <w:rPr>
                <w:rFonts w:ascii="Arial" w:hAnsi="Arial" w:cs="Arial"/>
                <w:sz w:val="22"/>
                <w:szCs w:val="22"/>
              </w:rPr>
              <w:t>0.90</w:t>
            </w:r>
          </w:p>
        </w:tc>
        <w:tc>
          <w:tcPr>
            <w:tcW w:w="1355" w:type="dxa"/>
            <w:vAlign w:val="center"/>
          </w:tcPr>
          <w:p w14:paraId="3AAFB1B4" w14:textId="77777777" w:rsidR="0062768B" w:rsidRDefault="00136729" w:rsidP="004532BF">
            <w:pPr>
              <w:spacing w:line="240" w:lineRule="atLeast"/>
              <w:rPr>
                <w:rFonts w:ascii="Arial" w:hAnsi="Arial" w:cs="Arial"/>
                <w:sz w:val="22"/>
                <w:szCs w:val="22"/>
              </w:rPr>
            </w:pPr>
            <w:r>
              <w:rPr>
                <w:rFonts w:ascii="Arial" w:hAnsi="Arial" w:cs="Arial"/>
                <w:sz w:val="22"/>
                <w:szCs w:val="22"/>
              </w:rPr>
              <w:t>0.45</w:t>
            </w:r>
          </w:p>
        </w:tc>
        <w:tc>
          <w:tcPr>
            <w:tcW w:w="1456" w:type="dxa"/>
            <w:vAlign w:val="center"/>
          </w:tcPr>
          <w:p w14:paraId="01411632"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38FD1A70" w14:textId="77777777" w:rsidR="0062768B" w:rsidRDefault="00136729" w:rsidP="004532BF">
            <w:pPr>
              <w:spacing w:line="240" w:lineRule="atLeast"/>
              <w:rPr>
                <w:rFonts w:ascii="Arial" w:hAnsi="Arial" w:cs="Arial"/>
                <w:sz w:val="22"/>
                <w:szCs w:val="22"/>
              </w:rPr>
            </w:pPr>
            <w:r>
              <w:rPr>
                <w:rFonts w:ascii="Arial" w:hAnsi="Arial" w:cs="Arial"/>
                <w:sz w:val="22"/>
                <w:szCs w:val="22"/>
              </w:rPr>
              <w:t>-0.45</w:t>
            </w:r>
          </w:p>
        </w:tc>
        <w:tc>
          <w:tcPr>
            <w:tcW w:w="1440" w:type="dxa"/>
            <w:vAlign w:val="center"/>
          </w:tcPr>
          <w:p w14:paraId="60EBFCD9" w14:textId="77777777" w:rsidR="0062768B" w:rsidRDefault="00136729" w:rsidP="004532BF">
            <w:pPr>
              <w:spacing w:line="240" w:lineRule="atLeast"/>
              <w:rPr>
                <w:rFonts w:ascii="Arial" w:hAnsi="Arial" w:cs="Arial"/>
                <w:sz w:val="22"/>
                <w:szCs w:val="22"/>
              </w:rPr>
            </w:pPr>
            <w:r>
              <w:rPr>
                <w:rFonts w:ascii="Arial" w:hAnsi="Arial" w:cs="Arial"/>
                <w:sz w:val="22"/>
                <w:szCs w:val="22"/>
              </w:rPr>
              <w:t>-0.90</w:t>
            </w:r>
          </w:p>
        </w:tc>
      </w:tr>
      <w:tr w:rsidR="0062768B" w14:paraId="59774672" w14:textId="77777777">
        <w:trPr>
          <w:cantSplit/>
          <w:trHeight w:val="90"/>
          <w:jc w:val="center"/>
        </w:trPr>
        <w:tc>
          <w:tcPr>
            <w:tcW w:w="2382" w:type="dxa"/>
            <w:vAlign w:val="center"/>
          </w:tcPr>
          <w:p w14:paraId="10DE6CA3"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lastRenderedPageBreak/>
              <w:t>基础设施完备状况</w:t>
            </w:r>
          </w:p>
        </w:tc>
        <w:tc>
          <w:tcPr>
            <w:tcW w:w="1275" w:type="dxa"/>
            <w:vAlign w:val="center"/>
          </w:tcPr>
          <w:p w14:paraId="3FFA636F" w14:textId="77777777" w:rsidR="0062768B" w:rsidRDefault="00136729" w:rsidP="004532BF">
            <w:pPr>
              <w:spacing w:line="240" w:lineRule="atLeast"/>
              <w:rPr>
                <w:rFonts w:ascii="Arial" w:hAnsi="Arial" w:cs="Arial"/>
                <w:sz w:val="22"/>
                <w:szCs w:val="22"/>
              </w:rPr>
            </w:pPr>
            <w:r>
              <w:rPr>
                <w:rFonts w:ascii="Arial" w:hAnsi="Arial" w:cs="Arial"/>
                <w:sz w:val="22"/>
                <w:szCs w:val="22"/>
              </w:rPr>
              <w:t>1.34</w:t>
            </w:r>
          </w:p>
        </w:tc>
        <w:tc>
          <w:tcPr>
            <w:tcW w:w="1355" w:type="dxa"/>
            <w:vAlign w:val="center"/>
          </w:tcPr>
          <w:p w14:paraId="03C57856" w14:textId="77777777" w:rsidR="0062768B" w:rsidRDefault="00136729" w:rsidP="004532BF">
            <w:pPr>
              <w:spacing w:line="240" w:lineRule="atLeast"/>
              <w:rPr>
                <w:rFonts w:ascii="Arial" w:hAnsi="Arial" w:cs="Arial"/>
                <w:sz w:val="22"/>
                <w:szCs w:val="22"/>
              </w:rPr>
            </w:pPr>
            <w:r>
              <w:rPr>
                <w:rFonts w:ascii="Arial" w:hAnsi="Arial" w:cs="Arial"/>
                <w:sz w:val="22"/>
                <w:szCs w:val="22"/>
              </w:rPr>
              <w:t>0.67</w:t>
            </w:r>
          </w:p>
        </w:tc>
        <w:tc>
          <w:tcPr>
            <w:tcW w:w="1456" w:type="dxa"/>
            <w:vAlign w:val="center"/>
          </w:tcPr>
          <w:p w14:paraId="49A63B02"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0932854F" w14:textId="77777777" w:rsidR="0062768B" w:rsidRDefault="00136729" w:rsidP="004532BF">
            <w:pPr>
              <w:spacing w:line="240" w:lineRule="atLeast"/>
              <w:rPr>
                <w:rFonts w:ascii="Arial" w:hAnsi="Arial" w:cs="Arial"/>
                <w:sz w:val="22"/>
                <w:szCs w:val="22"/>
              </w:rPr>
            </w:pPr>
            <w:r>
              <w:rPr>
                <w:rFonts w:ascii="Arial" w:hAnsi="Arial" w:cs="Arial"/>
                <w:sz w:val="22"/>
                <w:szCs w:val="22"/>
              </w:rPr>
              <w:t>-0.67</w:t>
            </w:r>
          </w:p>
        </w:tc>
        <w:tc>
          <w:tcPr>
            <w:tcW w:w="1440" w:type="dxa"/>
            <w:vAlign w:val="center"/>
          </w:tcPr>
          <w:p w14:paraId="7230E969" w14:textId="77777777" w:rsidR="0062768B" w:rsidRDefault="00136729" w:rsidP="004532BF">
            <w:pPr>
              <w:spacing w:line="240" w:lineRule="atLeast"/>
              <w:rPr>
                <w:rFonts w:ascii="Arial" w:hAnsi="Arial" w:cs="Arial"/>
                <w:sz w:val="22"/>
                <w:szCs w:val="22"/>
              </w:rPr>
            </w:pPr>
            <w:r>
              <w:rPr>
                <w:rFonts w:ascii="Arial" w:hAnsi="Arial" w:cs="Arial"/>
                <w:sz w:val="22"/>
                <w:szCs w:val="22"/>
              </w:rPr>
              <w:t>-1.34</w:t>
            </w:r>
          </w:p>
        </w:tc>
      </w:tr>
      <w:tr w:rsidR="0062768B" w14:paraId="35967184" w14:textId="77777777">
        <w:trPr>
          <w:cantSplit/>
          <w:trHeight w:val="90"/>
          <w:jc w:val="center"/>
        </w:trPr>
        <w:tc>
          <w:tcPr>
            <w:tcW w:w="2382" w:type="dxa"/>
            <w:vAlign w:val="center"/>
          </w:tcPr>
          <w:p w14:paraId="4FD6736E"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自然和人文环境状况</w:t>
            </w:r>
          </w:p>
        </w:tc>
        <w:tc>
          <w:tcPr>
            <w:tcW w:w="1275" w:type="dxa"/>
            <w:vAlign w:val="center"/>
          </w:tcPr>
          <w:p w14:paraId="71173201" w14:textId="77777777" w:rsidR="0062768B" w:rsidRDefault="00136729" w:rsidP="004532BF">
            <w:pPr>
              <w:spacing w:line="240" w:lineRule="atLeast"/>
              <w:rPr>
                <w:rFonts w:ascii="Arial" w:hAnsi="Arial" w:cs="Arial"/>
                <w:sz w:val="22"/>
                <w:szCs w:val="22"/>
              </w:rPr>
            </w:pPr>
            <w:r>
              <w:rPr>
                <w:rFonts w:ascii="Arial" w:hAnsi="Arial" w:cs="Arial"/>
                <w:sz w:val="22"/>
                <w:szCs w:val="22"/>
              </w:rPr>
              <w:t>1.04</w:t>
            </w:r>
          </w:p>
        </w:tc>
        <w:tc>
          <w:tcPr>
            <w:tcW w:w="1355" w:type="dxa"/>
            <w:vAlign w:val="center"/>
          </w:tcPr>
          <w:p w14:paraId="21E6318C" w14:textId="77777777" w:rsidR="0062768B" w:rsidRDefault="00136729" w:rsidP="004532BF">
            <w:pPr>
              <w:spacing w:line="240" w:lineRule="atLeast"/>
              <w:rPr>
                <w:rFonts w:ascii="Arial" w:hAnsi="Arial" w:cs="Arial"/>
                <w:sz w:val="22"/>
                <w:szCs w:val="22"/>
              </w:rPr>
            </w:pPr>
            <w:r>
              <w:rPr>
                <w:rFonts w:ascii="Arial" w:hAnsi="Arial" w:cs="Arial"/>
                <w:sz w:val="22"/>
                <w:szCs w:val="22"/>
              </w:rPr>
              <w:t>0.52</w:t>
            </w:r>
          </w:p>
        </w:tc>
        <w:tc>
          <w:tcPr>
            <w:tcW w:w="1456" w:type="dxa"/>
            <w:vAlign w:val="center"/>
          </w:tcPr>
          <w:p w14:paraId="170791F7"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18777CDC" w14:textId="77777777" w:rsidR="0062768B" w:rsidRDefault="00136729" w:rsidP="004532BF">
            <w:pPr>
              <w:spacing w:line="240" w:lineRule="atLeast"/>
              <w:rPr>
                <w:rFonts w:ascii="Arial" w:hAnsi="Arial" w:cs="Arial"/>
                <w:sz w:val="22"/>
                <w:szCs w:val="22"/>
              </w:rPr>
            </w:pPr>
            <w:r>
              <w:rPr>
                <w:rFonts w:ascii="Arial" w:hAnsi="Arial" w:cs="Arial"/>
                <w:sz w:val="22"/>
                <w:szCs w:val="22"/>
              </w:rPr>
              <w:t>-0.52</w:t>
            </w:r>
          </w:p>
        </w:tc>
        <w:tc>
          <w:tcPr>
            <w:tcW w:w="1440" w:type="dxa"/>
            <w:vAlign w:val="center"/>
          </w:tcPr>
          <w:p w14:paraId="3AFDCC61" w14:textId="77777777" w:rsidR="0062768B" w:rsidRDefault="00136729" w:rsidP="004532BF">
            <w:pPr>
              <w:spacing w:line="240" w:lineRule="atLeast"/>
              <w:rPr>
                <w:rFonts w:ascii="Arial" w:hAnsi="Arial" w:cs="Arial"/>
                <w:sz w:val="22"/>
                <w:szCs w:val="22"/>
              </w:rPr>
            </w:pPr>
            <w:r>
              <w:rPr>
                <w:rFonts w:ascii="Arial" w:hAnsi="Arial" w:cs="Arial"/>
                <w:sz w:val="22"/>
                <w:szCs w:val="22"/>
              </w:rPr>
              <w:t>-1.04</w:t>
            </w:r>
          </w:p>
        </w:tc>
      </w:tr>
    </w:tbl>
    <w:p w14:paraId="678DAB58" w14:textId="77777777" w:rsidR="0062768B" w:rsidRDefault="00136729">
      <w:pPr>
        <w:autoSpaceDE w:val="0"/>
        <w:autoSpaceDN w:val="0"/>
        <w:spacing w:line="240" w:lineRule="exact"/>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hint="eastAsia"/>
          <w:sz w:val="18"/>
          <w:szCs w:val="24"/>
        </w:rPr>
        <w:t>%</w:t>
      </w:r>
    </w:p>
    <w:p w14:paraId="40F3395E" w14:textId="77777777" w:rsidR="0062768B" w:rsidRDefault="00136729">
      <w:pPr>
        <w:adjustRightInd/>
        <w:spacing w:line="300" w:lineRule="auto"/>
        <w:ind w:firstLineChars="200" w:firstLine="560"/>
        <w:jc w:val="both"/>
        <w:rPr>
          <w:rFonts w:ascii="仿宋" w:eastAsia="仿宋" w:hAnsi="仿宋" w:cs="Arial"/>
          <w:sz w:val="28"/>
        </w:rPr>
      </w:pPr>
      <w:r>
        <w:rPr>
          <w:rFonts w:ascii="仿宋" w:eastAsia="仿宋" w:hAnsi="仿宋" w:cs="Arial"/>
          <w:sz w:val="28"/>
        </w:rPr>
        <w:t>按照因素等级情况说明表、等级系数表以及估价对象的区域因素和个别因素条件，编制估价对象因素修正系数表如下：</w:t>
      </w:r>
    </w:p>
    <w:p w14:paraId="0A1AD43E" w14:textId="77777777" w:rsidR="0062768B" w:rsidRDefault="00136729">
      <w:pPr>
        <w:spacing w:line="300" w:lineRule="auto"/>
        <w:jc w:val="center"/>
        <w:rPr>
          <w:rFonts w:ascii="仿宋" w:eastAsia="仿宋" w:hAnsi="仿宋" w:cs="Arial"/>
          <w:sz w:val="28"/>
        </w:rPr>
      </w:pPr>
      <w:r>
        <w:rPr>
          <w:rFonts w:ascii="仿宋" w:eastAsia="仿宋" w:hAnsi="仿宋" w:cs="Arial"/>
          <w:sz w:val="28"/>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8"/>
        <w:gridCol w:w="2265"/>
        <w:gridCol w:w="5150"/>
        <w:gridCol w:w="709"/>
        <w:gridCol w:w="747"/>
      </w:tblGrid>
      <w:tr w:rsidR="0062768B" w14:paraId="3A8F7801" w14:textId="77777777">
        <w:trPr>
          <w:cantSplit/>
          <w:tblHeader/>
          <w:jc w:val="center"/>
        </w:trPr>
        <w:tc>
          <w:tcPr>
            <w:tcW w:w="428" w:type="dxa"/>
            <w:vAlign w:val="center"/>
          </w:tcPr>
          <w:p w14:paraId="424CFC74"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序号</w:t>
            </w:r>
          </w:p>
        </w:tc>
        <w:tc>
          <w:tcPr>
            <w:tcW w:w="2265" w:type="dxa"/>
            <w:vAlign w:val="center"/>
          </w:tcPr>
          <w:p w14:paraId="1E7DD53F"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影响因素</w:t>
            </w:r>
          </w:p>
        </w:tc>
        <w:tc>
          <w:tcPr>
            <w:tcW w:w="5150" w:type="dxa"/>
            <w:vAlign w:val="center"/>
          </w:tcPr>
          <w:p w14:paraId="5C6A82F7"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估价对象情况</w:t>
            </w:r>
          </w:p>
        </w:tc>
        <w:tc>
          <w:tcPr>
            <w:tcW w:w="709" w:type="dxa"/>
            <w:vAlign w:val="center"/>
          </w:tcPr>
          <w:p w14:paraId="7D2F1698"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等级</w:t>
            </w:r>
          </w:p>
        </w:tc>
        <w:tc>
          <w:tcPr>
            <w:tcW w:w="747" w:type="dxa"/>
            <w:vAlign w:val="center"/>
          </w:tcPr>
          <w:p w14:paraId="1282AF65"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修正系数</w:t>
            </w:r>
          </w:p>
        </w:tc>
      </w:tr>
      <w:tr w:rsidR="0062768B" w14:paraId="02AADC08" w14:textId="77777777">
        <w:trPr>
          <w:cantSplit/>
          <w:jc w:val="center"/>
        </w:trPr>
        <w:tc>
          <w:tcPr>
            <w:tcW w:w="428" w:type="dxa"/>
            <w:vAlign w:val="center"/>
          </w:tcPr>
          <w:p w14:paraId="2CFB8EB0"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w:t>
            </w:r>
          </w:p>
        </w:tc>
        <w:tc>
          <w:tcPr>
            <w:tcW w:w="2265" w:type="dxa"/>
            <w:vAlign w:val="center"/>
          </w:tcPr>
          <w:p w14:paraId="499DC4FD"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物业聚集程度</w:t>
            </w:r>
          </w:p>
        </w:tc>
        <w:tc>
          <w:tcPr>
            <w:tcW w:w="5150" w:type="dxa"/>
            <w:vAlign w:val="center"/>
          </w:tcPr>
          <w:p w14:paraId="449AE996" w14:textId="77777777" w:rsidR="0062768B" w:rsidRDefault="00136729">
            <w:pPr>
              <w:adjustRightInd/>
              <w:spacing w:line="240" w:lineRule="exact"/>
              <w:rPr>
                <w:rFonts w:ascii="Arial" w:eastAsia="仿宋" w:hAnsi="Arial" w:cs="Arial"/>
                <w:sz w:val="21"/>
                <w:szCs w:val="21"/>
              </w:rPr>
            </w:pPr>
            <w:r>
              <w:rPr>
                <w:rFonts w:ascii="Arial" w:eastAsia="仿宋" w:hAnsi="Arial" w:cs="Arial" w:hint="eastAsia"/>
                <w:sz w:val="21"/>
                <w:szCs w:val="21"/>
              </w:rPr>
              <w:t>估价对象位于北京市顺义区高丽营镇夏县营村，周边</w:t>
            </w:r>
            <w:r>
              <w:rPr>
                <w:rFonts w:ascii="Arial" w:eastAsia="仿宋" w:hAnsi="Arial" w:cs="Arial" w:hint="eastAsia"/>
                <w:sz w:val="21"/>
                <w:szCs w:val="21"/>
              </w:rPr>
              <w:t>2</w:t>
            </w:r>
            <w:r>
              <w:rPr>
                <w:rFonts w:ascii="Arial" w:eastAsia="仿宋" w:hAnsi="Arial" w:cs="Arial" w:hint="eastAsia"/>
                <w:sz w:val="21"/>
                <w:szCs w:val="21"/>
              </w:rPr>
              <w:t>公里范围内</w:t>
            </w:r>
            <w:proofErr w:type="gramStart"/>
            <w:r>
              <w:rPr>
                <w:rFonts w:ascii="Arial" w:eastAsia="仿宋" w:hAnsi="Arial" w:cs="Arial" w:hint="eastAsia"/>
                <w:sz w:val="21"/>
                <w:szCs w:val="21"/>
              </w:rPr>
              <w:t>有双悦大楼</w:t>
            </w:r>
            <w:proofErr w:type="gramEnd"/>
            <w:r>
              <w:rPr>
                <w:rFonts w:ascii="Arial" w:eastAsia="仿宋" w:hAnsi="Arial" w:cs="Arial" w:hint="eastAsia"/>
                <w:sz w:val="21"/>
                <w:szCs w:val="21"/>
              </w:rPr>
              <w:t>、智慧谷商务中心等办公项目，周边公共服务物业数量较少，物业集聚程度较差。</w:t>
            </w:r>
          </w:p>
        </w:tc>
        <w:tc>
          <w:tcPr>
            <w:tcW w:w="709" w:type="dxa"/>
            <w:vAlign w:val="center"/>
          </w:tcPr>
          <w:p w14:paraId="06000ADE"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较差</w:t>
            </w:r>
          </w:p>
        </w:tc>
        <w:tc>
          <w:tcPr>
            <w:tcW w:w="747" w:type="dxa"/>
            <w:vAlign w:val="center"/>
          </w:tcPr>
          <w:p w14:paraId="4AADA54A"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-1.87%</w:t>
            </w:r>
          </w:p>
        </w:tc>
      </w:tr>
      <w:tr w:rsidR="0062768B" w14:paraId="616185D2" w14:textId="77777777">
        <w:trPr>
          <w:cantSplit/>
          <w:jc w:val="center"/>
        </w:trPr>
        <w:tc>
          <w:tcPr>
            <w:tcW w:w="428" w:type="dxa"/>
            <w:vAlign w:val="center"/>
          </w:tcPr>
          <w:p w14:paraId="6FC7D1B4"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w:t>
            </w:r>
          </w:p>
        </w:tc>
        <w:tc>
          <w:tcPr>
            <w:tcW w:w="2265" w:type="dxa"/>
            <w:vAlign w:val="center"/>
          </w:tcPr>
          <w:p w14:paraId="5FC4EC70"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交通便捷度</w:t>
            </w:r>
          </w:p>
        </w:tc>
        <w:tc>
          <w:tcPr>
            <w:tcW w:w="5150" w:type="dxa"/>
            <w:vAlign w:val="center"/>
          </w:tcPr>
          <w:p w14:paraId="20AF73CF"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估价对象属于北京市顺义区高丽营镇夏县营村，估价对象紧</w:t>
            </w:r>
            <w:proofErr w:type="gramStart"/>
            <w:r>
              <w:rPr>
                <w:rFonts w:ascii="Arial" w:eastAsia="仿宋" w:hAnsi="Arial" w:cs="Arial" w:hint="eastAsia"/>
                <w:sz w:val="21"/>
                <w:szCs w:val="21"/>
                <w:lang w:bidi="ar"/>
              </w:rPr>
              <w:t>临城市</w:t>
            </w:r>
            <w:proofErr w:type="gramEnd"/>
            <w:r>
              <w:rPr>
                <w:rFonts w:ascii="Arial" w:eastAsia="仿宋" w:hAnsi="Arial" w:cs="Arial" w:hint="eastAsia"/>
                <w:sz w:val="21"/>
                <w:szCs w:val="21"/>
                <w:lang w:bidi="ar"/>
              </w:rPr>
              <w:t>主干道——</w:t>
            </w:r>
            <w:proofErr w:type="gramStart"/>
            <w:r>
              <w:rPr>
                <w:rFonts w:ascii="Arial" w:eastAsia="仿宋" w:hAnsi="Arial" w:cs="Arial" w:hint="eastAsia"/>
                <w:sz w:val="21"/>
                <w:szCs w:val="21"/>
                <w:lang w:bidi="ar"/>
              </w:rPr>
              <w:t>火寺路</w:t>
            </w:r>
            <w:proofErr w:type="gramEnd"/>
            <w:r>
              <w:rPr>
                <w:rFonts w:ascii="Arial" w:eastAsia="仿宋" w:hAnsi="Arial" w:cs="Arial" w:hint="eastAsia"/>
                <w:sz w:val="21"/>
                <w:szCs w:val="21"/>
                <w:lang w:bidi="ar"/>
              </w:rPr>
              <w:t>、周边</w:t>
            </w:r>
            <w:r>
              <w:rPr>
                <w:rFonts w:ascii="Arial" w:eastAsia="仿宋" w:hAnsi="Arial" w:cs="Arial" w:hint="eastAsia"/>
                <w:sz w:val="21"/>
                <w:szCs w:val="21"/>
                <w:lang w:bidi="ar"/>
              </w:rPr>
              <w:t>1</w:t>
            </w:r>
            <w:r>
              <w:rPr>
                <w:rFonts w:ascii="Arial" w:eastAsia="仿宋" w:hAnsi="Arial" w:cs="Arial" w:hint="eastAsia"/>
                <w:sz w:val="21"/>
                <w:szCs w:val="21"/>
                <w:lang w:bidi="ar"/>
              </w:rPr>
              <w:t>公里范围内有顺</w:t>
            </w:r>
            <w:r>
              <w:rPr>
                <w:rFonts w:ascii="Arial" w:eastAsia="仿宋" w:hAnsi="Arial" w:cs="Arial" w:hint="eastAsia"/>
                <w:sz w:val="21"/>
                <w:szCs w:val="21"/>
                <w:lang w:bidi="ar"/>
              </w:rPr>
              <w:t>25</w:t>
            </w:r>
            <w:r>
              <w:rPr>
                <w:rFonts w:ascii="Arial" w:eastAsia="仿宋" w:hAnsi="Arial" w:cs="Arial" w:hint="eastAsia"/>
                <w:sz w:val="21"/>
                <w:szCs w:val="21"/>
                <w:lang w:bidi="ar"/>
              </w:rPr>
              <w:t>路、顺</w:t>
            </w:r>
            <w:r>
              <w:rPr>
                <w:rFonts w:ascii="Arial" w:eastAsia="仿宋" w:hAnsi="Arial" w:cs="Arial" w:hint="eastAsia"/>
                <w:sz w:val="21"/>
                <w:szCs w:val="21"/>
                <w:lang w:bidi="ar"/>
              </w:rPr>
              <w:t>42</w:t>
            </w:r>
            <w:r>
              <w:rPr>
                <w:rFonts w:ascii="Arial" w:eastAsia="仿宋" w:hAnsi="Arial" w:cs="Arial" w:hint="eastAsia"/>
                <w:sz w:val="21"/>
                <w:szCs w:val="21"/>
                <w:lang w:bidi="ar"/>
              </w:rPr>
              <w:t>路、顺</w:t>
            </w:r>
            <w:r>
              <w:rPr>
                <w:rFonts w:ascii="Arial" w:eastAsia="仿宋" w:hAnsi="Arial" w:cs="Arial" w:hint="eastAsia"/>
                <w:sz w:val="21"/>
                <w:szCs w:val="21"/>
                <w:lang w:bidi="ar"/>
              </w:rPr>
              <w:t>49</w:t>
            </w:r>
            <w:r>
              <w:rPr>
                <w:rFonts w:ascii="Arial" w:eastAsia="仿宋" w:hAnsi="Arial" w:cs="Arial" w:hint="eastAsia"/>
                <w:sz w:val="21"/>
                <w:szCs w:val="21"/>
                <w:lang w:bidi="ar"/>
              </w:rPr>
              <w:t>路、顺</w:t>
            </w:r>
            <w:r>
              <w:rPr>
                <w:rFonts w:ascii="Arial" w:eastAsia="仿宋" w:hAnsi="Arial" w:cs="Arial" w:hint="eastAsia"/>
                <w:sz w:val="21"/>
                <w:szCs w:val="21"/>
                <w:lang w:bidi="ar"/>
              </w:rPr>
              <w:t>69</w:t>
            </w:r>
            <w:r>
              <w:rPr>
                <w:rFonts w:ascii="Arial" w:eastAsia="仿宋" w:hAnsi="Arial" w:cs="Arial" w:hint="eastAsia"/>
                <w:sz w:val="21"/>
                <w:szCs w:val="21"/>
                <w:lang w:bidi="ar"/>
              </w:rPr>
              <w:t>路等公交线路，区域内交通一般，区域间通达性较差，综合评价交通便捷度较差。</w:t>
            </w:r>
          </w:p>
        </w:tc>
        <w:tc>
          <w:tcPr>
            <w:tcW w:w="709" w:type="dxa"/>
            <w:vAlign w:val="center"/>
          </w:tcPr>
          <w:p w14:paraId="05FA8DFD"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较差</w:t>
            </w:r>
          </w:p>
        </w:tc>
        <w:tc>
          <w:tcPr>
            <w:tcW w:w="747" w:type="dxa"/>
            <w:vAlign w:val="center"/>
          </w:tcPr>
          <w:p w14:paraId="7825E8D1"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-1.95%</w:t>
            </w:r>
          </w:p>
        </w:tc>
      </w:tr>
      <w:tr w:rsidR="0062768B" w14:paraId="165C1C05" w14:textId="77777777">
        <w:trPr>
          <w:cantSplit/>
          <w:jc w:val="center"/>
        </w:trPr>
        <w:tc>
          <w:tcPr>
            <w:tcW w:w="428" w:type="dxa"/>
            <w:vAlign w:val="center"/>
          </w:tcPr>
          <w:p w14:paraId="7557B8B4"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sz w:val="21"/>
                <w:szCs w:val="21"/>
              </w:rPr>
              <w:t>）</w:t>
            </w:r>
          </w:p>
        </w:tc>
        <w:tc>
          <w:tcPr>
            <w:tcW w:w="2265" w:type="dxa"/>
            <w:vAlign w:val="center"/>
          </w:tcPr>
          <w:p w14:paraId="4155D56A"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区域土地利用方向</w:t>
            </w:r>
          </w:p>
        </w:tc>
        <w:tc>
          <w:tcPr>
            <w:tcW w:w="5150" w:type="dxa"/>
            <w:vAlign w:val="center"/>
          </w:tcPr>
          <w:p w14:paraId="14E91F7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lang w:bidi="ar"/>
              </w:rPr>
              <w:t>估价对象周边有部分其他用途用地，基本不影响本宗地。</w:t>
            </w:r>
          </w:p>
        </w:tc>
        <w:tc>
          <w:tcPr>
            <w:tcW w:w="709" w:type="dxa"/>
            <w:vAlign w:val="center"/>
          </w:tcPr>
          <w:p w14:paraId="4E682D62"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较好</w:t>
            </w:r>
          </w:p>
        </w:tc>
        <w:tc>
          <w:tcPr>
            <w:tcW w:w="747" w:type="dxa"/>
            <w:vAlign w:val="center"/>
          </w:tcPr>
          <w:p w14:paraId="0DA1E1B2"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0.82%</w:t>
            </w:r>
          </w:p>
        </w:tc>
      </w:tr>
      <w:tr w:rsidR="0062768B" w14:paraId="4FFBDE72" w14:textId="77777777">
        <w:trPr>
          <w:cantSplit/>
          <w:jc w:val="center"/>
        </w:trPr>
        <w:tc>
          <w:tcPr>
            <w:tcW w:w="428" w:type="dxa"/>
            <w:vAlign w:val="center"/>
          </w:tcPr>
          <w:p w14:paraId="66ABA1B0"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sz w:val="21"/>
                <w:szCs w:val="21"/>
              </w:rPr>
              <w:t>）</w:t>
            </w:r>
          </w:p>
        </w:tc>
        <w:tc>
          <w:tcPr>
            <w:tcW w:w="2265" w:type="dxa"/>
            <w:vAlign w:val="center"/>
          </w:tcPr>
          <w:p w14:paraId="6166CDC7"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临街宽度和深度</w:t>
            </w:r>
          </w:p>
        </w:tc>
        <w:tc>
          <w:tcPr>
            <w:tcW w:w="5150" w:type="dxa"/>
            <w:vAlign w:val="center"/>
          </w:tcPr>
          <w:p w14:paraId="3FF13A43"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临街宽度及深度比例一般。</w:t>
            </w:r>
          </w:p>
        </w:tc>
        <w:tc>
          <w:tcPr>
            <w:tcW w:w="709" w:type="dxa"/>
            <w:vAlign w:val="center"/>
          </w:tcPr>
          <w:p w14:paraId="2454F68E"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vAlign w:val="center"/>
          </w:tcPr>
          <w:p w14:paraId="6A8373BC"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62768B" w14:paraId="18FEE459" w14:textId="77777777">
        <w:trPr>
          <w:cantSplit/>
          <w:jc w:val="center"/>
        </w:trPr>
        <w:tc>
          <w:tcPr>
            <w:tcW w:w="428" w:type="dxa"/>
            <w:vAlign w:val="center"/>
          </w:tcPr>
          <w:p w14:paraId="0C918B84"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5</w:t>
            </w:r>
            <w:r>
              <w:rPr>
                <w:rFonts w:ascii="Arial" w:eastAsia="仿宋" w:hAnsi="Arial" w:cs="Arial"/>
                <w:sz w:val="21"/>
                <w:szCs w:val="21"/>
              </w:rPr>
              <w:t>）</w:t>
            </w:r>
          </w:p>
        </w:tc>
        <w:tc>
          <w:tcPr>
            <w:tcW w:w="2265" w:type="dxa"/>
            <w:vAlign w:val="center"/>
          </w:tcPr>
          <w:p w14:paraId="46A20119"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临街道路状况</w:t>
            </w:r>
          </w:p>
        </w:tc>
        <w:tc>
          <w:tcPr>
            <w:tcW w:w="5150" w:type="dxa"/>
            <w:vAlign w:val="center"/>
          </w:tcPr>
          <w:p w14:paraId="5010F41F"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lang w:bidi="ar"/>
              </w:rPr>
              <w:t>估价对象毗邻</w:t>
            </w:r>
            <w:r>
              <w:rPr>
                <w:rFonts w:ascii="Arial" w:eastAsia="仿宋" w:hAnsi="Arial" w:cs="Arial" w:hint="eastAsia"/>
                <w:sz w:val="21"/>
                <w:szCs w:val="21"/>
                <w:lang w:bidi="ar"/>
              </w:rPr>
              <w:t>城市主干道——</w:t>
            </w:r>
            <w:proofErr w:type="gramStart"/>
            <w:r>
              <w:rPr>
                <w:rFonts w:ascii="Arial" w:eastAsia="仿宋" w:hAnsi="Arial" w:cs="Arial" w:hint="eastAsia"/>
                <w:sz w:val="21"/>
                <w:szCs w:val="21"/>
                <w:lang w:bidi="ar"/>
              </w:rPr>
              <w:t>火寺路</w:t>
            </w:r>
            <w:proofErr w:type="gramEnd"/>
          </w:p>
        </w:tc>
        <w:tc>
          <w:tcPr>
            <w:tcW w:w="709" w:type="dxa"/>
            <w:vAlign w:val="center"/>
          </w:tcPr>
          <w:p w14:paraId="35723383"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较好</w:t>
            </w:r>
          </w:p>
        </w:tc>
        <w:tc>
          <w:tcPr>
            <w:tcW w:w="747" w:type="dxa"/>
            <w:vAlign w:val="center"/>
          </w:tcPr>
          <w:p w14:paraId="792EF1CB"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0.37%</w:t>
            </w:r>
          </w:p>
        </w:tc>
      </w:tr>
      <w:tr w:rsidR="0062768B" w14:paraId="09F35D81" w14:textId="77777777">
        <w:trPr>
          <w:cantSplit/>
          <w:jc w:val="center"/>
        </w:trPr>
        <w:tc>
          <w:tcPr>
            <w:tcW w:w="428" w:type="dxa"/>
            <w:vAlign w:val="center"/>
          </w:tcPr>
          <w:p w14:paraId="058AD785"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6</w:t>
            </w:r>
            <w:r>
              <w:rPr>
                <w:rFonts w:ascii="Arial" w:eastAsia="仿宋" w:hAnsi="Arial" w:cs="Arial"/>
                <w:sz w:val="21"/>
                <w:szCs w:val="21"/>
              </w:rPr>
              <w:t>）</w:t>
            </w:r>
          </w:p>
        </w:tc>
        <w:tc>
          <w:tcPr>
            <w:tcW w:w="2265" w:type="dxa"/>
            <w:vAlign w:val="center"/>
          </w:tcPr>
          <w:p w14:paraId="3A7AAABC"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宗地形状及可利用程度</w:t>
            </w:r>
          </w:p>
        </w:tc>
        <w:tc>
          <w:tcPr>
            <w:tcW w:w="5150" w:type="dxa"/>
            <w:vAlign w:val="center"/>
          </w:tcPr>
          <w:p w14:paraId="0EF4C897"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rPr>
              <w:t>宗地形状规则，可利用程度好</w:t>
            </w:r>
            <w:r>
              <w:rPr>
                <w:rFonts w:ascii="Arial" w:eastAsia="仿宋" w:hAnsi="Arial" w:cs="Arial"/>
                <w:sz w:val="21"/>
                <w:szCs w:val="21"/>
                <w:lang w:bidi="ar"/>
              </w:rPr>
              <w:t>。</w:t>
            </w:r>
          </w:p>
        </w:tc>
        <w:tc>
          <w:tcPr>
            <w:tcW w:w="709" w:type="dxa"/>
            <w:vAlign w:val="center"/>
          </w:tcPr>
          <w:p w14:paraId="5FBFF79C"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好</w:t>
            </w:r>
          </w:p>
        </w:tc>
        <w:tc>
          <w:tcPr>
            <w:tcW w:w="747" w:type="dxa"/>
            <w:vAlign w:val="center"/>
          </w:tcPr>
          <w:p w14:paraId="628B02B2"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0.90%</w:t>
            </w:r>
          </w:p>
        </w:tc>
      </w:tr>
      <w:tr w:rsidR="0062768B" w14:paraId="2860A09F" w14:textId="77777777">
        <w:trPr>
          <w:cantSplit/>
          <w:jc w:val="center"/>
        </w:trPr>
        <w:tc>
          <w:tcPr>
            <w:tcW w:w="428" w:type="dxa"/>
            <w:vAlign w:val="center"/>
          </w:tcPr>
          <w:p w14:paraId="5856D47C"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7</w:t>
            </w:r>
            <w:r>
              <w:rPr>
                <w:rFonts w:ascii="Arial" w:eastAsia="仿宋" w:hAnsi="Arial" w:cs="Arial"/>
                <w:sz w:val="21"/>
                <w:szCs w:val="21"/>
              </w:rPr>
              <w:t>）</w:t>
            </w:r>
          </w:p>
        </w:tc>
        <w:tc>
          <w:tcPr>
            <w:tcW w:w="2265" w:type="dxa"/>
            <w:vAlign w:val="center"/>
          </w:tcPr>
          <w:p w14:paraId="162282D9"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公共服务设施状况</w:t>
            </w:r>
          </w:p>
        </w:tc>
        <w:tc>
          <w:tcPr>
            <w:tcW w:w="5150" w:type="dxa"/>
            <w:vAlign w:val="center"/>
          </w:tcPr>
          <w:p w14:paraId="45028497"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rPr>
              <w:t>估价对象周边</w:t>
            </w:r>
            <w:r>
              <w:rPr>
                <w:rFonts w:ascii="Arial" w:eastAsia="仿宋" w:hAnsi="Arial" w:cs="Arial" w:hint="eastAsia"/>
                <w:sz w:val="21"/>
                <w:szCs w:val="21"/>
              </w:rPr>
              <w:t>2</w:t>
            </w:r>
            <w:r>
              <w:rPr>
                <w:rFonts w:ascii="Arial" w:eastAsia="仿宋" w:hAnsi="Arial" w:cs="Arial" w:hint="eastAsia"/>
                <w:sz w:val="21"/>
                <w:szCs w:val="21"/>
              </w:rPr>
              <w:t>公里范围内有北京超天商贸中心、</w:t>
            </w:r>
            <w:proofErr w:type="gramStart"/>
            <w:r>
              <w:rPr>
                <w:rFonts w:ascii="Arial" w:eastAsia="仿宋" w:hAnsi="Arial" w:cs="Arial" w:hint="eastAsia"/>
                <w:sz w:val="21"/>
                <w:szCs w:val="21"/>
              </w:rPr>
              <w:t>隆华购物中心</w:t>
            </w:r>
            <w:proofErr w:type="gramEnd"/>
            <w:r>
              <w:rPr>
                <w:rFonts w:ascii="Arial" w:eastAsia="仿宋" w:hAnsi="Arial" w:cs="Arial" w:hint="eastAsia"/>
                <w:sz w:val="21"/>
                <w:szCs w:val="21"/>
              </w:rPr>
              <w:t>、社区商业街、</w:t>
            </w:r>
            <w:proofErr w:type="gramStart"/>
            <w:r>
              <w:rPr>
                <w:rFonts w:ascii="Arial" w:eastAsia="仿宋" w:hAnsi="Arial" w:cs="Arial" w:hint="eastAsia"/>
                <w:sz w:val="21"/>
                <w:szCs w:val="21"/>
              </w:rPr>
              <w:t>世纪华</w:t>
            </w:r>
            <w:proofErr w:type="gramEnd"/>
            <w:r>
              <w:rPr>
                <w:rFonts w:ascii="Arial" w:eastAsia="仿宋" w:hAnsi="Arial" w:cs="Arial" w:hint="eastAsia"/>
                <w:sz w:val="21"/>
                <w:szCs w:val="21"/>
              </w:rPr>
              <w:t>联超市等商业服务设施；北京农商银行张喜庄分理处、北京</w:t>
            </w:r>
            <w:proofErr w:type="gramStart"/>
            <w:r>
              <w:rPr>
                <w:rFonts w:ascii="Arial" w:eastAsia="仿宋" w:hAnsi="Arial" w:cs="Arial" w:hint="eastAsia"/>
                <w:sz w:val="21"/>
                <w:szCs w:val="21"/>
              </w:rPr>
              <w:t>顺义银</w:t>
            </w:r>
            <w:proofErr w:type="gramEnd"/>
            <w:r>
              <w:rPr>
                <w:rFonts w:ascii="Arial" w:eastAsia="仿宋" w:hAnsi="Arial" w:cs="Arial" w:hint="eastAsia"/>
                <w:sz w:val="21"/>
                <w:szCs w:val="21"/>
              </w:rPr>
              <w:t>座村镇银行高丽营支行、中国邮政储蓄银行</w:t>
            </w:r>
            <w:proofErr w:type="gramStart"/>
            <w:r>
              <w:rPr>
                <w:rFonts w:ascii="Arial" w:eastAsia="仿宋" w:hAnsi="Arial" w:cs="Arial" w:hint="eastAsia"/>
                <w:sz w:val="21"/>
                <w:szCs w:val="21"/>
              </w:rPr>
              <w:t>张喜庄邮政储蓄</w:t>
            </w:r>
            <w:proofErr w:type="gramEnd"/>
            <w:r>
              <w:rPr>
                <w:rFonts w:ascii="Arial" w:eastAsia="仿宋" w:hAnsi="Arial" w:cs="Arial" w:hint="eastAsia"/>
                <w:sz w:val="21"/>
                <w:szCs w:val="21"/>
              </w:rPr>
              <w:t>等金融机构；高丽营第一幼儿园、高丽营第二小学、高丽营第二中学等教育资源；北京顺义天苑医院、北京市顺义区高丽营镇</w:t>
            </w:r>
            <w:proofErr w:type="gramStart"/>
            <w:r>
              <w:rPr>
                <w:rFonts w:ascii="Arial" w:eastAsia="仿宋" w:hAnsi="Arial" w:cs="Arial" w:hint="eastAsia"/>
                <w:sz w:val="21"/>
                <w:szCs w:val="21"/>
              </w:rPr>
              <w:t>张喜庄卫生院</w:t>
            </w:r>
            <w:proofErr w:type="gramEnd"/>
            <w:r>
              <w:rPr>
                <w:rFonts w:ascii="Arial" w:eastAsia="仿宋" w:hAnsi="Arial" w:cs="Arial" w:hint="eastAsia"/>
                <w:sz w:val="21"/>
                <w:szCs w:val="21"/>
              </w:rPr>
              <w:t>、北京市顺义区高丽营镇河津营村卫生室等医疗设施，公共配套设施齐备情况一般。</w:t>
            </w:r>
          </w:p>
        </w:tc>
        <w:tc>
          <w:tcPr>
            <w:tcW w:w="709" w:type="dxa"/>
            <w:vAlign w:val="center"/>
          </w:tcPr>
          <w:p w14:paraId="0CA572D2"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一般</w:t>
            </w:r>
          </w:p>
        </w:tc>
        <w:tc>
          <w:tcPr>
            <w:tcW w:w="747" w:type="dxa"/>
            <w:vAlign w:val="center"/>
          </w:tcPr>
          <w:p w14:paraId="42328D39"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62768B" w14:paraId="3D52F140" w14:textId="77777777">
        <w:trPr>
          <w:cantSplit/>
          <w:jc w:val="center"/>
        </w:trPr>
        <w:tc>
          <w:tcPr>
            <w:tcW w:w="428" w:type="dxa"/>
            <w:vAlign w:val="center"/>
          </w:tcPr>
          <w:p w14:paraId="1DFEB03B"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8</w:t>
            </w:r>
            <w:r>
              <w:rPr>
                <w:rFonts w:ascii="Arial" w:eastAsia="仿宋" w:hAnsi="Arial" w:cs="Arial"/>
                <w:sz w:val="21"/>
                <w:szCs w:val="21"/>
              </w:rPr>
              <w:t>）</w:t>
            </w:r>
          </w:p>
        </w:tc>
        <w:tc>
          <w:tcPr>
            <w:tcW w:w="2265" w:type="dxa"/>
            <w:vAlign w:val="center"/>
          </w:tcPr>
          <w:p w14:paraId="4EBB9150"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基础设施完备状况</w:t>
            </w:r>
          </w:p>
        </w:tc>
        <w:tc>
          <w:tcPr>
            <w:tcW w:w="5150" w:type="dxa"/>
            <w:vAlign w:val="center"/>
          </w:tcPr>
          <w:p w14:paraId="0CC287A7"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估价对象所在区域内基础设施配套条件达到</w:t>
            </w:r>
            <w:r>
              <w:rPr>
                <w:rFonts w:ascii="Arial" w:eastAsia="仿宋" w:hAnsi="Arial" w:cs="Arial"/>
                <w:sz w:val="21"/>
                <w:szCs w:val="21"/>
              </w:rPr>
              <w:t>“</w:t>
            </w:r>
            <w:r>
              <w:rPr>
                <w:rFonts w:ascii="Arial" w:eastAsia="仿宋" w:hAnsi="Arial" w:cs="Arial"/>
                <w:sz w:val="21"/>
                <w:szCs w:val="21"/>
              </w:rPr>
              <w:t>七通</w:t>
            </w:r>
            <w:r>
              <w:rPr>
                <w:rFonts w:ascii="Arial" w:eastAsia="仿宋" w:hAnsi="Arial" w:cs="Arial"/>
                <w:sz w:val="21"/>
                <w:szCs w:val="21"/>
              </w:rPr>
              <w:t>”</w:t>
            </w:r>
          </w:p>
        </w:tc>
        <w:tc>
          <w:tcPr>
            <w:tcW w:w="709" w:type="dxa"/>
            <w:vAlign w:val="center"/>
          </w:tcPr>
          <w:p w14:paraId="1DDAC020"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好</w:t>
            </w:r>
          </w:p>
        </w:tc>
        <w:tc>
          <w:tcPr>
            <w:tcW w:w="747" w:type="dxa"/>
            <w:vAlign w:val="center"/>
          </w:tcPr>
          <w:p w14:paraId="6C0956C7"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1.34%</w:t>
            </w:r>
          </w:p>
        </w:tc>
      </w:tr>
      <w:tr w:rsidR="0062768B" w14:paraId="6E9AA3D0" w14:textId="77777777">
        <w:trPr>
          <w:cantSplit/>
          <w:jc w:val="center"/>
        </w:trPr>
        <w:tc>
          <w:tcPr>
            <w:tcW w:w="428" w:type="dxa"/>
            <w:vAlign w:val="center"/>
          </w:tcPr>
          <w:p w14:paraId="31FDFFE3"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9</w:t>
            </w:r>
            <w:r>
              <w:rPr>
                <w:rFonts w:ascii="Arial" w:eastAsia="仿宋" w:hAnsi="Arial" w:cs="Arial"/>
                <w:sz w:val="21"/>
                <w:szCs w:val="21"/>
              </w:rPr>
              <w:t>）</w:t>
            </w:r>
          </w:p>
        </w:tc>
        <w:tc>
          <w:tcPr>
            <w:tcW w:w="2265" w:type="dxa"/>
            <w:vAlign w:val="center"/>
          </w:tcPr>
          <w:p w14:paraId="784E86EC"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自然和人文环境状况</w:t>
            </w:r>
          </w:p>
        </w:tc>
        <w:tc>
          <w:tcPr>
            <w:tcW w:w="5150" w:type="dxa"/>
            <w:vAlign w:val="center"/>
          </w:tcPr>
          <w:p w14:paraId="779AF54E"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rPr>
              <w:t>估价对位于北京市顺义区高丽营镇夏县营村，周边</w:t>
            </w:r>
            <w:r>
              <w:rPr>
                <w:rFonts w:ascii="Arial" w:eastAsia="仿宋" w:hAnsi="Arial" w:cs="Arial" w:hint="eastAsia"/>
                <w:sz w:val="21"/>
                <w:szCs w:val="21"/>
              </w:rPr>
              <w:t>2</w:t>
            </w:r>
            <w:r>
              <w:rPr>
                <w:rFonts w:ascii="Arial" w:eastAsia="仿宋" w:hAnsi="Arial" w:cs="Arial" w:hint="eastAsia"/>
                <w:sz w:val="21"/>
                <w:szCs w:val="21"/>
              </w:rPr>
              <w:t>公里南郎中休闲公园、口袋公园、方氏渠等自然环境；无人文环境；综合评价环境状况一般。</w:t>
            </w:r>
          </w:p>
        </w:tc>
        <w:tc>
          <w:tcPr>
            <w:tcW w:w="709" w:type="dxa"/>
            <w:vAlign w:val="center"/>
          </w:tcPr>
          <w:p w14:paraId="0EC1AEFE"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vAlign w:val="center"/>
          </w:tcPr>
          <w:p w14:paraId="37631147"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62768B" w14:paraId="63E97E2E" w14:textId="77777777">
        <w:trPr>
          <w:cantSplit/>
          <w:jc w:val="center"/>
        </w:trPr>
        <w:tc>
          <w:tcPr>
            <w:tcW w:w="8552" w:type="dxa"/>
            <w:gridSpan w:val="4"/>
            <w:vAlign w:val="center"/>
          </w:tcPr>
          <w:p w14:paraId="3D8B464B"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合计（</w:t>
            </w:r>
            <w:r>
              <w:rPr>
                <w:rFonts w:ascii="Arial" w:eastAsia="仿宋" w:hAnsi="Arial" w:cs="Arial"/>
                <w:sz w:val="21"/>
                <w:szCs w:val="21"/>
              </w:rPr>
              <w:t>∑K</w:t>
            </w:r>
            <w:r>
              <w:rPr>
                <w:rFonts w:ascii="Arial" w:eastAsia="仿宋" w:hAnsi="Arial" w:cs="Arial"/>
                <w:sz w:val="21"/>
                <w:szCs w:val="21"/>
                <w:vertAlign w:val="subscript"/>
              </w:rPr>
              <w:t>i</w:t>
            </w:r>
            <w:r>
              <w:rPr>
                <w:rFonts w:ascii="Arial" w:eastAsia="仿宋" w:hAnsi="Arial" w:cs="Arial"/>
                <w:sz w:val="21"/>
                <w:szCs w:val="21"/>
              </w:rPr>
              <w:t>）</w:t>
            </w:r>
          </w:p>
        </w:tc>
        <w:tc>
          <w:tcPr>
            <w:tcW w:w="747" w:type="dxa"/>
          </w:tcPr>
          <w:p w14:paraId="23147C19"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-0.39%</w:t>
            </w:r>
          </w:p>
        </w:tc>
      </w:tr>
      <w:tr w:rsidR="0062768B" w14:paraId="27FBDB62" w14:textId="77777777">
        <w:trPr>
          <w:cantSplit/>
          <w:jc w:val="center"/>
        </w:trPr>
        <w:tc>
          <w:tcPr>
            <w:tcW w:w="8552" w:type="dxa"/>
            <w:gridSpan w:val="4"/>
            <w:vAlign w:val="center"/>
          </w:tcPr>
          <w:p w14:paraId="0F9AA645"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因素修正系数（</w:t>
            </w:r>
            <w:r>
              <w:rPr>
                <w:rFonts w:ascii="Arial" w:eastAsia="仿宋" w:hAnsi="Arial" w:cs="Arial"/>
                <w:sz w:val="21"/>
                <w:szCs w:val="21"/>
              </w:rPr>
              <w:t>1+∑K</w:t>
            </w:r>
            <w:r>
              <w:rPr>
                <w:rFonts w:ascii="Arial" w:eastAsia="仿宋" w:hAnsi="Arial" w:cs="Arial"/>
                <w:sz w:val="21"/>
                <w:szCs w:val="21"/>
                <w:vertAlign w:val="subscript"/>
              </w:rPr>
              <w:t>i</w:t>
            </w:r>
            <w:r>
              <w:rPr>
                <w:rFonts w:ascii="Arial" w:eastAsia="仿宋" w:hAnsi="Arial" w:cs="Arial"/>
                <w:sz w:val="21"/>
                <w:szCs w:val="21"/>
              </w:rPr>
              <w:t>）</w:t>
            </w:r>
          </w:p>
        </w:tc>
        <w:tc>
          <w:tcPr>
            <w:tcW w:w="747" w:type="dxa"/>
          </w:tcPr>
          <w:p w14:paraId="3AE96CB3"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0.9961</w:t>
            </w:r>
          </w:p>
        </w:tc>
      </w:tr>
    </w:tbl>
    <w:p w14:paraId="041BF59A" w14:textId="77777777" w:rsidR="0062768B" w:rsidRDefault="00136729">
      <w:pPr>
        <w:adjustRightInd/>
        <w:spacing w:beforeLines="100" w:before="240" w:line="300" w:lineRule="auto"/>
        <w:ind w:firstLineChars="200" w:firstLine="560"/>
        <w:rPr>
          <w:rFonts w:ascii="Arial" w:eastAsia="仿宋" w:hAnsi="Arial" w:cs="Arial"/>
          <w:sz w:val="28"/>
          <w:szCs w:val="28"/>
        </w:rPr>
      </w:pPr>
      <w:r>
        <w:rPr>
          <w:rFonts w:ascii="Arial" w:eastAsia="仿宋" w:hAnsi="Arial" w:cs="Arial"/>
          <w:sz w:val="28"/>
          <w:szCs w:val="28"/>
        </w:rPr>
        <w:t>G.</w:t>
      </w:r>
      <w:r>
        <w:rPr>
          <w:rFonts w:ascii="Arial" w:eastAsia="仿宋" w:hAnsi="Arial" w:cs="Arial"/>
          <w:sz w:val="28"/>
          <w:szCs w:val="28"/>
        </w:rPr>
        <w:t>估价</w:t>
      </w:r>
      <w:proofErr w:type="gramStart"/>
      <w:r>
        <w:rPr>
          <w:rFonts w:ascii="Arial" w:eastAsia="仿宋" w:hAnsi="Arial" w:cs="Arial"/>
          <w:sz w:val="28"/>
          <w:szCs w:val="28"/>
        </w:rPr>
        <w:t>对象楼</w:t>
      </w:r>
      <w:proofErr w:type="gramEnd"/>
      <w:r>
        <w:rPr>
          <w:rFonts w:ascii="Arial" w:eastAsia="仿宋" w:hAnsi="Arial" w:cs="Arial"/>
          <w:sz w:val="28"/>
          <w:szCs w:val="28"/>
        </w:rPr>
        <w:t>面熟地价</w:t>
      </w:r>
    </w:p>
    <w:p w14:paraId="3FA9D4DC"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公共服务</w:t>
      </w:r>
      <w:proofErr w:type="gramStart"/>
      <w:r>
        <w:rPr>
          <w:rFonts w:ascii="Arial" w:eastAsia="仿宋" w:hAnsi="Arial" w:cs="Arial"/>
          <w:sz w:val="28"/>
          <w:szCs w:val="28"/>
        </w:rPr>
        <w:t>用途楼</w:t>
      </w:r>
      <w:proofErr w:type="gramEnd"/>
      <w:r>
        <w:rPr>
          <w:rFonts w:ascii="Arial" w:eastAsia="仿宋" w:hAnsi="Arial" w:cs="Arial"/>
          <w:sz w:val="28"/>
          <w:szCs w:val="28"/>
        </w:rPr>
        <w:t>面熟地价</w:t>
      </w:r>
    </w:p>
    <w:p w14:paraId="7157D36F"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＝适用的基准地价</w:t>
      </w:r>
      <w:r>
        <w:rPr>
          <w:rFonts w:ascii="Arial" w:eastAsia="仿宋" w:hAnsi="Arial" w:cs="Arial"/>
          <w:sz w:val="28"/>
          <w:szCs w:val="28"/>
        </w:rPr>
        <w:t>×</w:t>
      </w:r>
      <w:r>
        <w:rPr>
          <w:rFonts w:ascii="Arial" w:eastAsia="仿宋" w:hAnsi="Arial" w:cs="Arial"/>
          <w:sz w:val="28"/>
          <w:szCs w:val="28"/>
        </w:rPr>
        <w:t>用途修正系数</w:t>
      </w:r>
      <w:r>
        <w:rPr>
          <w:rFonts w:ascii="Arial" w:eastAsia="仿宋" w:hAnsi="Arial" w:cs="Arial"/>
          <w:sz w:val="28"/>
          <w:szCs w:val="28"/>
        </w:rPr>
        <w:t>×</w:t>
      </w:r>
      <w:r>
        <w:rPr>
          <w:rFonts w:ascii="Arial" w:eastAsia="仿宋" w:hAnsi="Arial" w:cs="Arial"/>
          <w:sz w:val="28"/>
          <w:szCs w:val="28"/>
        </w:rPr>
        <w:t>期日修正系数</w:t>
      </w:r>
      <w:r>
        <w:rPr>
          <w:rFonts w:ascii="Arial" w:eastAsia="仿宋" w:hAnsi="Arial" w:cs="Arial"/>
          <w:sz w:val="28"/>
          <w:szCs w:val="28"/>
        </w:rPr>
        <w:t>×</w:t>
      </w:r>
      <w:r>
        <w:rPr>
          <w:rFonts w:ascii="Arial" w:eastAsia="仿宋" w:hAnsi="Arial" w:cs="Arial"/>
          <w:sz w:val="28"/>
          <w:szCs w:val="28"/>
        </w:rPr>
        <w:t>年期修正系数</w:t>
      </w:r>
      <w:r>
        <w:rPr>
          <w:rFonts w:ascii="Arial" w:eastAsia="仿宋" w:hAnsi="Arial" w:cs="Arial"/>
          <w:sz w:val="28"/>
          <w:szCs w:val="28"/>
        </w:rPr>
        <w:t>×</w:t>
      </w:r>
      <w:r>
        <w:rPr>
          <w:rFonts w:ascii="Arial" w:eastAsia="仿宋" w:hAnsi="Arial" w:cs="Arial"/>
          <w:sz w:val="28"/>
          <w:szCs w:val="28"/>
        </w:rPr>
        <w:t>容积率修正系数</w:t>
      </w:r>
      <w:r>
        <w:rPr>
          <w:rFonts w:ascii="Arial" w:eastAsia="仿宋" w:hAnsi="Arial" w:cs="Arial"/>
          <w:sz w:val="28"/>
          <w:szCs w:val="28"/>
        </w:rPr>
        <w:t>×</w:t>
      </w:r>
      <w:r>
        <w:rPr>
          <w:rFonts w:ascii="Arial" w:eastAsia="仿宋" w:hAnsi="Arial" w:cs="Arial"/>
          <w:sz w:val="28"/>
          <w:szCs w:val="28"/>
        </w:rPr>
        <w:t>因素修正系数</w:t>
      </w:r>
    </w:p>
    <w:p w14:paraId="51574F85"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3170+40</w:t>
      </w:r>
      <w:r>
        <w:rPr>
          <w:rFonts w:ascii="Arial" w:eastAsia="仿宋" w:hAnsi="Arial" w:cs="Arial"/>
          <w:sz w:val="28"/>
          <w:szCs w:val="28"/>
        </w:rPr>
        <w:t>）</w:t>
      </w:r>
      <w:r>
        <w:rPr>
          <w:rFonts w:ascii="Arial" w:eastAsia="仿宋" w:hAnsi="Arial" w:cs="Arial"/>
          <w:sz w:val="28"/>
          <w:szCs w:val="28"/>
        </w:rPr>
        <w:t>×1×1.0273×1×1.0678×0.9961</w:t>
      </w:r>
    </w:p>
    <w:p w14:paraId="1D928772"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w:t>
      </w:r>
      <w:r>
        <w:rPr>
          <w:rFonts w:ascii="Arial" w:eastAsia="仿宋" w:hAnsi="Arial" w:cs="Arial"/>
          <w:sz w:val="28"/>
          <w:szCs w:val="28"/>
        </w:rPr>
        <w:t>3507</w:t>
      </w:r>
      <w:r>
        <w:rPr>
          <w:rFonts w:ascii="Arial" w:eastAsia="仿宋" w:hAnsi="Arial" w:cs="Arial"/>
          <w:sz w:val="28"/>
          <w:szCs w:val="28"/>
        </w:rPr>
        <w:t>（元</w:t>
      </w:r>
      <w:r>
        <w:rPr>
          <w:rFonts w:ascii="Arial" w:eastAsia="仿宋" w:hAnsi="Arial" w:cs="Arial"/>
          <w:sz w:val="28"/>
          <w:szCs w:val="28"/>
        </w:rPr>
        <w:t>/</w:t>
      </w:r>
      <w:r>
        <w:rPr>
          <w:rFonts w:ascii="Arial" w:eastAsia="仿宋" w:hAnsi="Arial" w:cs="Arial"/>
          <w:sz w:val="28"/>
          <w:szCs w:val="28"/>
        </w:rPr>
        <w:t>平方米）</w:t>
      </w:r>
    </w:p>
    <w:p w14:paraId="1962E9FF" w14:textId="77777777" w:rsidR="0062768B" w:rsidRDefault="0062768B">
      <w:pPr>
        <w:spacing w:line="300" w:lineRule="auto"/>
        <w:ind w:firstLineChars="200" w:firstLine="560"/>
        <w:jc w:val="both"/>
        <w:rPr>
          <w:rFonts w:ascii="Arial" w:eastAsia="仿宋" w:hAnsi="Arial" w:cs="Arial"/>
          <w:sz w:val="28"/>
          <w:szCs w:val="28"/>
        </w:rPr>
      </w:pPr>
    </w:p>
    <w:p w14:paraId="02B79D5A" w14:textId="77777777" w:rsidR="0062768B" w:rsidRDefault="00136729">
      <w:pPr>
        <w:adjustRightInd/>
        <w:snapToGrid w:val="0"/>
        <w:spacing w:line="300" w:lineRule="auto"/>
        <w:ind w:firstLineChars="200" w:firstLine="562"/>
        <w:textAlignment w:val="auto"/>
        <w:rPr>
          <w:rFonts w:ascii="Arial" w:eastAsia="仿宋_GB2312" w:hAnsi="Arial" w:cs="Arial"/>
          <w:b/>
          <w:sz w:val="28"/>
        </w:rPr>
      </w:pPr>
      <w:r>
        <w:rPr>
          <w:rFonts w:ascii="Arial" w:eastAsia="仿宋_GB2312" w:hAnsi="Arial" w:cs="Arial" w:hint="eastAsia"/>
          <w:b/>
          <w:sz w:val="28"/>
        </w:rPr>
        <w:t>2.</w:t>
      </w:r>
      <w:r>
        <w:rPr>
          <w:rFonts w:ascii="Arial" w:eastAsia="仿宋_GB2312" w:hAnsi="Arial" w:cs="Arial"/>
          <w:b/>
          <w:sz w:val="28"/>
        </w:rPr>
        <w:t>剩余法</w:t>
      </w:r>
    </w:p>
    <w:p w14:paraId="591C44A2" w14:textId="77777777" w:rsidR="0062768B" w:rsidRDefault="00136729">
      <w:pPr>
        <w:spacing w:before="50" w:after="50" w:line="300" w:lineRule="auto"/>
        <w:ind w:firstLineChars="200" w:firstLine="560"/>
        <w:rPr>
          <w:rFonts w:ascii="Arial" w:eastAsia="仿宋_GB2312" w:hAnsi="Arial" w:cs="Arial"/>
          <w:b/>
          <w:sz w:val="28"/>
        </w:rPr>
      </w:pPr>
      <w:r>
        <w:rPr>
          <w:rFonts w:ascii="Arial" w:eastAsia="仿宋_GB2312" w:hAnsi="Arial" w:cs="Arial" w:hint="eastAsia"/>
          <w:bCs/>
          <w:sz w:val="28"/>
        </w:rPr>
        <w:t>（</w:t>
      </w:r>
      <w:r>
        <w:rPr>
          <w:rFonts w:ascii="Arial" w:eastAsia="仿宋_GB2312" w:hAnsi="Arial" w:cs="Arial" w:hint="eastAsia"/>
          <w:bCs/>
          <w:sz w:val="28"/>
        </w:rPr>
        <w:t>1</w:t>
      </w:r>
      <w:r>
        <w:rPr>
          <w:rFonts w:ascii="Arial" w:eastAsia="仿宋_GB2312" w:hAnsi="Arial" w:cs="Arial" w:hint="eastAsia"/>
          <w:bCs/>
          <w:sz w:val="28"/>
        </w:rPr>
        <w:t>）</w:t>
      </w:r>
      <w:r>
        <w:rPr>
          <w:rFonts w:ascii="Arial" w:eastAsia="仿宋_GB2312" w:hAnsi="Arial" w:cs="Arial"/>
          <w:b/>
          <w:sz w:val="28"/>
        </w:rPr>
        <w:t>求取估价对象住宅</w:t>
      </w:r>
      <w:proofErr w:type="gramStart"/>
      <w:r>
        <w:rPr>
          <w:rFonts w:ascii="Arial" w:eastAsia="仿宋_GB2312" w:hAnsi="Arial" w:cs="Arial"/>
          <w:b/>
          <w:sz w:val="28"/>
          <w:szCs w:val="28"/>
        </w:rPr>
        <w:t>用途楼</w:t>
      </w:r>
      <w:proofErr w:type="gramEnd"/>
      <w:r>
        <w:rPr>
          <w:rFonts w:ascii="Arial" w:eastAsia="仿宋_GB2312" w:hAnsi="Arial" w:cs="Arial"/>
          <w:b/>
          <w:sz w:val="28"/>
          <w:szCs w:val="28"/>
        </w:rPr>
        <w:t>面</w:t>
      </w:r>
      <w:r>
        <w:rPr>
          <w:rFonts w:ascii="Arial" w:eastAsia="仿宋_GB2312" w:hAnsi="Arial" w:cs="Arial"/>
          <w:b/>
          <w:sz w:val="28"/>
        </w:rPr>
        <w:t>熟地价</w:t>
      </w:r>
    </w:p>
    <w:p w14:paraId="2C81EAE0" w14:textId="77777777" w:rsidR="0062768B" w:rsidRDefault="00136729">
      <w:pPr>
        <w:spacing w:line="300" w:lineRule="auto"/>
        <w:ind w:firstLineChars="200" w:firstLine="560"/>
        <w:rPr>
          <w:rFonts w:ascii="Arial" w:eastAsia="仿宋_GB2312" w:hAnsi="Arial" w:cs="Arial"/>
          <w:bCs/>
          <w:sz w:val="28"/>
        </w:rPr>
      </w:pPr>
      <w:r>
        <w:rPr>
          <w:rFonts w:ascii="Arial" w:eastAsia="仿宋_GB2312" w:hAnsi="Arial" w:cs="Arial" w:hint="eastAsia"/>
          <w:bCs/>
          <w:sz w:val="28"/>
        </w:rPr>
        <w:t>A.</w:t>
      </w:r>
      <w:r>
        <w:rPr>
          <w:rFonts w:ascii="Arial" w:eastAsia="仿宋_GB2312" w:hAnsi="Arial" w:cs="Arial"/>
          <w:bCs/>
          <w:sz w:val="28"/>
        </w:rPr>
        <w:t>土地最有效利用方式</w:t>
      </w:r>
    </w:p>
    <w:p w14:paraId="0F1C4CB3" w14:textId="77777777" w:rsidR="0062768B" w:rsidRDefault="00136729">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hint="eastAsia"/>
          <w:sz w:val="28"/>
        </w:rPr>
        <w:t>北京市规划和自然资源委员会顺义分局</w:t>
      </w:r>
      <w:r>
        <w:rPr>
          <w:rFonts w:ascii="Arial" w:eastAsia="仿宋_GB2312" w:hAnsi="Arial" w:cs="Arial"/>
          <w:sz w:val="28"/>
          <w:szCs w:val="28"/>
        </w:rPr>
        <w:t>出具的</w:t>
      </w:r>
      <w:r>
        <w:rPr>
          <w:rFonts w:ascii="Arial" w:eastAsia="仿宋" w:hAnsi="Arial" w:cs="Arial"/>
          <w:sz w:val="28"/>
          <w:szCs w:val="28"/>
        </w:rPr>
        <w:t>《北京市规划和自然资源委员会顺义分局关于顺义区高丽营镇夏县营村棚户区改造土地开发项目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01-015-1</w:t>
      </w:r>
      <w:r>
        <w:rPr>
          <w:rFonts w:ascii="Arial" w:eastAsia="仿宋" w:hAnsi="Arial" w:cs="Arial"/>
          <w:sz w:val="28"/>
          <w:szCs w:val="28"/>
        </w:rPr>
        <w:t>、</w:t>
      </w:r>
      <w:r>
        <w:rPr>
          <w:rFonts w:ascii="Arial" w:eastAsia="仿宋" w:hAnsi="Arial" w:cs="Arial"/>
          <w:sz w:val="28"/>
          <w:szCs w:val="28"/>
        </w:rPr>
        <w:t>01-015-2</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w:t>
      </w:r>
      <w:r>
        <w:rPr>
          <w:rFonts w:ascii="Arial" w:eastAsia="仿宋" w:hAnsi="Arial" w:cs="Arial"/>
          <w:sz w:val="28"/>
          <w:szCs w:val="28"/>
        </w:rPr>
        <w:t>01-025</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等二类居住用地、托幼用地、商业用地地块</w:t>
      </w:r>
      <w:r>
        <w:rPr>
          <w:rFonts w:ascii="Arial" w:eastAsia="仿宋" w:hAnsi="Arial" w:cs="Arial"/>
          <w:sz w:val="28"/>
          <w:szCs w:val="28"/>
        </w:rPr>
        <w:t>“</w:t>
      </w:r>
      <w:r>
        <w:rPr>
          <w:rFonts w:ascii="Arial" w:eastAsia="仿宋" w:hAnsi="Arial" w:cs="Arial"/>
          <w:sz w:val="28"/>
          <w:szCs w:val="28"/>
        </w:rPr>
        <w:t>多规合一</w:t>
      </w:r>
      <w:r>
        <w:rPr>
          <w:rFonts w:ascii="Arial" w:eastAsia="仿宋" w:hAnsi="Arial" w:cs="Arial"/>
          <w:sz w:val="28"/>
          <w:szCs w:val="28"/>
        </w:rPr>
        <w:t>”</w:t>
      </w:r>
      <w:r>
        <w:rPr>
          <w:rFonts w:ascii="Arial" w:eastAsia="仿宋" w:hAnsi="Arial" w:cs="Arial"/>
          <w:sz w:val="28"/>
          <w:szCs w:val="28"/>
        </w:rPr>
        <w:t>协同平台供地审核意见的函》（京</w:t>
      </w:r>
      <w:proofErr w:type="gramStart"/>
      <w:r>
        <w:rPr>
          <w:rFonts w:ascii="Arial" w:eastAsia="仿宋" w:hAnsi="Arial" w:cs="Arial"/>
          <w:sz w:val="28"/>
          <w:szCs w:val="28"/>
        </w:rPr>
        <w:t>规</w:t>
      </w:r>
      <w:proofErr w:type="gramEnd"/>
      <w:r>
        <w:rPr>
          <w:rFonts w:ascii="Arial" w:eastAsia="仿宋" w:hAnsi="Arial" w:cs="Arial"/>
          <w:sz w:val="28"/>
          <w:szCs w:val="28"/>
        </w:rPr>
        <w:t>自（顺）</w:t>
      </w:r>
      <w:proofErr w:type="gramStart"/>
      <w:r>
        <w:rPr>
          <w:rFonts w:ascii="Arial" w:eastAsia="仿宋" w:hAnsi="Arial" w:cs="Arial"/>
          <w:sz w:val="28"/>
          <w:szCs w:val="28"/>
        </w:rPr>
        <w:t>供审函</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0004</w:t>
      </w:r>
      <w:r>
        <w:rPr>
          <w:rFonts w:ascii="Arial" w:eastAsia="仿宋" w:hAnsi="Arial" w:cs="Arial"/>
          <w:sz w:val="28"/>
          <w:szCs w:val="28"/>
        </w:rPr>
        <w:t>号）</w:t>
      </w:r>
      <w:r>
        <w:rPr>
          <w:rFonts w:ascii="Arial" w:eastAsia="仿宋_GB2312" w:hAnsi="Arial" w:cs="Arial"/>
          <w:sz w:val="28"/>
        </w:rPr>
        <w:t>复印件及本次评估目的</w:t>
      </w:r>
      <w:r>
        <w:rPr>
          <w:rFonts w:ascii="Arial" w:eastAsia="仿宋_GB2312" w:hAnsi="Arial" w:cs="Arial"/>
          <w:sz w:val="28"/>
          <w:szCs w:val="28"/>
        </w:rPr>
        <w:t>，本次评估设定如下：</w:t>
      </w:r>
    </w:p>
    <w:p w14:paraId="4BB720C8" w14:textId="77777777" w:rsidR="0062768B" w:rsidRDefault="00136729">
      <w:pPr>
        <w:spacing w:line="300" w:lineRule="auto"/>
        <w:ind w:firstLineChars="200" w:firstLine="560"/>
        <w:rPr>
          <w:rFonts w:ascii="Arial" w:eastAsia="仿宋_GB2312" w:hAnsi="Arial" w:cs="Arial"/>
          <w:snapToGrid w:val="0"/>
          <w:sz w:val="28"/>
        </w:rPr>
      </w:pPr>
      <w:r>
        <w:rPr>
          <w:rFonts w:ascii="Arial" w:eastAsia="仿宋_GB2312" w:hAnsi="Arial" w:cs="Arial" w:hint="eastAsia"/>
          <w:snapToGrid w:val="0"/>
          <w:sz w:val="28"/>
        </w:rPr>
        <w:t>a.</w:t>
      </w:r>
      <w:r>
        <w:rPr>
          <w:rFonts w:ascii="Arial" w:eastAsia="仿宋_GB2312" w:hAnsi="Arial" w:cs="Arial"/>
          <w:snapToGrid w:val="0"/>
          <w:sz w:val="28"/>
        </w:rPr>
        <w:t>设定估价对象能够顺利完成预期的开发建设目标；</w:t>
      </w:r>
    </w:p>
    <w:p w14:paraId="4B716382" w14:textId="77777777" w:rsidR="0062768B" w:rsidRDefault="00136729">
      <w:pPr>
        <w:spacing w:line="300" w:lineRule="auto"/>
        <w:ind w:firstLineChars="200" w:firstLine="560"/>
        <w:rPr>
          <w:rFonts w:ascii="Arial" w:eastAsia="仿宋_GB2312" w:hAnsi="Arial" w:cs="Arial"/>
          <w:snapToGrid w:val="0"/>
          <w:sz w:val="28"/>
        </w:rPr>
      </w:pPr>
      <w:r>
        <w:rPr>
          <w:rFonts w:ascii="Arial" w:eastAsia="仿宋_GB2312" w:hAnsi="Arial" w:cs="Arial" w:hint="eastAsia"/>
          <w:snapToGrid w:val="0"/>
          <w:sz w:val="28"/>
        </w:rPr>
        <w:t>b.</w:t>
      </w:r>
      <w:r>
        <w:rPr>
          <w:rFonts w:ascii="Arial" w:eastAsia="仿宋_GB2312" w:hAnsi="Arial" w:cs="Arial"/>
          <w:snapToGrid w:val="0"/>
          <w:sz w:val="28"/>
        </w:rPr>
        <w:t>本项目建筑物建设周期为</w:t>
      </w:r>
      <w:r>
        <w:rPr>
          <w:rFonts w:ascii="Arial" w:eastAsia="仿宋_GB2312" w:hAnsi="Arial" w:cs="Arial"/>
          <w:snapToGrid w:val="0"/>
          <w:sz w:val="28"/>
        </w:rPr>
        <w:t>2.5</w:t>
      </w:r>
      <w:r>
        <w:rPr>
          <w:rFonts w:ascii="Arial" w:eastAsia="仿宋_GB2312" w:hAnsi="Arial" w:cs="Arial"/>
          <w:snapToGrid w:val="0"/>
          <w:sz w:val="28"/>
        </w:rPr>
        <w:t>年；</w:t>
      </w:r>
    </w:p>
    <w:p w14:paraId="58035DAC" w14:textId="77777777" w:rsidR="0062768B" w:rsidRDefault="00136729">
      <w:pPr>
        <w:spacing w:line="300" w:lineRule="auto"/>
        <w:ind w:firstLineChars="200" w:firstLine="560"/>
        <w:rPr>
          <w:rFonts w:ascii="Arial" w:eastAsia="仿宋_GB2312" w:hAnsi="Arial" w:cs="Arial"/>
          <w:snapToGrid w:val="0"/>
          <w:sz w:val="28"/>
        </w:rPr>
      </w:pPr>
      <w:r>
        <w:rPr>
          <w:rFonts w:ascii="Arial" w:eastAsia="仿宋_GB2312" w:hAnsi="Arial" w:cs="Arial" w:hint="eastAsia"/>
          <w:snapToGrid w:val="0"/>
          <w:sz w:val="28"/>
        </w:rPr>
        <w:t>c.</w:t>
      </w:r>
      <w:r>
        <w:rPr>
          <w:rFonts w:ascii="Arial" w:eastAsia="仿宋_GB2312" w:hAnsi="Arial" w:cs="Arial"/>
          <w:snapToGrid w:val="0"/>
          <w:sz w:val="28"/>
        </w:rPr>
        <w:t>建安费用在项目周期内均匀投入，利息按复利计算；</w:t>
      </w:r>
    </w:p>
    <w:p w14:paraId="142D7B76" w14:textId="77777777" w:rsidR="0062768B" w:rsidRDefault="00136729">
      <w:pPr>
        <w:spacing w:line="300" w:lineRule="auto"/>
        <w:ind w:right="14" w:firstLineChars="200" w:firstLine="560"/>
        <w:rPr>
          <w:rFonts w:ascii="Arial" w:eastAsia="仿宋_GB2312" w:hAnsi="Arial" w:cs="Arial"/>
          <w:snapToGrid w:val="0"/>
          <w:sz w:val="28"/>
        </w:rPr>
      </w:pPr>
      <w:r>
        <w:rPr>
          <w:rFonts w:ascii="Arial" w:eastAsia="仿宋_GB2312" w:hAnsi="Arial" w:cs="Arial" w:hint="eastAsia"/>
          <w:snapToGrid w:val="0"/>
          <w:sz w:val="28"/>
        </w:rPr>
        <w:t>d.</w:t>
      </w:r>
      <w:r>
        <w:rPr>
          <w:rFonts w:ascii="Arial" w:eastAsia="仿宋_GB2312" w:hAnsi="Arial" w:cs="Arial"/>
          <w:snapToGrid w:val="0"/>
          <w:sz w:val="28"/>
        </w:rPr>
        <w:t>在开发建设期间，房地产市场不会发生大的变化；</w:t>
      </w:r>
    </w:p>
    <w:p w14:paraId="2FE60787" w14:textId="77777777" w:rsidR="0062768B" w:rsidRDefault="00136729">
      <w:pPr>
        <w:spacing w:line="300" w:lineRule="auto"/>
        <w:ind w:firstLineChars="200" w:firstLine="560"/>
        <w:rPr>
          <w:rFonts w:ascii="Arial" w:eastAsia="仿宋_GB2312" w:hAnsi="Arial" w:cs="Arial"/>
          <w:snapToGrid w:val="0"/>
          <w:sz w:val="28"/>
        </w:rPr>
      </w:pPr>
      <w:r>
        <w:rPr>
          <w:rFonts w:ascii="Arial" w:eastAsia="仿宋_GB2312" w:hAnsi="Arial" w:cs="Arial" w:hint="eastAsia"/>
          <w:snapToGrid w:val="0"/>
          <w:sz w:val="28"/>
        </w:rPr>
        <w:t>e.</w:t>
      </w:r>
      <w:r>
        <w:rPr>
          <w:rFonts w:ascii="Arial" w:eastAsia="仿宋_GB2312" w:hAnsi="Arial" w:cs="Arial"/>
          <w:snapToGrid w:val="0"/>
          <w:sz w:val="28"/>
        </w:rPr>
        <w:t>本项目最佳用途为住宅；</w:t>
      </w:r>
    </w:p>
    <w:p w14:paraId="26BB9F96" w14:textId="77777777" w:rsidR="0062768B" w:rsidRDefault="00136729">
      <w:pPr>
        <w:spacing w:beforeLines="50" w:before="120" w:line="300" w:lineRule="auto"/>
        <w:ind w:firstLineChars="200" w:firstLine="560"/>
        <w:jc w:val="both"/>
        <w:rPr>
          <w:rFonts w:ascii="Arial" w:eastAsia="仿宋_GB2312" w:hAnsi="Arial" w:cs="Arial"/>
          <w:sz w:val="28"/>
          <w:szCs w:val="28"/>
        </w:rPr>
      </w:pPr>
      <w:r>
        <w:rPr>
          <w:rFonts w:ascii="Arial" w:eastAsia="仿宋_GB2312" w:hAnsi="Arial" w:cs="Arial" w:hint="eastAsia"/>
          <w:snapToGrid w:val="0"/>
          <w:sz w:val="28"/>
        </w:rPr>
        <w:t>f.</w:t>
      </w:r>
      <w:r>
        <w:rPr>
          <w:rFonts w:ascii="Arial" w:eastAsia="仿宋_GB2312" w:hAnsi="Arial" w:cs="Arial" w:hint="eastAsia"/>
          <w:sz w:val="28"/>
          <w:szCs w:val="28"/>
        </w:rPr>
        <w:t xml:space="preserve"> </w:t>
      </w:r>
      <w:r>
        <w:rPr>
          <w:rFonts w:ascii="Arial" w:eastAsia="仿宋_GB2312" w:hAnsi="Arial" w:cs="Arial" w:hint="eastAsia"/>
          <w:sz w:val="28"/>
          <w:szCs w:val="28"/>
        </w:rPr>
        <w:t>根据土地估价专业评估师现场勘查，估价对象周边</w:t>
      </w:r>
      <w:r>
        <w:rPr>
          <w:rFonts w:ascii="Arial" w:eastAsia="仿宋_GB2312" w:hAnsi="Arial" w:cs="Arial"/>
          <w:sz w:val="28"/>
          <w:szCs w:val="28"/>
        </w:rPr>
        <w:t>6</w:t>
      </w:r>
      <w:r>
        <w:rPr>
          <w:rFonts w:ascii="Arial" w:eastAsia="仿宋_GB2312" w:hAnsi="Arial" w:cs="Arial" w:hint="eastAsia"/>
          <w:sz w:val="28"/>
          <w:szCs w:val="28"/>
        </w:rPr>
        <w:t>公里范围内有观承望溪、富力首开·金禧璞</w:t>
      </w:r>
      <w:r>
        <w:rPr>
          <w:rFonts w:ascii="微软雅黑" w:eastAsia="微软雅黑" w:hAnsi="微软雅黑" w:cs="微软雅黑" w:hint="eastAsia"/>
          <w:sz w:val="28"/>
          <w:szCs w:val="28"/>
        </w:rPr>
        <w:t>瑅</w:t>
      </w:r>
      <w:r>
        <w:rPr>
          <w:rFonts w:ascii="Arial" w:eastAsia="仿宋_GB2312" w:hAnsi="Arial" w:cs="Arial" w:hint="eastAsia"/>
          <w:sz w:val="28"/>
          <w:szCs w:val="28"/>
        </w:rPr>
        <w:t>等类似物业，交房装修标准以精装修为主。因此，本次估价设定估价对象交房装修标准为精装修；</w:t>
      </w:r>
    </w:p>
    <w:p w14:paraId="06E5F34B" w14:textId="77777777" w:rsidR="0062768B" w:rsidRDefault="00136729">
      <w:pPr>
        <w:spacing w:line="300" w:lineRule="auto"/>
        <w:ind w:right="14" w:firstLineChars="202" w:firstLine="566"/>
        <w:rPr>
          <w:rFonts w:ascii="Arial" w:eastAsia="仿宋_GB2312" w:hAnsi="Arial" w:cs="Arial"/>
          <w:snapToGrid w:val="0"/>
          <w:sz w:val="28"/>
        </w:rPr>
      </w:pPr>
      <w:r>
        <w:rPr>
          <w:rFonts w:ascii="Arial" w:eastAsia="仿宋_GB2312" w:hAnsi="Arial" w:cs="Arial" w:hint="eastAsia"/>
          <w:snapToGrid w:val="0"/>
          <w:sz w:val="28"/>
        </w:rPr>
        <w:t>g.</w:t>
      </w:r>
      <w:r>
        <w:rPr>
          <w:rFonts w:ascii="Arial" w:eastAsia="仿宋_GB2312" w:hAnsi="Arial" w:cs="Arial"/>
          <w:snapToGrid w:val="0"/>
          <w:sz w:val="28"/>
        </w:rPr>
        <w:t>该项目在建成后即销售完毕</w:t>
      </w:r>
      <w:r>
        <w:rPr>
          <w:rFonts w:ascii="Arial" w:eastAsia="仿宋_GB2312" w:hAnsi="Arial" w:cs="Arial" w:hint="eastAsia"/>
          <w:snapToGrid w:val="0"/>
          <w:sz w:val="28"/>
        </w:rPr>
        <w:t>，设定</w:t>
      </w:r>
      <w:r>
        <w:rPr>
          <w:rFonts w:ascii="Arial" w:eastAsia="仿宋_GB2312" w:hAnsi="Arial" w:cs="Arial"/>
          <w:snapToGrid w:val="0"/>
          <w:sz w:val="28"/>
        </w:rPr>
        <w:t>开发完成后的房地产价值</w:t>
      </w:r>
      <w:r>
        <w:rPr>
          <w:rFonts w:ascii="Arial" w:eastAsia="仿宋_GB2312" w:hAnsi="Arial" w:cs="Arial" w:hint="eastAsia"/>
          <w:snapToGrid w:val="0"/>
          <w:sz w:val="28"/>
        </w:rPr>
        <w:t>含销售税费；</w:t>
      </w:r>
    </w:p>
    <w:p w14:paraId="3EB347C2" w14:textId="77777777" w:rsidR="0062768B" w:rsidRDefault="00136729">
      <w:pPr>
        <w:spacing w:line="300" w:lineRule="auto"/>
        <w:ind w:right="14" w:firstLineChars="202" w:firstLine="566"/>
        <w:rPr>
          <w:rFonts w:ascii="Arial" w:eastAsia="仿宋_GB2312" w:hAnsi="Arial" w:cs="Arial"/>
          <w:snapToGrid w:val="0"/>
          <w:sz w:val="28"/>
        </w:rPr>
      </w:pPr>
      <w:r>
        <w:rPr>
          <w:rFonts w:ascii="Arial" w:eastAsia="仿宋_GB2312" w:hAnsi="Arial" w:cs="Arial" w:hint="eastAsia"/>
          <w:snapToGrid w:val="0"/>
          <w:sz w:val="28"/>
        </w:rPr>
        <w:t>h.</w:t>
      </w:r>
      <w:r>
        <w:rPr>
          <w:rFonts w:ascii="Arial" w:eastAsia="仿宋_GB2312" w:hAnsi="Arial" w:cs="Arial"/>
          <w:snapToGrid w:val="0"/>
          <w:sz w:val="28"/>
        </w:rPr>
        <w:t>在开发过程中或有调整规划用途情况建议参照本估价结果价值水平。</w:t>
      </w:r>
    </w:p>
    <w:p w14:paraId="7ED4AA33" w14:textId="77777777" w:rsidR="0062768B" w:rsidRDefault="00136729">
      <w:pPr>
        <w:spacing w:after="26" w:line="300" w:lineRule="auto"/>
        <w:ind w:firstLineChars="200" w:firstLine="560"/>
        <w:rPr>
          <w:rFonts w:ascii="Arial" w:eastAsia="仿宋_GB2312" w:hAnsi="Arial" w:cs="Arial"/>
          <w:snapToGrid w:val="0"/>
          <w:sz w:val="28"/>
        </w:rPr>
      </w:pPr>
      <w:r>
        <w:rPr>
          <w:rFonts w:ascii="Arial" w:eastAsia="仿宋_GB2312" w:hAnsi="Arial" w:cs="Arial"/>
          <w:snapToGrid w:val="0"/>
          <w:sz w:val="28"/>
        </w:rPr>
        <w:t>剩余法是在预计开发完成后不动产正常交易价格的基础上，扣除预计的正常开发成本及有关专业费用、利息、利润和税收等，以价格余额来估算估价对象价格的一种方法。</w:t>
      </w:r>
    </w:p>
    <w:p w14:paraId="3F9266BB" w14:textId="77777777" w:rsidR="0062768B" w:rsidRDefault="00136729">
      <w:pPr>
        <w:spacing w:after="51" w:line="300" w:lineRule="auto"/>
        <w:ind w:firstLineChars="200" w:firstLine="560"/>
        <w:rPr>
          <w:rFonts w:ascii="Arial" w:eastAsia="仿宋_GB2312" w:hAnsi="Arial" w:cs="Arial"/>
          <w:snapToGrid w:val="0"/>
          <w:sz w:val="28"/>
        </w:rPr>
      </w:pPr>
      <w:r>
        <w:rPr>
          <w:rFonts w:ascii="Arial" w:eastAsia="仿宋_GB2312" w:hAnsi="Arial" w:cs="Arial"/>
          <w:snapToGrid w:val="0"/>
          <w:sz w:val="28"/>
        </w:rPr>
        <w:t>剩余法基本公式如下：</w:t>
      </w:r>
    </w:p>
    <w:p w14:paraId="6E7BE5AE" w14:textId="77777777" w:rsidR="0062768B" w:rsidRDefault="00136729">
      <w:pPr>
        <w:spacing w:before="50" w:after="50" w:line="300" w:lineRule="auto"/>
        <w:ind w:firstLineChars="200" w:firstLine="560"/>
        <w:rPr>
          <w:rFonts w:ascii="Arial" w:eastAsia="仿宋_GB2312" w:hAnsi="Arial" w:cs="Arial"/>
          <w:b/>
          <w:sz w:val="28"/>
        </w:rPr>
      </w:pPr>
      <w:r>
        <w:rPr>
          <w:rFonts w:ascii="Arial" w:eastAsia="仿宋_GB2312" w:hAnsi="Arial" w:cs="Arial"/>
          <w:snapToGrid w:val="0"/>
          <w:sz w:val="28"/>
        </w:rPr>
        <w:t>熟地价值：</w:t>
      </w:r>
      <w:proofErr w:type="gramStart"/>
      <w:r>
        <w:rPr>
          <w:rFonts w:ascii="Arial" w:eastAsia="仿宋_GB2312" w:hAnsi="Arial" w:cs="Arial"/>
          <w:sz w:val="28"/>
        </w:rPr>
        <w:t>待估宗</w:t>
      </w:r>
      <w:proofErr w:type="gramEnd"/>
      <w:r>
        <w:rPr>
          <w:rFonts w:ascii="Arial" w:eastAsia="仿宋_GB2312" w:hAnsi="Arial" w:cs="Arial"/>
          <w:sz w:val="28"/>
        </w:rPr>
        <w:t>地价格</w:t>
      </w:r>
      <w:r>
        <w:rPr>
          <w:rFonts w:ascii="Arial" w:eastAsia="仿宋_GB2312" w:hAnsi="Arial" w:cs="Arial"/>
          <w:sz w:val="28"/>
        </w:rPr>
        <w:t>=</w:t>
      </w:r>
      <w:r>
        <w:rPr>
          <w:rFonts w:ascii="Arial" w:eastAsia="仿宋_GB2312" w:hAnsi="Arial" w:cs="Arial"/>
          <w:sz w:val="28"/>
        </w:rPr>
        <w:t>不动产总价</w:t>
      </w:r>
      <w:r>
        <w:rPr>
          <w:rFonts w:ascii="Arial" w:eastAsia="仿宋_GB2312" w:hAnsi="Arial" w:cs="Arial"/>
          <w:sz w:val="28"/>
        </w:rPr>
        <w:t>-</w:t>
      </w:r>
      <w:r>
        <w:rPr>
          <w:rFonts w:ascii="Arial" w:eastAsia="仿宋_GB2312" w:hAnsi="Arial" w:cs="Arial"/>
          <w:sz w:val="28"/>
        </w:rPr>
        <w:t>开发项目整体的开发成本</w:t>
      </w:r>
      <w:r>
        <w:rPr>
          <w:rFonts w:ascii="Arial" w:eastAsia="仿宋_GB2312" w:hAnsi="Arial" w:cs="Arial"/>
          <w:sz w:val="28"/>
        </w:rPr>
        <w:t>-</w:t>
      </w:r>
      <w:r>
        <w:rPr>
          <w:rFonts w:ascii="Arial" w:eastAsia="仿宋_GB2312" w:hAnsi="Arial" w:cs="Arial"/>
          <w:sz w:val="28"/>
        </w:rPr>
        <w:t>客观开发利润</w:t>
      </w:r>
    </w:p>
    <w:p w14:paraId="22272492" w14:textId="77777777" w:rsidR="0062768B" w:rsidRDefault="00136729">
      <w:pPr>
        <w:widowControl/>
        <w:adjustRightInd/>
        <w:spacing w:after="5" w:line="300" w:lineRule="auto"/>
        <w:ind w:right="14" w:firstLineChars="200" w:firstLine="560"/>
        <w:jc w:val="both"/>
        <w:textAlignment w:val="auto"/>
        <w:rPr>
          <w:rFonts w:ascii="Arial" w:eastAsia="仿宋_GB2312" w:hAnsi="Arial" w:cs="Arial"/>
          <w:snapToGrid w:val="0"/>
          <w:sz w:val="28"/>
        </w:rPr>
      </w:pPr>
      <w:r>
        <w:rPr>
          <w:rFonts w:ascii="Arial" w:eastAsia="仿宋_GB2312" w:hAnsi="Arial" w:cs="Arial" w:hint="eastAsia"/>
          <w:bCs/>
          <w:sz w:val="28"/>
        </w:rPr>
        <w:t>B.</w:t>
      </w:r>
      <w:r>
        <w:rPr>
          <w:rFonts w:ascii="Arial" w:eastAsia="仿宋_GB2312" w:hAnsi="Arial" w:cs="Arial"/>
          <w:snapToGrid w:val="0"/>
          <w:sz w:val="28"/>
        </w:rPr>
        <w:t>开发完成后的房地产价值的确定</w:t>
      </w:r>
    </w:p>
    <w:p w14:paraId="52B2BF4B" w14:textId="77777777" w:rsidR="0062768B" w:rsidRDefault="00136729">
      <w:pPr>
        <w:spacing w:after="26" w:line="300" w:lineRule="auto"/>
        <w:ind w:firstLineChars="200" w:firstLine="560"/>
        <w:jc w:val="both"/>
        <w:rPr>
          <w:rFonts w:ascii="Arial" w:eastAsia="仿宋_GB2312" w:hAnsi="Arial" w:cs="Arial"/>
          <w:snapToGrid w:val="0"/>
          <w:sz w:val="28"/>
        </w:rPr>
      </w:pPr>
      <w:r>
        <w:rPr>
          <w:rFonts w:ascii="Arial" w:eastAsia="仿宋_GB2312" w:hAnsi="Arial" w:cs="Arial"/>
          <w:snapToGrid w:val="0"/>
          <w:sz w:val="28"/>
        </w:rPr>
        <w:t>假设建造</w:t>
      </w:r>
      <w:r>
        <w:rPr>
          <w:rFonts w:ascii="Arial" w:eastAsia="仿宋_GB2312" w:hAnsi="Arial" w:cs="Arial" w:hint="eastAsia"/>
          <w:snapToGrid w:val="0"/>
          <w:sz w:val="28"/>
        </w:rPr>
        <w:t>住宅</w:t>
      </w:r>
      <w:r>
        <w:rPr>
          <w:rFonts w:ascii="Arial" w:eastAsia="仿宋_GB2312" w:hAnsi="Arial" w:cs="Arial"/>
          <w:snapToGrid w:val="0"/>
          <w:sz w:val="28"/>
        </w:rPr>
        <w:t>用房，预计施工进度、施工计划及预计装修标准、设备</w:t>
      </w:r>
      <w:r>
        <w:rPr>
          <w:rFonts w:ascii="Arial" w:eastAsia="仿宋_GB2312" w:hAnsi="Arial" w:cs="Arial"/>
          <w:snapToGrid w:val="0"/>
          <w:sz w:val="28"/>
        </w:rPr>
        <w:lastRenderedPageBreak/>
        <w:t>设施情况等事项以周边类似房地产项目为参考。</w:t>
      </w:r>
    </w:p>
    <w:p w14:paraId="2E617A50" w14:textId="77777777" w:rsidR="0062768B" w:rsidRDefault="00136729">
      <w:pPr>
        <w:spacing w:after="26" w:line="300" w:lineRule="auto"/>
        <w:ind w:firstLineChars="200" w:firstLine="560"/>
        <w:jc w:val="both"/>
        <w:rPr>
          <w:rFonts w:ascii="Arial" w:eastAsia="仿宋_GB2312" w:hAnsi="Arial" w:cs="Arial"/>
          <w:snapToGrid w:val="0"/>
          <w:sz w:val="28"/>
        </w:rPr>
      </w:pPr>
      <w:r>
        <w:rPr>
          <w:rFonts w:ascii="Arial" w:eastAsia="仿宋_GB2312" w:hAnsi="Arial" w:cs="Arial"/>
          <w:snapToGrid w:val="0"/>
          <w:sz w:val="28"/>
        </w:rPr>
        <w:t>综合分析估价对象的规划利用和管理限制条件，结合估价对象周边的业态、基础设施及公共配套设施状况，确定</w:t>
      </w:r>
      <w:r>
        <w:rPr>
          <w:rFonts w:ascii="Arial" w:eastAsia="仿宋_GB2312" w:hAnsi="Arial" w:cs="Arial" w:hint="eastAsia"/>
          <w:snapToGrid w:val="0"/>
          <w:sz w:val="28"/>
        </w:rPr>
        <w:t>住宅</w:t>
      </w:r>
      <w:r>
        <w:rPr>
          <w:rFonts w:ascii="Arial" w:eastAsia="仿宋_GB2312" w:hAnsi="Arial" w:cs="Arial"/>
          <w:snapToGrid w:val="0"/>
          <w:sz w:val="28"/>
        </w:rPr>
        <w:t>为</w:t>
      </w:r>
      <w:proofErr w:type="gramStart"/>
      <w:r>
        <w:rPr>
          <w:rFonts w:ascii="Arial" w:eastAsia="仿宋_GB2312" w:hAnsi="Arial" w:cs="Arial"/>
          <w:snapToGrid w:val="0"/>
          <w:sz w:val="28"/>
        </w:rPr>
        <w:t>最佳利用</w:t>
      </w:r>
      <w:proofErr w:type="gramEnd"/>
      <w:r>
        <w:rPr>
          <w:rFonts w:ascii="Arial" w:eastAsia="仿宋_GB2312" w:hAnsi="Arial" w:cs="Arial"/>
          <w:snapToGrid w:val="0"/>
          <w:sz w:val="28"/>
        </w:rPr>
        <w:t>方式。</w:t>
      </w:r>
    </w:p>
    <w:p w14:paraId="6C9E0F46" w14:textId="77777777" w:rsidR="0062768B" w:rsidRDefault="00136729">
      <w:pPr>
        <w:spacing w:after="26" w:line="300" w:lineRule="auto"/>
        <w:ind w:firstLineChars="200" w:firstLine="560"/>
        <w:jc w:val="both"/>
        <w:rPr>
          <w:rFonts w:ascii="Arial" w:eastAsia="仿宋_GB2312" w:hAnsi="Arial" w:cs="Arial"/>
          <w:snapToGrid w:val="0"/>
          <w:sz w:val="28"/>
        </w:rPr>
      </w:pPr>
      <w:r>
        <w:rPr>
          <w:rFonts w:ascii="Arial" w:eastAsia="仿宋_GB2312" w:hAnsi="Arial" w:cs="Arial"/>
          <w:snapToGrid w:val="0"/>
          <w:sz w:val="28"/>
        </w:rPr>
        <w:t>根据项目的整体建筑规模和预期设备、装修标准，预计本项目建筑物建设周期为</w:t>
      </w:r>
      <w:r>
        <w:rPr>
          <w:rFonts w:ascii="Arial" w:eastAsia="仿宋_GB2312" w:hAnsi="Arial" w:cs="Arial"/>
          <w:snapToGrid w:val="0"/>
          <w:sz w:val="28"/>
        </w:rPr>
        <w:t>2.5</w:t>
      </w:r>
      <w:r>
        <w:rPr>
          <w:rFonts w:ascii="Arial" w:eastAsia="仿宋_GB2312" w:hAnsi="Arial" w:cs="Arial"/>
          <w:snapToGrid w:val="0"/>
          <w:sz w:val="28"/>
        </w:rPr>
        <w:t>年。</w:t>
      </w:r>
    </w:p>
    <w:p w14:paraId="5D2BBFF1" w14:textId="77777777" w:rsidR="004532BF" w:rsidRDefault="00136729" w:rsidP="004532BF">
      <w:pPr>
        <w:spacing w:after="26" w:line="300" w:lineRule="auto"/>
        <w:ind w:firstLineChars="200" w:firstLine="560"/>
        <w:jc w:val="both"/>
        <w:rPr>
          <w:rFonts w:ascii="Arial" w:eastAsia="仿宋_GB2312" w:hAnsi="Arial" w:cs="Arial"/>
          <w:sz w:val="28"/>
        </w:rPr>
      </w:pPr>
      <w:r>
        <w:rPr>
          <w:rFonts w:ascii="Arial" w:eastAsia="仿宋_GB2312" w:hAnsi="Arial" w:cs="Arial"/>
          <w:snapToGrid w:val="0"/>
          <w:sz w:val="28"/>
        </w:rPr>
        <w:t>开发完成后的房地产价值的确定根据土地估价专业评估师的市场调查及</w:t>
      </w:r>
      <w:r>
        <w:rPr>
          <w:rFonts w:ascii="Arial" w:eastAsia="仿宋_GB2312" w:hAnsi="Arial" w:cs="Arial"/>
          <w:sz w:val="28"/>
          <w:szCs w:val="28"/>
        </w:rPr>
        <w:t>查询中指数据、建委网站等网上发布信息，</w:t>
      </w:r>
      <w:r>
        <w:rPr>
          <w:rFonts w:ascii="Arial" w:eastAsia="仿宋_GB2312" w:hAnsi="Arial" w:cs="Arial"/>
          <w:sz w:val="28"/>
        </w:rPr>
        <w:t>采用房地产交易中的替代原则，选取与估价对象类似</w:t>
      </w:r>
      <w:r>
        <w:rPr>
          <w:rFonts w:ascii="Arial" w:eastAsia="仿宋_GB2312" w:hAnsi="Arial" w:cs="Arial"/>
          <w:sz w:val="28"/>
          <w:szCs w:val="28"/>
        </w:rPr>
        <w:t>用途</w:t>
      </w:r>
      <w:r>
        <w:rPr>
          <w:rFonts w:ascii="Arial" w:eastAsia="仿宋_GB2312" w:hAnsi="Arial" w:cs="Arial"/>
          <w:sz w:val="28"/>
        </w:rPr>
        <w:t>的案例，并分别进行交易情况、交易时间、用途、容积率、土地使用年限、区域因素、个别因素的修正。详见下表。</w:t>
      </w:r>
    </w:p>
    <w:p w14:paraId="27AA5AC4" w14:textId="5169A6AB" w:rsidR="0062768B" w:rsidRDefault="00136729" w:rsidP="004532BF">
      <w:pPr>
        <w:spacing w:after="26" w:line="300" w:lineRule="auto"/>
        <w:ind w:firstLineChars="200" w:firstLine="560"/>
        <w:jc w:val="center"/>
        <w:rPr>
          <w:rFonts w:ascii="Arial" w:eastAsia="仿宋_GB2312" w:hAnsi="Arial" w:cs="Arial"/>
          <w:i/>
          <w:sz w:val="28"/>
        </w:rPr>
      </w:pPr>
      <w:r>
        <w:rPr>
          <w:rFonts w:ascii="仿宋" w:eastAsia="仿宋" w:hAnsi="仿宋" w:cs="Arial"/>
          <w:sz w:val="28"/>
          <w:szCs w:val="28"/>
        </w:rPr>
        <w:t>估价对象及案例位置示意图：</w:t>
      </w:r>
    </w:p>
    <w:p w14:paraId="4D68EC17" w14:textId="77777777" w:rsidR="0062768B" w:rsidRDefault="00136729">
      <w:pPr>
        <w:spacing w:after="26" w:line="300" w:lineRule="auto"/>
        <w:ind w:firstLineChars="200" w:firstLine="560"/>
        <w:jc w:val="center"/>
        <w:rPr>
          <w:rFonts w:ascii="Arial" w:eastAsia="仿宋_GB2312" w:hAnsi="Arial" w:cs="Arial"/>
          <w:i/>
          <w:sz w:val="28"/>
        </w:rPr>
      </w:pPr>
      <w:r>
        <w:rPr>
          <w:rFonts w:ascii="Arial" w:eastAsia="仿宋_GB2312" w:hAnsi="Arial" w:cs="Arial"/>
          <w:i/>
          <w:noProof/>
          <w:sz w:val="28"/>
        </w:rPr>
        <w:drawing>
          <wp:inline distT="0" distB="0" distL="0" distR="0" wp14:anchorId="44A14A05" wp14:editId="7AA17296">
            <wp:extent cx="5412105" cy="3721100"/>
            <wp:effectExtent l="0" t="0" r="0" b="12700"/>
            <wp:docPr id="33" name="图片 33" descr="9492d20ea48fe5b3d21944bb4a4b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9492d20ea48fe5b3d21944bb4a4b0c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5412105" cy="3721100"/>
                    </a:xfrm>
                    <a:prstGeom prst="rect">
                      <a:avLst/>
                    </a:prstGeom>
                    <a:noFill/>
                    <a:ln>
                      <a:noFill/>
                    </a:ln>
                  </pic:spPr>
                </pic:pic>
              </a:graphicData>
            </a:graphic>
          </wp:inline>
        </w:drawing>
      </w:r>
    </w:p>
    <w:p w14:paraId="4D3614DB" w14:textId="77777777" w:rsidR="0062768B" w:rsidRDefault="0062768B">
      <w:pPr>
        <w:spacing w:after="26" w:line="300" w:lineRule="auto"/>
        <w:ind w:firstLineChars="200" w:firstLine="560"/>
        <w:jc w:val="center"/>
        <w:rPr>
          <w:rFonts w:ascii="Arial" w:eastAsia="仿宋_GB2312" w:hAnsi="Arial" w:cs="Arial"/>
          <w:sz w:val="28"/>
        </w:rPr>
      </w:pPr>
    </w:p>
    <w:p w14:paraId="2ECB01FB" w14:textId="77777777" w:rsidR="0062768B" w:rsidRDefault="0062768B">
      <w:pPr>
        <w:spacing w:after="26" w:line="300" w:lineRule="auto"/>
        <w:ind w:firstLineChars="200" w:firstLine="560"/>
        <w:jc w:val="center"/>
        <w:rPr>
          <w:rFonts w:ascii="Arial" w:eastAsia="仿宋_GB2312" w:hAnsi="Arial" w:cs="Arial"/>
          <w:sz w:val="28"/>
        </w:rPr>
      </w:pPr>
    </w:p>
    <w:p w14:paraId="3D17CDA7" w14:textId="77777777" w:rsidR="0062768B" w:rsidRDefault="00136729">
      <w:pPr>
        <w:spacing w:after="26" w:line="300" w:lineRule="auto"/>
        <w:ind w:firstLineChars="200" w:firstLine="560"/>
        <w:rPr>
          <w:rFonts w:ascii="Arial" w:eastAsia="仿宋_GB2312" w:hAnsi="Arial" w:cs="Arial"/>
          <w:sz w:val="28"/>
        </w:rPr>
      </w:pPr>
      <w:r>
        <w:rPr>
          <w:rFonts w:ascii="Arial" w:eastAsia="仿宋_GB2312" w:hAnsi="Arial" w:cs="Arial" w:hint="eastAsia"/>
          <w:sz w:val="28"/>
        </w:rPr>
        <w:t>（转下页）</w:t>
      </w:r>
    </w:p>
    <w:p w14:paraId="553966D8" w14:textId="77777777" w:rsidR="0062768B" w:rsidRDefault="00136729">
      <w:pPr>
        <w:spacing w:after="26" w:line="300" w:lineRule="auto"/>
        <w:ind w:firstLineChars="200" w:firstLine="560"/>
        <w:rPr>
          <w:rFonts w:ascii="Arial" w:eastAsia="仿宋_GB2312" w:hAnsi="Arial" w:cs="Arial"/>
          <w:sz w:val="28"/>
        </w:rPr>
      </w:pPr>
      <w:r>
        <w:rPr>
          <w:rFonts w:ascii="Arial" w:eastAsia="仿宋_GB2312" w:hAnsi="Arial" w:cs="Arial"/>
          <w:sz w:val="28"/>
        </w:rPr>
        <w:br w:type="page"/>
      </w:r>
      <w:r>
        <w:rPr>
          <w:rFonts w:ascii="Arial" w:eastAsia="仿宋_GB2312" w:hAnsi="Arial" w:cs="Arial"/>
          <w:sz w:val="28"/>
        </w:rPr>
        <w:lastRenderedPageBreak/>
        <w:t>案例</w:t>
      </w:r>
      <w:r>
        <w:rPr>
          <w:rFonts w:ascii="Arial" w:eastAsia="仿宋_GB2312" w:hAnsi="Arial" w:cs="Arial"/>
          <w:sz w:val="28"/>
        </w:rPr>
        <w:t>A</w:t>
      </w:r>
      <w:r>
        <w:rPr>
          <w:rFonts w:ascii="Arial" w:eastAsia="仿宋_GB2312" w:hAnsi="Arial" w:cs="Arial" w:hint="eastAsia"/>
          <w:sz w:val="28"/>
        </w:rPr>
        <w:t xml:space="preserve">  </w:t>
      </w:r>
      <w:r>
        <w:rPr>
          <w:rFonts w:ascii="Arial" w:eastAsia="仿宋_GB2312" w:hAnsi="Arial" w:cs="Arial" w:hint="eastAsia"/>
          <w:sz w:val="28"/>
        </w:rPr>
        <w:t>项目名称：观承望溪</w:t>
      </w:r>
    </w:p>
    <w:p w14:paraId="162B4AE2" w14:textId="77777777" w:rsidR="0062768B" w:rsidRDefault="00136729">
      <w:pPr>
        <w:spacing w:after="26" w:line="300" w:lineRule="auto"/>
        <w:rPr>
          <w:rFonts w:ascii="Arial" w:eastAsia="仿宋_GB2312" w:hAnsi="Arial" w:cs="Arial"/>
          <w:sz w:val="28"/>
        </w:rPr>
      </w:pPr>
      <w:r>
        <w:rPr>
          <w:noProof/>
        </w:rPr>
        <w:drawing>
          <wp:inline distT="0" distB="0" distL="0" distR="0" wp14:anchorId="1EB5DD5B" wp14:editId="41F99F16">
            <wp:extent cx="5560695" cy="1339850"/>
            <wp:effectExtent l="0" t="0" r="1905" b="635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5560695" cy="1339850"/>
                    </a:xfrm>
                    <a:prstGeom prst="rect">
                      <a:avLst/>
                    </a:prstGeom>
                    <a:noFill/>
                    <a:ln>
                      <a:noFill/>
                    </a:ln>
                  </pic:spPr>
                </pic:pic>
              </a:graphicData>
            </a:graphic>
          </wp:inline>
        </w:drawing>
      </w:r>
    </w:p>
    <w:p w14:paraId="15E46E7C" w14:textId="77777777" w:rsidR="0062768B" w:rsidRDefault="00136729">
      <w:pPr>
        <w:spacing w:line="300" w:lineRule="auto"/>
        <w:rPr>
          <w:rFonts w:ascii="Arial" w:eastAsia="仿宋_GB2312" w:hAnsi="Arial" w:cs="Arial"/>
          <w:b/>
          <w:bCs/>
        </w:rPr>
      </w:pPr>
      <w:r>
        <w:rPr>
          <w:noProof/>
        </w:rPr>
        <w:drawing>
          <wp:inline distT="0" distB="0" distL="0" distR="0" wp14:anchorId="2058DD38" wp14:editId="0C2B791A">
            <wp:extent cx="5614035" cy="829310"/>
            <wp:effectExtent l="0" t="0" r="0" b="889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614035" cy="829310"/>
                    </a:xfrm>
                    <a:prstGeom prst="rect">
                      <a:avLst/>
                    </a:prstGeom>
                    <a:noFill/>
                    <a:ln>
                      <a:noFill/>
                    </a:ln>
                  </pic:spPr>
                </pic:pic>
              </a:graphicData>
            </a:graphic>
          </wp:inline>
        </w:drawing>
      </w:r>
    </w:p>
    <w:p w14:paraId="776F4F3B" w14:textId="77777777" w:rsidR="0062768B" w:rsidRDefault="00136729">
      <w:pPr>
        <w:spacing w:after="26" w:line="300" w:lineRule="auto"/>
        <w:ind w:firstLineChars="200" w:firstLine="560"/>
        <w:jc w:val="both"/>
        <w:rPr>
          <w:rFonts w:ascii="Arial" w:eastAsia="仿宋_GB2312" w:hAnsi="Arial" w:cs="Arial"/>
          <w:sz w:val="28"/>
        </w:rPr>
      </w:pPr>
      <w:r>
        <w:rPr>
          <w:rFonts w:ascii="Arial" w:eastAsia="仿宋_GB2312" w:hAnsi="Arial" w:cs="Arial" w:hint="eastAsia"/>
          <w:sz w:val="28"/>
        </w:rPr>
        <w:t>观承望</w:t>
      </w:r>
      <w:proofErr w:type="gramStart"/>
      <w:r>
        <w:rPr>
          <w:rFonts w:ascii="Arial" w:eastAsia="仿宋_GB2312" w:hAnsi="Arial" w:cs="Arial" w:hint="eastAsia"/>
          <w:sz w:val="28"/>
        </w:rPr>
        <w:t>溪住宅</w:t>
      </w:r>
      <w:proofErr w:type="gramEnd"/>
      <w:r>
        <w:rPr>
          <w:rFonts w:ascii="Arial" w:eastAsia="仿宋_GB2312" w:hAnsi="Arial" w:cs="Arial" w:hint="eastAsia"/>
          <w:sz w:val="28"/>
        </w:rPr>
        <w:t>用房</w:t>
      </w: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月成交均价为</w:t>
      </w:r>
      <w:r>
        <w:rPr>
          <w:rFonts w:ascii="Arial" w:eastAsia="仿宋_GB2312" w:hAnsi="Arial" w:cs="Arial"/>
          <w:sz w:val="28"/>
        </w:rPr>
        <w:t>42492</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w:t>
      </w:r>
    </w:p>
    <w:p w14:paraId="043F6F84" w14:textId="77777777" w:rsidR="0062768B" w:rsidRDefault="00136729">
      <w:pPr>
        <w:spacing w:after="26" w:line="300" w:lineRule="auto"/>
        <w:ind w:firstLineChars="200" w:firstLine="560"/>
        <w:jc w:val="both"/>
        <w:rPr>
          <w:rFonts w:ascii="Arial" w:eastAsia="仿宋_GB2312" w:hAnsi="Arial" w:cs="Arial"/>
          <w:sz w:val="28"/>
        </w:rPr>
      </w:pPr>
      <w:r>
        <w:rPr>
          <w:rFonts w:ascii="Arial" w:eastAsia="仿宋_GB2312" w:hAnsi="Arial" w:cs="Arial"/>
          <w:sz w:val="28"/>
        </w:rPr>
        <w:t>案例</w:t>
      </w:r>
      <w:r>
        <w:rPr>
          <w:rFonts w:ascii="Arial" w:eastAsia="仿宋_GB2312" w:hAnsi="Arial" w:cs="Arial"/>
          <w:sz w:val="28"/>
        </w:rPr>
        <w:t>B</w:t>
      </w:r>
      <w:r>
        <w:rPr>
          <w:rFonts w:ascii="Arial" w:eastAsia="仿宋_GB2312" w:hAnsi="Arial" w:cs="Arial" w:hint="eastAsia"/>
          <w:sz w:val="28"/>
        </w:rPr>
        <w:t xml:space="preserve">  </w:t>
      </w:r>
      <w:r>
        <w:rPr>
          <w:rFonts w:ascii="Arial" w:eastAsia="仿宋_GB2312" w:hAnsi="Arial" w:cs="Arial" w:hint="eastAsia"/>
          <w:sz w:val="28"/>
        </w:rPr>
        <w:t>项目名称：富力首开·金禧璞</w:t>
      </w:r>
      <w:r>
        <w:rPr>
          <w:rFonts w:ascii="微软雅黑" w:eastAsia="微软雅黑" w:hAnsi="微软雅黑" w:cs="微软雅黑" w:hint="eastAsia"/>
          <w:sz w:val="28"/>
        </w:rPr>
        <w:t>瑅</w:t>
      </w:r>
    </w:p>
    <w:p w14:paraId="10A5CFC8" w14:textId="77777777" w:rsidR="0062768B" w:rsidRDefault="00136729">
      <w:pPr>
        <w:spacing w:line="300" w:lineRule="auto"/>
        <w:rPr>
          <w:rFonts w:ascii="Arial" w:eastAsia="仿宋_GB2312" w:hAnsi="Arial" w:cs="Arial"/>
          <w:b/>
          <w:bCs/>
        </w:rPr>
      </w:pPr>
      <w:r>
        <w:rPr>
          <w:noProof/>
        </w:rPr>
        <w:drawing>
          <wp:inline distT="0" distB="0" distL="0" distR="0" wp14:anchorId="7AD1800E" wp14:editId="522AA055">
            <wp:extent cx="5762625" cy="1031240"/>
            <wp:effectExtent l="0" t="0" r="3175" b="1016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762625" cy="1031240"/>
                    </a:xfrm>
                    <a:prstGeom prst="rect">
                      <a:avLst/>
                    </a:prstGeom>
                    <a:noFill/>
                    <a:ln>
                      <a:noFill/>
                    </a:ln>
                  </pic:spPr>
                </pic:pic>
              </a:graphicData>
            </a:graphic>
          </wp:inline>
        </w:drawing>
      </w:r>
    </w:p>
    <w:p w14:paraId="4420E14E" w14:textId="77777777" w:rsidR="0062768B" w:rsidRDefault="00136729">
      <w:pPr>
        <w:spacing w:line="300" w:lineRule="auto"/>
        <w:rPr>
          <w:rFonts w:ascii="Arial" w:eastAsia="仿宋_GB2312" w:hAnsi="Arial" w:cs="Arial"/>
          <w:sz w:val="28"/>
        </w:rPr>
      </w:pPr>
      <w:r>
        <w:rPr>
          <w:noProof/>
        </w:rPr>
        <w:drawing>
          <wp:inline distT="0" distB="0" distL="0" distR="0" wp14:anchorId="4855B179" wp14:editId="1A864B92">
            <wp:extent cx="5752465" cy="840105"/>
            <wp:effectExtent l="0" t="0" r="0"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752465" cy="840105"/>
                    </a:xfrm>
                    <a:prstGeom prst="rect">
                      <a:avLst/>
                    </a:prstGeom>
                    <a:noFill/>
                    <a:ln>
                      <a:noFill/>
                    </a:ln>
                  </pic:spPr>
                </pic:pic>
              </a:graphicData>
            </a:graphic>
          </wp:inline>
        </w:drawing>
      </w:r>
    </w:p>
    <w:p w14:paraId="3C704946"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富力首开·金禧璞</w:t>
      </w:r>
      <w:r>
        <w:rPr>
          <w:rFonts w:ascii="微软雅黑" w:eastAsia="微软雅黑" w:hAnsi="微软雅黑" w:cs="微软雅黑" w:hint="eastAsia"/>
          <w:sz w:val="28"/>
        </w:rPr>
        <w:t>瑅</w:t>
      </w:r>
      <w:r>
        <w:rPr>
          <w:rFonts w:ascii="Arial" w:eastAsia="仿宋_GB2312" w:hAnsi="Arial" w:cs="Arial" w:hint="eastAsia"/>
          <w:sz w:val="28"/>
        </w:rPr>
        <w:t>住宅用房</w:t>
      </w: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sz w:val="28"/>
        </w:rPr>
        <w:t>2</w:t>
      </w:r>
      <w:r>
        <w:rPr>
          <w:rFonts w:ascii="Arial" w:eastAsia="仿宋_GB2312" w:hAnsi="Arial" w:cs="Arial" w:hint="eastAsia"/>
          <w:sz w:val="28"/>
        </w:rPr>
        <w:t>月成交均价为</w:t>
      </w:r>
      <w:r>
        <w:rPr>
          <w:rFonts w:ascii="Arial" w:eastAsia="仿宋_GB2312" w:hAnsi="Arial" w:cs="Arial"/>
          <w:sz w:val="28"/>
        </w:rPr>
        <w:t>42462</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w:t>
      </w:r>
    </w:p>
    <w:p w14:paraId="3AB7D766" w14:textId="77777777" w:rsidR="0062768B" w:rsidRDefault="00136729">
      <w:pPr>
        <w:spacing w:after="26" w:line="300" w:lineRule="auto"/>
        <w:ind w:firstLineChars="200" w:firstLine="560"/>
        <w:jc w:val="both"/>
        <w:rPr>
          <w:rFonts w:ascii="Arial" w:eastAsia="仿宋_GB2312" w:hAnsi="Arial" w:cs="Arial"/>
          <w:sz w:val="28"/>
        </w:rPr>
      </w:pPr>
      <w:r>
        <w:rPr>
          <w:rFonts w:ascii="Arial" w:eastAsia="仿宋_GB2312" w:hAnsi="Arial" w:cs="Arial"/>
          <w:sz w:val="28"/>
        </w:rPr>
        <w:t>案例</w:t>
      </w:r>
      <w:r>
        <w:rPr>
          <w:rFonts w:ascii="Arial" w:eastAsia="仿宋_GB2312" w:hAnsi="Arial" w:cs="Arial"/>
          <w:sz w:val="28"/>
        </w:rPr>
        <w:t>C</w:t>
      </w:r>
      <w:r>
        <w:rPr>
          <w:rFonts w:ascii="Arial" w:eastAsia="仿宋_GB2312" w:hAnsi="Arial" w:cs="Arial" w:hint="eastAsia"/>
          <w:sz w:val="28"/>
        </w:rPr>
        <w:t xml:space="preserve">  </w:t>
      </w:r>
      <w:r>
        <w:rPr>
          <w:rFonts w:ascii="Arial" w:eastAsia="仿宋_GB2312" w:hAnsi="Arial" w:cs="Arial" w:hint="eastAsia"/>
          <w:sz w:val="28"/>
        </w:rPr>
        <w:t>项目名称：招商中建·顺义</w:t>
      </w:r>
      <w:proofErr w:type="gramStart"/>
      <w:r>
        <w:rPr>
          <w:rFonts w:ascii="Arial" w:eastAsia="仿宋_GB2312" w:hAnsi="Arial" w:cs="Arial" w:hint="eastAsia"/>
          <w:sz w:val="28"/>
        </w:rPr>
        <w:t>臻珑</w:t>
      </w:r>
      <w:proofErr w:type="gramEnd"/>
      <w:r>
        <w:rPr>
          <w:rFonts w:ascii="Arial" w:eastAsia="仿宋_GB2312" w:hAnsi="Arial" w:cs="Arial" w:hint="eastAsia"/>
          <w:sz w:val="28"/>
        </w:rPr>
        <w:t>府</w:t>
      </w:r>
    </w:p>
    <w:p w14:paraId="39CF3D25" w14:textId="77777777" w:rsidR="0062768B" w:rsidRDefault="00136729">
      <w:pPr>
        <w:spacing w:line="300" w:lineRule="auto"/>
      </w:pPr>
      <w:r>
        <w:rPr>
          <w:noProof/>
        </w:rPr>
        <w:drawing>
          <wp:inline distT="0" distB="0" distL="0" distR="0" wp14:anchorId="2D0DE6FF" wp14:editId="09639F01">
            <wp:extent cx="5560695" cy="1105535"/>
            <wp:effectExtent l="0" t="0" r="1905" b="1206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560695" cy="1105535"/>
                    </a:xfrm>
                    <a:prstGeom prst="rect">
                      <a:avLst/>
                    </a:prstGeom>
                    <a:noFill/>
                    <a:ln>
                      <a:noFill/>
                    </a:ln>
                  </pic:spPr>
                </pic:pic>
              </a:graphicData>
            </a:graphic>
          </wp:inline>
        </w:drawing>
      </w:r>
    </w:p>
    <w:p w14:paraId="5E698D28" w14:textId="77777777" w:rsidR="0062768B" w:rsidRDefault="00136729">
      <w:pPr>
        <w:spacing w:after="26" w:line="300" w:lineRule="auto"/>
      </w:pPr>
      <w:r>
        <w:rPr>
          <w:noProof/>
        </w:rPr>
        <w:drawing>
          <wp:inline distT="0" distB="0" distL="0" distR="0" wp14:anchorId="4DD79F16" wp14:editId="63FEF1E5">
            <wp:extent cx="5582285" cy="744220"/>
            <wp:effectExtent l="0" t="0" r="5715" b="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5582285" cy="744220"/>
                    </a:xfrm>
                    <a:prstGeom prst="rect">
                      <a:avLst/>
                    </a:prstGeom>
                    <a:noFill/>
                    <a:ln>
                      <a:noFill/>
                    </a:ln>
                  </pic:spPr>
                </pic:pic>
              </a:graphicData>
            </a:graphic>
          </wp:inline>
        </w:drawing>
      </w:r>
    </w:p>
    <w:p w14:paraId="125913C5" w14:textId="77777777" w:rsidR="0062768B" w:rsidRDefault="00136729">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招商中建·顺义</w:t>
      </w:r>
      <w:proofErr w:type="gramStart"/>
      <w:r>
        <w:rPr>
          <w:rFonts w:ascii="Arial" w:eastAsia="仿宋_GB2312" w:hAnsi="Arial" w:cs="Arial" w:hint="eastAsia"/>
          <w:sz w:val="28"/>
        </w:rPr>
        <w:t>臻珑</w:t>
      </w:r>
      <w:proofErr w:type="gramEnd"/>
      <w:r>
        <w:rPr>
          <w:rFonts w:ascii="Arial" w:eastAsia="仿宋_GB2312" w:hAnsi="Arial" w:cs="Arial" w:hint="eastAsia"/>
          <w:sz w:val="28"/>
        </w:rPr>
        <w:t>府住宅用房</w:t>
      </w:r>
      <w:r>
        <w:rPr>
          <w:rFonts w:ascii="Arial" w:eastAsia="仿宋_GB2312" w:hAnsi="Arial" w:cs="Arial" w:hint="eastAsia"/>
          <w:sz w:val="28"/>
        </w:rPr>
        <w:t>20</w:t>
      </w:r>
      <w:r>
        <w:rPr>
          <w:rFonts w:ascii="Arial" w:eastAsia="仿宋_GB2312" w:hAnsi="Arial" w:cs="Arial"/>
          <w:sz w:val="28"/>
        </w:rPr>
        <w:t>23</w:t>
      </w:r>
      <w:r>
        <w:rPr>
          <w:rFonts w:ascii="Arial" w:eastAsia="仿宋_GB2312" w:hAnsi="Arial" w:cs="Arial" w:hint="eastAsia"/>
          <w:sz w:val="28"/>
        </w:rPr>
        <w:t>年</w:t>
      </w:r>
      <w:r>
        <w:rPr>
          <w:rFonts w:ascii="Arial" w:eastAsia="仿宋_GB2312" w:hAnsi="Arial" w:cs="Arial"/>
          <w:sz w:val="28"/>
        </w:rPr>
        <w:t>4</w:t>
      </w:r>
      <w:r>
        <w:rPr>
          <w:rFonts w:ascii="Arial" w:eastAsia="仿宋_GB2312" w:hAnsi="Arial" w:cs="Arial" w:hint="eastAsia"/>
          <w:sz w:val="28"/>
        </w:rPr>
        <w:t>月成交均价为</w:t>
      </w:r>
      <w:r>
        <w:rPr>
          <w:rFonts w:ascii="Arial" w:eastAsia="仿宋_GB2312" w:hAnsi="Arial" w:cs="Arial"/>
          <w:sz w:val="28"/>
        </w:rPr>
        <w:t>38937</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w:t>
      </w:r>
    </w:p>
    <w:p w14:paraId="36F0E8B9" w14:textId="77777777" w:rsidR="004532BF" w:rsidRDefault="004532BF">
      <w:pPr>
        <w:spacing w:after="26" w:line="300" w:lineRule="auto"/>
        <w:ind w:firstLineChars="200" w:firstLine="482"/>
        <w:jc w:val="center"/>
        <w:rPr>
          <w:rFonts w:ascii="Arial" w:eastAsia="仿宋_GB2312" w:hAnsi="Arial" w:cs="Arial"/>
          <w:b/>
          <w:bCs/>
        </w:rPr>
      </w:pPr>
    </w:p>
    <w:p w14:paraId="7E58370B" w14:textId="726F67E0" w:rsidR="0062768B" w:rsidRDefault="00136729">
      <w:pPr>
        <w:spacing w:after="26" w:line="300" w:lineRule="auto"/>
        <w:ind w:firstLineChars="200" w:firstLine="482"/>
        <w:jc w:val="center"/>
        <w:rPr>
          <w:rFonts w:ascii="Arial" w:eastAsia="仿宋_GB2312" w:hAnsi="Arial" w:cs="Arial"/>
          <w:sz w:val="28"/>
        </w:rPr>
      </w:pPr>
      <w:r>
        <w:rPr>
          <w:rFonts w:ascii="Arial" w:eastAsia="仿宋_GB2312" w:hAnsi="Arial" w:cs="Arial"/>
          <w:b/>
          <w:bCs/>
        </w:rPr>
        <w:lastRenderedPageBreak/>
        <w:t>表</w:t>
      </w:r>
      <w:r>
        <w:rPr>
          <w:rFonts w:ascii="Arial" w:eastAsia="仿宋_GB2312" w:hAnsi="Arial" w:cs="Arial"/>
          <w:b/>
          <w:bCs/>
        </w:rPr>
        <w:t>1</w:t>
      </w:r>
      <w:r>
        <w:rPr>
          <w:rFonts w:ascii="Arial" w:eastAsia="仿宋_GB2312" w:hAnsi="Arial" w:cs="Arial"/>
          <w:b/>
          <w:bCs/>
        </w:rPr>
        <w:t>：比较因素条件说明及指数表</w:t>
      </w:r>
    </w:p>
    <w:tbl>
      <w:tblPr>
        <w:tblW w:w="9072" w:type="dxa"/>
        <w:jc w:val="center"/>
        <w:tblLayout w:type="fixed"/>
        <w:tblCellMar>
          <w:top w:w="57" w:type="dxa"/>
          <w:left w:w="28" w:type="dxa"/>
          <w:bottom w:w="57" w:type="dxa"/>
          <w:right w:w="28" w:type="dxa"/>
        </w:tblCellMar>
        <w:tblLook w:val="04A0" w:firstRow="1" w:lastRow="0" w:firstColumn="1" w:lastColumn="0" w:noHBand="0" w:noVBand="1"/>
      </w:tblPr>
      <w:tblGrid>
        <w:gridCol w:w="285"/>
        <w:gridCol w:w="850"/>
        <w:gridCol w:w="1418"/>
        <w:gridCol w:w="567"/>
        <w:gridCol w:w="1417"/>
        <w:gridCol w:w="757"/>
        <w:gridCol w:w="1374"/>
        <w:gridCol w:w="551"/>
        <w:gridCol w:w="1302"/>
        <w:gridCol w:w="551"/>
      </w:tblGrid>
      <w:tr w:rsidR="0062768B" w14:paraId="26B1601C" w14:textId="77777777">
        <w:trPr>
          <w:cantSplit/>
          <w:tblHeader/>
          <w:jc w:val="center"/>
        </w:trPr>
        <w:tc>
          <w:tcPr>
            <w:tcW w:w="1135" w:type="dxa"/>
            <w:gridSpan w:val="2"/>
            <w:vMerge w:val="restart"/>
            <w:tcBorders>
              <w:top w:val="single" w:sz="4" w:space="0" w:color="auto"/>
              <w:left w:val="single" w:sz="4" w:space="0" w:color="auto"/>
              <w:right w:val="single" w:sz="4" w:space="0" w:color="auto"/>
            </w:tcBorders>
            <w:shd w:val="clear" w:color="auto" w:fill="auto"/>
            <w:noWrap/>
            <w:vAlign w:val="center"/>
          </w:tcPr>
          <w:p w14:paraId="19448FF8"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比较因素</w:t>
            </w:r>
          </w:p>
        </w:tc>
        <w:tc>
          <w:tcPr>
            <w:tcW w:w="1985" w:type="dxa"/>
            <w:gridSpan w:val="2"/>
            <w:tcBorders>
              <w:top w:val="single" w:sz="4" w:space="0" w:color="auto"/>
              <w:left w:val="nil"/>
              <w:bottom w:val="single" w:sz="4" w:space="0" w:color="auto"/>
              <w:right w:val="single" w:sz="4" w:space="0" w:color="auto"/>
            </w:tcBorders>
            <w:shd w:val="clear" w:color="auto" w:fill="auto"/>
            <w:vAlign w:val="center"/>
          </w:tcPr>
          <w:p w14:paraId="7653D104"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估价对象</w:t>
            </w:r>
          </w:p>
        </w:tc>
        <w:tc>
          <w:tcPr>
            <w:tcW w:w="2174" w:type="dxa"/>
            <w:gridSpan w:val="2"/>
            <w:tcBorders>
              <w:top w:val="single" w:sz="4" w:space="0" w:color="auto"/>
              <w:left w:val="nil"/>
              <w:bottom w:val="single" w:sz="4" w:space="0" w:color="auto"/>
              <w:right w:val="single" w:sz="4" w:space="0" w:color="auto"/>
            </w:tcBorders>
            <w:shd w:val="clear" w:color="auto" w:fill="auto"/>
            <w:vAlign w:val="center"/>
          </w:tcPr>
          <w:p w14:paraId="088681F0"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A</w:t>
            </w:r>
          </w:p>
        </w:tc>
        <w:tc>
          <w:tcPr>
            <w:tcW w:w="1925" w:type="dxa"/>
            <w:gridSpan w:val="2"/>
            <w:tcBorders>
              <w:top w:val="single" w:sz="4" w:space="0" w:color="auto"/>
              <w:left w:val="nil"/>
              <w:bottom w:val="single" w:sz="4" w:space="0" w:color="auto"/>
              <w:right w:val="single" w:sz="4" w:space="0" w:color="auto"/>
            </w:tcBorders>
            <w:shd w:val="clear" w:color="auto" w:fill="auto"/>
            <w:vAlign w:val="center"/>
          </w:tcPr>
          <w:p w14:paraId="2B3394DA"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B</w:t>
            </w:r>
          </w:p>
        </w:tc>
        <w:tc>
          <w:tcPr>
            <w:tcW w:w="1853" w:type="dxa"/>
            <w:gridSpan w:val="2"/>
            <w:tcBorders>
              <w:top w:val="single" w:sz="4" w:space="0" w:color="auto"/>
              <w:left w:val="nil"/>
              <w:bottom w:val="single" w:sz="4" w:space="0" w:color="auto"/>
              <w:right w:val="single" w:sz="4" w:space="0" w:color="auto"/>
            </w:tcBorders>
            <w:shd w:val="clear" w:color="auto" w:fill="auto"/>
            <w:vAlign w:val="center"/>
          </w:tcPr>
          <w:p w14:paraId="74E23FAA"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C</w:t>
            </w:r>
          </w:p>
        </w:tc>
      </w:tr>
      <w:tr w:rsidR="0062768B" w14:paraId="34FE1436" w14:textId="77777777">
        <w:trPr>
          <w:cantSplit/>
          <w:tblHeader/>
          <w:jc w:val="center"/>
        </w:trPr>
        <w:tc>
          <w:tcPr>
            <w:tcW w:w="1135" w:type="dxa"/>
            <w:gridSpan w:val="2"/>
            <w:vMerge/>
            <w:tcBorders>
              <w:left w:val="single" w:sz="4" w:space="0" w:color="auto"/>
              <w:right w:val="single" w:sz="4" w:space="0" w:color="auto"/>
            </w:tcBorders>
            <w:vAlign w:val="center"/>
          </w:tcPr>
          <w:p w14:paraId="7DC0D5AE" w14:textId="77777777" w:rsidR="0062768B" w:rsidRDefault="0062768B">
            <w:pPr>
              <w:widowControl/>
              <w:adjustRightInd/>
              <w:spacing w:line="240" w:lineRule="exact"/>
              <w:textAlignment w:val="auto"/>
              <w:rPr>
                <w:rFonts w:ascii="Arial" w:eastAsia="仿宋_GB2312" w:hAnsi="Arial" w:cs="Arial"/>
                <w:sz w:val="18"/>
                <w:szCs w:val="18"/>
              </w:rPr>
            </w:pPr>
          </w:p>
        </w:tc>
        <w:tc>
          <w:tcPr>
            <w:tcW w:w="1418" w:type="dxa"/>
            <w:tcBorders>
              <w:top w:val="nil"/>
              <w:left w:val="nil"/>
              <w:bottom w:val="single" w:sz="4" w:space="0" w:color="auto"/>
              <w:right w:val="single" w:sz="4" w:space="0" w:color="auto"/>
            </w:tcBorders>
            <w:shd w:val="clear" w:color="auto" w:fill="auto"/>
            <w:vAlign w:val="center"/>
          </w:tcPr>
          <w:p w14:paraId="69D2674C"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北京市顺义区高丽营镇夏县营村</w:t>
            </w:r>
            <w:r>
              <w:rPr>
                <w:rFonts w:ascii="Arial" w:eastAsia="仿宋_GB2312" w:hAnsi="Arial" w:cs="Arial" w:hint="eastAsia"/>
                <w:sz w:val="18"/>
                <w:szCs w:val="18"/>
              </w:rPr>
              <w:t>01-008</w:t>
            </w:r>
            <w:r>
              <w:rPr>
                <w:rFonts w:ascii="Arial" w:eastAsia="仿宋_GB2312" w:hAnsi="Arial" w:cs="Arial" w:hint="eastAsia"/>
                <w:sz w:val="18"/>
                <w:szCs w:val="18"/>
              </w:rPr>
              <w:t>、</w:t>
            </w:r>
            <w:r>
              <w:rPr>
                <w:rFonts w:ascii="Arial" w:eastAsia="仿宋_GB2312" w:hAnsi="Arial" w:cs="Arial" w:hint="eastAsia"/>
                <w:sz w:val="18"/>
                <w:szCs w:val="18"/>
              </w:rPr>
              <w:t>01-016</w:t>
            </w:r>
            <w:r>
              <w:rPr>
                <w:rFonts w:ascii="Arial" w:eastAsia="仿宋_GB2312" w:hAnsi="Arial" w:cs="Arial" w:hint="eastAsia"/>
                <w:sz w:val="18"/>
                <w:szCs w:val="18"/>
              </w:rPr>
              <w:t>、</w:t>
            </w:r>
            <w:r>
              <w:rPr>
                <w:rFonts w:ascii="Arial" w:eastAsia="仿宋_GB2312" w:hAnsi="Arial" w:cs="Arial" w:hint="eastAsia"/>
                <w:sz w:val="18"/>
                <w:szCs w:val="18"/>
              </w:rPr>
              <w:t>01-026-1</w:t>
            </w:r>
            <w:r>
              <w:rPr>
                <w:rFonts w:ascii="Arial" w:eastAsia="仿宋_GB2312" w:hAnsi="Arial" w:cs="Arial" w:hint="eastAsia"/>
                <w:sz w:val="18"/>
                <w:szCs w:val="18"/>
              </w:rPr>
              <w:t>地块</w:t>
            </w:r>
            <w:r>
              <w:rPr>
                <w:rFonts w:ascii="Arial" w:eastAsia="仿宋_GB2312" w:hAnsi="Arial" w:cs="Arial" w:hint="eastAsia"/>
                <w:sz w:val="18"/>
                <w:szCs w:val="18"/>
              </w:rPr>
              <w:t>R2</w:t>
            </w:r>
            <w:proofErr w:type="gramStart"/>
            <w:r>
              <w:rPr>
                <w:rFonts w:ascii="Arial" w:eastAsia="仿宋_GB2312" w:hAnsi="Arial" w:cs="Arial" w:hint="eastAsia"/>
                <w:sz w:val="18"/>
                <w:szCs w:val="18"/>
              </w:rPr>
              <w:t>二</w:t>
            </w:r>
            <w:proofErr w:type="gramEnd"/>
            <w:r>
              <w:rPr>
                <w:rFonts w:ascii="Arial" w:eastAsia="仿宋_GB2312" w:hAnsi="Arial" w:cs="Arial" w:hint="eastAsia"/>
                <w:sz w:val="18"/>
                <w:szCs w:val="18"/>
              </w:rPr>
              <w:t>类居住用地及</w:t>
            </w:r>
            <w:r>
              <w:rPr>
                <w:rFonts w:ascii="Arial" w:eastAsia="仿宋_GB2312" w:hAnsi="Arial" w:cs="Arial" w:hint="eastAsia"/>
                <w:sz w:val="18"/>
                <w:szCs w:val="18"/>
              </w:rPr>
              <w:t>01-020</w:t>
            </w:r>
            <w:r>
              <w:rPr>
                <w:rFonts w:ascii="Arial" w:eastAsia="仿宋_GB2312" w:hAnsi="Arial" w:cs="Arial" w:hint="eastAsia"/>
                <w:sz w:val="18"/>
                <w:szCs w:val="18"/>
              </w:rPr>
              <w:t>地块</w:t>
            </w:r>
            <w:r>
              <w:rPr>
                <w:rFonts w:ascii="Arial" w:eastAsia="仿宋_GB2312" w:hAnsi="Arial" w:cs="Arial" w:hint="eastAsia"/>
                <w:sz w:val="18"/>
                <w:szCs w:val="18"/>
              </w:rPr>
              <w:t>A334</w:t>
            </w:r>
            <w:r>
              <w:rPr>
                <w:rFonts w:ascii="Arial" w:eastAsia="仿宋_GB2312" w:hAnsi="Arial" w:cs="Arial" w:hint="eastAsia"/>
                <w:sz w:val="18"/>
                <w:szCs w:val="18"/>
              </w:rPr>
              <w:t>托幼用地</w:t>
            </w:r>
          </w:p>
        </w:tc>
        <w:tc>
          <w:tcPr>
            <w:tcW w:w="567" w:type="dxa"/>
            <w:vMerge w:val="restart"/>
            <w:tcBorders>
              <w:top w:val="nil"/>
              <w:left w:val="nil"/>
              <w:right w:val="single" w:sz="4" w:space="0" w:color="auto"/>
            </w:tcBorders>
            <w:shd w:val="clear" w:color="auto" w:fill="auto"/>
            <w:vAlign w:val="center"/>
          </w:tcPr>
          <w:p w14:paraId="47D1CED0"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1417" w:type="dxa"/>
            <w:tcBorders>
              <w:top w:val="nil"/>
              <w:left w:val="nil"/>
              <w:bottom w:val="single" w:sz="4" w:space="0" w:color="auto"/>
              <w:right w:val="single" w:sz="4" w:space="0" w:color="auto"/>
            </w:tcBorders>
            <w:shd w:val="clear" w:color="auto" w:fill="auto"/>
            <w:vAlign w:val="center"/>
          </w:tcPr>
          <w:p w14:paraId="56F7D33C"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观承望溪</w:t>
            </w:r>
          </w:p>
        </w:tc>
        <w:tc>
          <w:tcPr>
            <w:tcW w:w="757" w:type="dxa"/>
            <w:vMerge w:val="restart"/>
            <w:tcBorders>
              <w:top w:val="nil"/>
              <w:left w:val="nil"/>
              <w:right w:val="single" w:sz="4" w:space="0" w:color="auto"/>
            </w:tcBorders>
            <w:shd w:val="clear" w:color="auto" w:fill="auto"/>
            <w:vAlign w:val="center"/>
          </w:tcPr>
          <w:p w14:paraId="7C6F7E2F"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1374" w:type="dxa"/>
            <w:tcBorders>
              <w:top w:val="nil"/>
              <w:left w:val="nil"/>
              <w:bottom w:val="single" w:sz="4" w:space="0" w:color="auto"/>
              <w:right w:val="single" w:sz="4" w:space="0" w:color="auto"/>
            </w:tcBorders>
            <w:shd w:val="clear" w:color="auto" w:fill="auto"/>
            <w:vAlign w:val="center"/>
          </w:tcPr>
          <w:p w14:paraId="5C48C5A9"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富力首开·金禧璞</w:t>
            </w:r>
            <w:r>
              <w:rPr>
                <w:rFonts w:ascii="微软雅黑" w:eastAsia="微软雅黑" w:hAnsi="微软雅黑" w:cs="微软雅黑" w:hint="eastAsia"/>
                <w:sz w:val="18"/>
                <w:szCs w:val="18"/>
              </w:rPr>
              <w:t>瑅</w:t>
            </w:r>
          </w:p>
        </w:tc>
        <w:tc>
          <w:tcPr>
            <w:tcW w:w="551" w:type="dxa"/>
            <w:vMerge w:val="restart"/>
            <w:tcBorders>
              <w:top w:val="nil"/>
              <w:left w:val="nil"/>
              <w:right w:val="single" w:sz="4" w:space="0" w:color="auto"/>
            </w:tcBorders>
            <w:shd w:val="clear" w:color="auto" w:fill="auto"/>
            <w:vAlign w:val="center"/>
          </w:tcPr>
          <w:p w14:paraId="6ED3D682"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1302" w:type="dxa"/>
            <w:tcBorders>
              <w:top w:val="nil"/>
              <w:left w:val="nil"/>
              <w:bottom w:val="single" w:sz="4" w:space="0" w:color="auto"/>
              <w:right w:val="single" w:sz="4" w:space="0" w:color="auto"/>
            </w:tcBorders>
            <w:shd w:val="clear" w:color="auto" w:fill="auto"/>
            <w:vAlign w:val="center"/>
          </w:tcPr>
          <w:p w14:paraId="4FD92B91"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招商中建·顺义</w:t>
            </w:r>
            <w:proofErr w:type="gramStart"/>
            <w:r>
              <w:rPr>
                <w:rFonts w:ascii="Arial" w:eastAsia="仿宋_GB2312" w:hAnsi="Arial" w:cs="Arial" w:hint="eastAsia"/>
                <w:sz w:val="18"/>
                <w:szCs w:val="18"/>
              </w:rPr>
              <w:t>臻珑</w:t>
            </w:r>
            <w:proofErr w:type="gramEnd"/>
            <w:r>
              <w:rPr>
                <w:rFonts w:ascii="Arial" w:eastAsia="仿宋_GB2312" w:hAnsi="Arial" w:cs="Arial" w:hint="eastAsia"/>
                <w:sz w:val="18"/>
                <w:szCs w:val="18"/>
              </w:rPr>
              <w:t>府</w:t>
            </w:r>
          </w:p>
        </w:tc>
        <w:tc>
          <w:tcPr>
            <w:tcW w:w="551" w:type="dxa"/>
            <w:vMerge w:val="restart"/>
            <w:tcBorders>
              <w:top w:val="nil"/>
              <w:left w:val="nil"/>
              <w:right w:val="single" w:sz="4" w:space="0" w:color="auto"/>
            </w:tcBorders>
            <w:shd w:val="clear" w:color="auto" w:fill="auto"/>
            <w:vAlign w:val="center"/>
          </w:tcPr>
          <w:p w14:paraId="59693AB5"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系数</w:t>
            </w:r>
          </w:p>
        </w:tc>
      </w:tr>
      <w:tr w:rsidR="0062768B" w14:paraId="5A5CA61C" w14:textId="77777777">
        <w:trPr>
          <w:cantSplit/>
          <w:tblHeader/>
          <w:jc w:val="center"/>
        </w:trPr>
        <w:tc>
          <w:tcPr>
            <w:tcW w:w="1135" w:type="dxa"/>
            <w:gridSpan w:val="2"/>
            <w:vMerge/>
            <w:tcBorders>
              <w:left w:val="single" w:sz="4" w:space="0" w:color="auto"/>
              <w:bottom w:val="single" w:sz="4" w:space="0" w:color="auto"/>
              <w:right w:val="single" w:sz="4" w:space="0" w:color="auto"/>
            </w:tcBorders>
            <w:vAlign w:val="center"/>
          </w:tcPr>
          <w:p w14:paraId="125A2905" w14:textId="77777777" w:rsidR="0062768B" w:rsidRDefault="0062768B">
            <w:pPr>
              <w:widowControl/>
              <w:adjustRightInd/>
              <w:spacing w:line="240" w:lineRule="exact"/>
              <w:textAlignment w:val="auto"/>
              <w:rPr>
                <w:rFonts w:ascii="Arial" w:eastAsia="仿宋_GB2312" w:hAnsi="Arial" w:cs="Arial"/>
                <w:sz w:val="18"/>
                <w:szCs w:val="18"/>
              </w:rPr>
            </w:pPr>
          </w:p>
        </w:tc>
        <w:tc>
          <w:tcPr>
            <w:tcW w:w="1418" w:type="dxa"/>
            <w:tcBorders>
              <w:top w:val="nil"/>
              <w:left w:val="nil"/>
              <w:bottom w:val="single" w:sz="4" w:space="0" w:color="auto"/>
              <w:right w:val="single" w:sz="4" w:space="0" w:color="auto"/>
            </w:tcBorders>
            <w:shd w:val="clear" w:color="auto" w:fill="auto"/>
            <w:vAlign w:val="center"/>
          </w:tcPr>
          <w:p w14:paraId="27E470A5"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顺义区夏县营村</w:t>
            </w:r>
          </w:p>
        </w:tc>
        <w:tc>
          <w:tcPr>
            <w:tcW w:w="567" w:type="dxa"/>
            <w:vMerge/>
            <w:tcBorders>
              <w:left w:val="nil"/>
              <w:bottom w:val="single" w:sz="4" w:space="0" w:color="auto"/>
              <w:right w:val="single" w:sz="4" w:space="0" w:color="auto"/>
            </w:tcBorders>
            <w:shd w:val="clear" w:color="auto" w:fill="auto"/>
            <w:vAlign w:val="center"/>
          </w:tcPr>
          <w:p w14:paraId="01C23CE4" w14:textId="77777777" w:rsidR="0062768B" w:rsidRDefault="0062768B">
            <w:pPr>
              <w:widowControl/>
              <w:adjustRightInd/>
              <w:spacing w:line="240" w:lineRule="exact"/>
              <w:jc w:val="center"/>
              <w:textAlignment w:val="auto"/>
              <w:rPr>
                <w:rFonts w:ascii="Arial" w:eastAsia="仿宋_GB2312" w:hAnsi="Arial" w:cs="Arial"/>
                <w:sz w:val="18"/>
                <w:szCs w:val="18"/>
              </w:rPr>
            </w:pPr>
          </w:p>
        </w:tc>
        <w:tc>
          <w:tcPr>
            <w:tcW w:w="1417" w:type="dxa"/>
            <w:tcBorders>
              <w:top w:val="nil"/>
              <w:left w:val="nil"/>
              <w:bottom w:val="single" w:sz="4" w:space="0" w:color="auto"/>
              <w:right w:val="single" w:sz="4" w:space="0" w:color="auto"/>
            </w:tcBorders>
            <w:shd w:val="clear" w:color="auto" w:fill="auto"/>
            <w:vAlign w:val="center"/>
          </w:tcPr>
          <w:p w14:paraId="13A6AD3B" w14:textId="77777777" w:rsidR="0062768B" w:rsidRDefault="00136729">
            <w:pPr>
              <w:widowControl/>
              <w:adjustRightInd/>
              <w:spacing w:line="240" w:lineRule="exact"/>
              <w:jc w:val="center"/>
              <w:textAlignment w:val="auto"/>
              <w:rPr>
                <w:rFonts w:ascii="Arial" w:eastAsia="仿宋_GB2312" w:hAnsi="Arial" w:cs="Arial"/>
                <w:sz w:val="18"/>
                <w:szCs w:val="18"/>
                <w:lang w:val="zh-CN"/>
              </w:rPr>
            </w:pPr>
            <w:r>
              <w:rPr>
                <w:rFonts w:ascii="Arial" w:eastAsia="仿宋_GB2312" w:hAnsi="Arial" w:cs="Arial" w:hint="eastAsia"/>
                <w:sz w:val="18"/>
                <w:szCs w:val="18"/>
              </w:rPr>
              <w:t>北京市顺义区高丽营镇于庄</w:t>
            </w:r>
            <w:r>
              <w:rPr>
                <w:rFonts w:ascii="Arial" w:eastAsia="仿宋_GB2312" w:hAnsi="Arial" w:cs="Arial" w:hint="eastAsia"/>
                <w:sz w:val="18"/>
                <w:szCs w:val="18"/>
              </w:rPr>
              <w:t>SY02-0103-6004</w:t>
            </w:r>
            <w:r>
              <w:rPr>
                <w:rFonts w:ascii="Arial" w:eastAsia="仿宋_GB2312" w:hAnsi="Arial" w:cs="Arial" w:hint="eastAsia"/>
                <w:sz w:val="18"/>
                <w:szCs w:val="18"/>
              </w:rPr>
              <w:t>、</w:t>
            </w:r>
            <w:r>
              <w:rPr>
                <w:rFonts w:ascii="Arial" w:eastAsia="仿宋_GB2312" w:hAnsi="Arial" w:cs="Arial" w:hint="eastAsia"/>
                <w:sz w:val="18"/>
                <w:szCs w:val="18"/>
              </w:rPr>
              <w:t>SY02-0103-6007</w:t>
            </w:r>
            <w:r>
              <w:rPr>
                <w:rFonts w:ascii="Arial" w:eastAsia="仿宋_GB2312" w:hAnsi="Arial" w:cs="Arial" w:hint="eastAsia"/>
                <w:sz w:val="18"/>
                <w:szCs w:val="18"/>
              </w:rPr>
              <w:t>地块</w:t>
            </w:r>
            <w:r>
              <w:rPr>
                <w:rFonts w:ascii="Arial" w:eastAsia="仿宋_GB2312" w:hAnsi="Arial" w:cs="Arial" w:hint="eastAsia"/>
                <w:sz w:val="18"/>
                <w:szCs w:val="18"/>
              </w:rPr>
              <w:t>R2</w:t>
            </w:r>
            <w:proofErr w:type="gramStart"/>
            <w:r>
              <w:rPr>
                <w:rFonts w:ascii="Arial" w:eastAsia="仿宋_GB2312" w:hAnsi="Arial" w:cs="Arial" w:hint="eastAsia"/>
                <w:sz w:val="18"/>
                <w:szCs w:val="18"/>
              </w:rPr>
              <w:t>二</w:t>
            </w:r>
            <w:proofErr w:type="gramEnd"/>
            <w:r>
              <w:rPr>
                <w:rFonts w:ascii="Arial" w:eastAsia="仿宋_GB2312" w:hAnsi="Arial" w:cs="Arial" w:hint="eastAsia"/>
                <w:sz w:val="18"/>
                <w:szCs w:val="18"/>
              </w:rPr>
              <w:t>类居住用地</w:t>
            </w:r>
          </w:p>
        </w:tc>
        <w:tc>
          <w:tcPr>
            <w:tcW w:w="757" w:type="dxa"/>
            <w:vMerge/>
            <w:tcBorders>
              <w:left w:val="nil"/>
              <w:bottom w:val="single" w:sz="4" w:space="0" w:color="auto"/>
              <w:right w:val="single" w:sz="4" w:space="0" w:color="auto"/>
            </w:tcBorders>
            <w:shd w:val="clear" w:color="auto" w:fill="auto"/>
            <w:vAlign w:val="center"/>
          </w:tcPr>
          <w:p w14:paraId="7C505EF7" w14:textId="77777777" w:rsidR="0062768B" w:rsidRDefault="0062768B">
            <w:pPr>
              <w:widowControl/>
              <w:adjustRightInd/>
              <w:spacing w:line="240" w:lineRule="exact"/>
              <w:jc w:val="center"/>
              <w:textAlignment w:val="auto"/>
              <w:rPr>
                <w:rFonts w:ascii="Arial" w:eastAsia="仿宋_GB2312" w:hAnsi="Arial" w:cs="Arial"/>
                <w:sz w:val="18"/>
                <w:szCs w:val="18"/>
              </w:rPr>
            </w:pPr>
          </w:p>
        </w:tc>
        <w:tc>
          <w:tcPr>
            <w:tcW w:w="1374" w:type="dxa"/>
            <w:tcBorders>
              <w:top w:val="nil"/>
              <w:left w:val="nil"/>
              <w:bottom w:val="single" w:sz="4" w:space="0" w:color="auto"/>
              <w:right w:val="single" w:sz="4" w:space="0" w:color="auto"/>
            </w:tcBorders>
            <w:shd w:val="clear" w:color="auto" w:fill="auto"/>
            <w:vAlign w:val="center"/>
          </w:tcPr>
          <w:p w14:paraId="325812DB" w14:textId="77777777" w:rsidR="0062768B" w:rsidRDefault="00136729">
            <w:pPr>
              <w:widowControl/>
              <w:adjustRightInd/>
              <w:spacing w:line="240" w:lineRule="exact"/>
              <w:jc w:val="center"/>
              <w:textAlignment w:val="auto"/>
              <w:rPr>
                <w:rFonts w:ascii="Arial" w:eastAsia="仿宋_GB2312" w:hAnsi="Arial" w:cs="Arial"/>
                <w:sz w:val="18"/>
                <w:szCs w:val="18"/>
                <w:lang w:val="zh-CN"/>
              </w:rPr>
            </w:pPr>
            <w:r>
              <w:rPr>
                <w:rFonts w:ascii="Arial" w:eastAsia="仿宋_GB2312" w:hAnsi="Arial" w:cs="Arial" w:hint="eastAsia"/>
                <w:sz w:val="18"/>
                <w:szCs w:val="18"/>
              </w:rPr>
              <w:t>北京市顺义区高丽营镇</w:t>
            </w:r>
            <w:r>
              <w:rPr>
                <w:rFonts w:ascii="Arial" w:eastAsia="仿宋_GB2312" w:hAnsi="Arial" w:cs="Arial" w:hint="eastAsia"/>
                <w:sz w:val="18"/>
                <w:szCs w:val="18"/>
              </w:rPr>
              <w:t>SY02-0102-6001</w:t>
            </w:r>
            <w:r>
              <w:rPr>
                <w:rFonts w:ascii="Arial" w:eastAsia="仿宋_GB2312" w:hAnsi="Arial" w:cs="Arial" w:hint="eastAsia"/>
                <w:sz w:val="18"/>
                <w:szCs w:val="18"/>
              </w:rPr>
              <w:t>、</w:t>
            </w:r>
            <w:r>
              <w:rPr>
                <w:rFonts w:ascii="Arial" w:eastAsia="仿宋_GB2312" w:hAnsi="Arial" w:cs="Arial" w:hint="eastAsia"/>
                <w:sz w:val="18"/>
                <w:szCs w:val="18"/>
              </w:rPr>
              <w:t>SY02-0102-6002</w:t>
            </w:r>
            <w:r>
              <w:rPr>
                <w:rFonts w:ascii="Arial" w:eastAsia="仿宋_GB2312" w:hAnsi="Arial" w:cs="Arial" w:hint="eastAsia"/>
                <w:sz w:val="18"/>
                <w:szCs w:val="18"/>
              </w:rPr>
              <w:t>地块</w:t>
            </w:r>
            <w:r>
              <w:rPr>
                <w:rFonts w:ascii="Arial" w:eastAsia="仿宋_GB2312" w:hAnsi="Arial" w:cs="Arial" w:hint="eastAsia"/>
                <w:sz w:val="18"/>
                <w:szCs w:val="18"/>
              </w:rPr>
              <w:t>R2</w:t>
            </w:r>
            <w:proofErr w:type="gramStart"/>
            <w:r>
              <w:rPr>
                <w:rFonts w:ascii="Arial" w:eastAsia="仿宋_GB2312" w:hAnsi="Arial" w:cs="Arial" w:hint="eastAsia"/>
                <w:sz w:val="18"/>
                <w:szCs w:val="18"/>
              </w:rPr>
              <w:t>二</w:t>
            </w:r>
            <w:proofErr w:type="gramEnd"/>
            <w:r>
              <w:rPr>
                <w:rFonts w:ascii="Arial" w:eastAsia="仿宋_GB2312" w:hAnsi="Arial" w:cs="Arial" w:hint="eastAsia"/>
                <w:sz w:val="18"/>
                <w:szCs w:val="18"/>
              </w:rPr>
              <w:t>类居住用地</w:t>
            </w:r>
          </w:p>
        </w:tc>
        <w:tc>
          <w:tcPr>
            <w:tcW w:w="551" w:type="dxa"/>
            <w:vMerge/>
            <w:tcBorders>
              <w:left w:val="nil"/>
              <w:bottom w:val="single" w:sz="4" w:space="0" w:color="auto"/>
              <w:right w:val="single" w:sz="4" w:space="0" w:color="auto"/>
            </w:tcBorders>
            <w:shd w:val="clear" w:color="auto" w:fill="auto"/>
            <w:vAlign w:val="center"/>
          </w:tcPr>
          <w:p w14:paraId="77D82F66" w14:textId="77777777" w:rsidR="0062768B" w:rsidRDefault="0062768B">
            <w:pPr>
              <w:widowControl/>
              <w:adjustRightInd/>
              <w:spacing w:line="240" w:lineRule="exact"/>
              <w:jc w:val="center"/>
              <w:textAlignment w:val="auto"/>
              <w:rPr>
                <w:rFonts w:ascii="Arial" w:eastAsia="仿宋_GB2312" w:hAnsi="Arial" w:cs="Arial"/>
                <w:sz w:val="18"/>
                <w:szCs w:val="18"/>
              </w:rPr>
            </w:pPr>
          </w:p>
        </w:tc>
        <w:tc>
          <w:tcPr>
            <w:tcW w:w="1302" w:type="dxa"/>
            <w:tcBorders>
              <w:top w:val="nil"/>
              <w:left w:val="nil"/>
              <w:bottom w:val="single" w:sz="4" w:space="0" w:color="auto"/>
              <w:right w:val="single" w:sz="4" w:space="0" w:color="auto"/>
            </w:tcBorders>
            <w:shd w:val="clear" w:color="auto" w:fill="auto"/>
            <w:vAlign w:val="center"/>
          </w:tcPr>
          <w:p w14:paraId="3B9F6613" w14:textId="77777777" w:rsidR="0062768B" w:rsidRDefault="00136729">
            <w:pPr>
              <w:widowControl/>
              <w:adjustRightInd/>
              <w:spacing w:line="240" w:lineRule="exact"/>
              <w:jc w:val="center"/>
              <w:textAlignment w:val="auto"/>
              <w:rPr>
                <w:rFonts w:ascii="Arial" w:eastAsia="仿宋_GB2312" w:hAnsi="Arial" w:cs="Arial"/>
                <w:sz w:val="18"/>
                <w:szCs w:val="18"/>
                <w:lang w:val="zh-CN"/>
              </w:rPr>
            </w:pPr>
            <w:r>
              <w:rPr>
                <w:rFonts w:ascii="Arial" w:eastAsia="仿宋_GB2312" w:hAnsi="Arial" w:cs="Arial" w:hint="eastAsia"/>
                <w:sz w:val="18"/>
                <w:szCs w:val="18"/>
              </w:rPr>
              <w:t>北京市顺义区顺义新城第</w:t>
            </w:r>
            <w:r>
              <w:rPr>
                <w:rFonts w:ascii="Arial" w:eastAsia="仿宋_GB2312" w:hAnsi="Arial" w:cs="Arial" w:hint="eastAsia"/>
                <w:sz w:val="18"/>
                <w:szCs w:val="18"/>
              </w:rPr>
              <w:t>13</w:t>
            </w:r>
            <w:r>
              <w:rPr>
                <w:rFonts w:ascii="Arial" w:eastAsia="仿宋_GB2312" w:hAnsi="Arial" w:cs="Arial" w:hint="eastAsia"/>
                <w:sz w:val="18"/>
                <w:szCs w:val="18"/>
              </w:rPr>
              <w:t>街区</w:t>
            </w:r>
            <w:r>
              <w:rPr>
                <w:rFonts w:ascii="Arial" w:eastAsia="仿宋_GB2312" w:hAnsi="Arial" w:cs="Arial" w:hint="eastAsia"/>
                <w:sz w:val="18"/>
                <w:szCs w:val="18"/>
              </w:rPr>
              <w:t>SY00-0013-6060</w:t>
            </w:r>
            <w:r>
              <w:rPr>
                <w:rFonts w:ascii="Arial" w:eastAsia="仿宋_GB2312" w:hAnsi="Arial" w:cs="Arial" w:hint="eastAsia"/>
                <w:sz w:val="18"/>
                <w:szCs w:val="18"/>
              </w:rPr>
              <w:t>、</w:t>
            </w:r>
            <w:r>
              <w:rPr>
                <w:rFonts w:ascii="Arial" w:eastAsia="仿宋_GB2312" w:hAnsi="Arial" w:cs="Arial" w:hint="eastAsia"/>
                <w:sz w:val="18"/>
                <w:szCs w:val="18"/>
              </w:rPr>
              <w:t>6066</w:t>
            </w:r>
            <w:r>
              <w:rPr>
                <w:rFonts w:ascii="Arial" w:eastAsia="仿宋_GB2312" w:hAnsi="Arial" w:cs="Arial" w:hint="eastAsia"/>
                <w:sz w:val="18"/>
                <w:szCs w:val="18"/>
              </w:rPr>
              <w:t>、</w:t>
            </w:r>
            <w:r>
              <w:rPr>
                <w:rFonts w:ascii="Arial" w:eastAsia="仿宋_GB2312" w:hAnsi="Arial" w:cs="Arial" w:hint="eastAsia"/>
                <w:sz w:val="18"/>
                <w:szCs w:val="18"/>
              </w:rPr>
              <w:t>6067</w:t>
            </w:r>
            <w:r>
              <w:rPr>
                <w:rFonts w:ascii="Arial" w:eastAsia="仿宋_GB2312" w:hAnsi="Arial" w:cs="Arial" w:hint="eastAsia"/>
                <w:sz w:val="18"/>
                <w:szCs w:val="18"/>
              </w:rPr>
              <w:t>地块二类居住用地、</w:t>
            </w:r>
            <w:r>
              <w:rPr>
                <w:rFonts w:ascii="Arial" w:eastAsia="仿宋_GB2312" w:hAnsi="Arial" w:cs="Arial" w:hint="eastAsia"/>
                <w:sz w:val="18"/>
                <w:szCs w:val="18"/>
              </w:rPr>
              <w:t>6058</w:t>
            </w:r>
            <w:r>
              <w:rPr>
                <w:rFonts w:ascii="Arial" w:eastAsia="仿宋_GB2312" w:hAnsi="Arial" w:cs="Arial" w:hint="eastAsia"/>
                <w:sz w:val="18"/>
                <w:szCs w:val="18"/>
              </w:rPr>
              <w:t>地块商业用地、</w:t>
            </w:r>
            <w:r>
              <w:rPr>
                <w:rFonts w:ascii="Arial" w:eastAsia="仿宋_GB2312" w:hAnsi="Arial" w:cs="Arial" w:hint="eastAsia"/>
                <w:sz w:val="18"/>
                <w:szCs w:val="18"/>
              </w:rPr>
              <w:t>6063</w:t>
            </w:r>
            <w:r>
              <w:rPr>
                <w:rFonts w:ascii="Arial" w:eastAsia="仿宋_GB2312" w:hAnsi="Arial" w:cs="Arial" w:hint="eastAsia"/>
                <w:sz w:val="18"/>
                <w:szCs w:val="18"/>
              </w:rPr>
              <w:t>地块综合性商业金融服务业用地、</w:t>
            </w:r>
            <w:r>
              <w:rPr>
                <w:rFonts w:ascii="Arial" w:eastAsia="仿宋_GB2312" w:hAnsi="Arial" w:cs="Arial" w:hint="eastAsia"/>
                <w:sz w:val="18"/>
                <w:szCs w:val="18"/>
              </w:rPr>
              <w:t>6065</w:t>
            </w:r>
            <w:r>
              <w:rPr>
                <w:rFonts w:ascii="Arial" w:eastAsia="仿宋_GB2312" w:hAnsi="Arial" w:cs="Arial" w:hint="eastAsia"/>
                <w:sz w:val="18"/>
                <w:szCs w:val="18"/>
              </w:rPr>
              <w:t>地块托幼用地</w:t>
            </w:r>
          </w:p>
        </w:tc>
        <w:tc>
          <w:tcPr>
            <w:tcW w:w="551" w:type="dxa"/>
            <w:vMerge/>
            <w:tcBorders>
              <w:left w:val="nil"/>
              <w:bottom w:val="single" w:sz="4" w:space="0" w:color="auto"/>
              <w:right w:val="single" w:sz="4" w:space="0" w:color="auto"/>
            </w:tcBorders>
            <w:shd w:val="clear" w:color="auto" w:fill="auto"/>
            <w:vAlign w:val="center"/>
          </w:tcPr>
          <w:p w14:paraId="6D1BB0DB" w14:textId="77777777" w:rsidR="0062768B" w:rsidRDefault="0062768B">
            <w:pPr>
              <w:widowControl/>
              <w:adjustRightInd/>
              <w:spacing w:line="240" w:lineRule="exact"/>
              <w:jc w:val="center"/>
              <w:textAlignment w:val="auto"/>
              <w:rPr>
                <w:rFonts w:ascii="Arial" w:eastAsia="仿宋_GB2312" w:hAnsi="Arial" w:cs="Arial"/>
                <w:sz w:val="18"/>
                <w:szCs w:val="18"/>
              </w:rPr>
            </w:pPr>
          </w:p>
        </w:tc>
      </w:tr>
      <w:tr w:rsidR="0062768B" w14:paraId="30172A94" w14:textId="77777777">
        <w:trPr>
          <w:cantSplit/>
          <w:jc w:val="center"/>
        </w:trPr>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F5D7762"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交易时间</w:t>
            </w:r>
          </w:p>
        </w:tc>
        <w:tc>
          <w:tcPr>
            <w:tcW w:w="1418" w:type="dxa"/>
            <w:tcBorders>
              <w:top w:val="nil"/>
              <w:left w:val="nil"/>
              <w:bottom w:val="single" w:sz="4" w:space="0" w:color="auto"/>
              <w:right w:val="single" w:sz="4" w:space="0" w:color="auto"/>
            </w:tcBorders>
            <w:shd w:val="clear" w:color="auto" w:fill="auto"/>
            <w:vAlign w:val="center"/>
          </w:tcPr>
          <w:p w14:paraId="2FB9C411"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2</w:t>
            </w:r>
            <w:commentRangeStart w:id="366"/>
            <w:r>
              <w:rPr>
                <w:rFonts w:ascii="Arial" w:eastAsia="仿宋_GB2312" w:hAnsi="Arial" w:cs="Arial"/>
                <w:sz w:val="18"/>
                <w:szCs w:val="18"/>
              </w:rPr>
              <w:t>023.5.6</w:t>
            </w:r>
            <w:commentRangeEnd w:id="366"/>
            <w:r w:rsidR="00BA64ED">
              <w:rPr>
                <w:rStyle w:val="af6"/>
                <w:lang w:val="zh-CN"/>
              </w:rPr>
              <w:commentReference w:id="366"/>
            </w:r>
          </w:p>
        </w:tc>
        <w:tc>
          <w:tcPr>
            <w:tcW w:w="567" w:type="dxa"/>
            <w:tcBorders>
              <w:top w:val="nil"/>
              <w:left w:val="nil"/>
              <w:bottom w:val="single" w:sz="4" w:space="0" w:color="auto"/>
              <w:right w:val="single" w:sz="4" w:space="0" w:color="auto"/>
            </w:tcBorders>
            <w:shd w:val="clear" w:color="auto" w:fill="auto"/>
            <w:vAlign w:val="center"/>
          </w:tcPr>
          <w:p w14:paraId="04A39560"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12A62525"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2023.1</w:t>
            </w:r>
          </w:p>
        </w:tc>
        <w:tc>
          <w:tcPr>
            <w:tcW w:w="757" w:type="dxa"/>
            <w:tcBorders>
              <w:top w:val="nil"/>
              <w:left w:val="nil"/>
              <w:bottom w:val="single" w:sz="4" w:space="0" w:color="auto"/>
              <w:right w:val="single" w:sz="4" w:space="0" w:color="auto"/>
            </w:tcBorders>
            <w:shd w:val="clear" w:color="auto" w:fill="auto"/>
            <w:vAlign w:val="center"/>
          </w:tcPr>
          <w:p w14:paraId="0AEBC8CC"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1374" w:type="dxa"/>
            <w:tcBorders>
              <w:top w:val="nil"/>
              <w:left w:val="nil"/>
              <w:bottom w:val="single" w:sz="4" w:space="0" w:color="auto"/>
              <w:right w:val="single" w:sz="4" w:space="0" w:color="auto"/>
            </w:tcBorders>
            <w:shd w:val="clear" w:color="auto" w:fill="auto"/>
            <w:vAlign w:val="center"/>
          </w:tcPr>
          <w:p w14:paraId="1282F11C"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2023.2</w:t>
            </w:r>
          </w:p>
        </w:tc>
        <w:tc>
          <w:tcPr>
            <w:tcW w:w="551" w:type="dxa"/>
            <w:tcBorders>
              <w:top w:val="nil"/>
              <w:left w:val="nil"/>
              <w:bottom w:val="single" w:sz="4" w:space="0" w:color="auto"/>
              <w:right w:val="single" w:sz="4" w:space="0" w:color="auto"/>
            </w:tcBorders>
            <w:shd w:val="clear" w:color="auto" w:fill="auto"/>
            <w:vAlign w:val="center"/>
          </w:tcPr>
          <w:p w14:paraId="44687F16"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1302" w:type="dxa"/>
            <w:tcBorders>
              <w:top w:val="nil"/>
              <w:left w:val="nil"/>
              <w:bottom w:val="single" w:sz="4" w:space="0" w:color="auto"/>
              <w:right w:val="single" w:sz="4" w:space="0" w:color="auto"/>
            </w:tcBorders>
            <w:shd w:val="clear" w:color="auto" w:fill="auto"/>
            <w:vAlign w:val="center"/>
          </w:tcPr>
          <w:p w14:paraId="77E04681"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2023.4</w:t>
            </w:r>
          </w:p>
        </w:tc>
        <w:tc>
          <w:tcPr>
            <w:tcW w:w="551" w:type="dxa"/>
            <w:tcBorders>
              <w:top w:val="nil"/>
              <w:left w:val="nil"/>
              <w:bottom w:val="single" w:sz="4" w:space="0" w:color="auto"/>
              <w:right w:val="single" w:sz="4" w:space="0" w:color="auto"/>
            </w:tcBorders>
            <w:shd w:val="clear" w:color="auto" w:fill="auto"/>
            <w:vAlign w:val="center"/>
          </w:tcPr>
          <w:p w14:paraId="71FDC90F"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62768B" w14:paraId="18D9106F" w14:textId="77777777">
        <w:trPr>
          <w:cantSplit/>
          <w:jc w:val="center"/>
        </w:trPr>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C9396D"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交易情况</w:t>
            </w:r>
          </w:p>
        </w:tc>
        <w:tc>
          <w:tcPr>
            <w:tcW w:w="1418" w:type="dxa"/>
            <w:tcBorders>
              <w:top w:val="nil"/>
              <w:left w:val="nil"/>
              <w:bottom w:val="single" w:sz="4" w:space="0" w:color="auto"/>
              <w:right w:val="single" w:sz="4" w:space="0" w:color="auto"/>
            </w:tcBorders>
            <w:shd w:val="clear" w:color="auto" w:fill="auto"/>
            <w:vAlign w:val="center"/>
          </w:tcPr>
          <w:p w14:paraId="59ACACEA"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567" w:type="dxa"/>
            <w:tcBorders>
              <w:top w:val="nil"/>
              <w:left w:val="nil"/>
              <w:bottom w:val="single" w:sz="4" w:space="0" w:color="auto"/>
              <w:right w:val="single" w:sz="4" w:space="0" w:color="auto"/>
            </w:tcBorders>
            <w:shd w:val="clear" w:color="auto" w:fill="auto"/>
            <w:vAlign w:val="center"/>
          </w:tcPr>
          <w:p w14:paraId="50726E30"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50FA17D4"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757" w:type="dxa"/>
            <w:tcBorders>
              <w:top w:val="nil"/>
              <w:left w:val="nil"/>
              <w:bottom w:val="single" w:sz="4" w:space="0" w:color="auto"/>
              <w:right w:val="single" w:sz="4" w:space="0" w:color="auto"/>
            </w:tcBorders>
            <w:shd w:val="clear" w:color="auto" w:fill="auto"/>
            <w:vAlign w:val="center"/>
          </w:tcPr>
          <w:p w14:paraId="25710B8A"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74" w:type="dxa"/>
            <w:tcBorders>
              <w:top w:val="nil"/>
              <w:left w:val="nil"/>
              <w:bottom w:val="single" w:sz="4" w:space="0" w:color="auto"/>
              <w:right w:val="single" w:sz="4" w:space="0" w:color="auto"/>
            </w:tcBorders>
            <w:shd w:val="clear" w:color="auto" w:fill="auto"/>
            <w:vAlign w:val="center"/>
          </w:tcPr>
          <w:p w14:paraId="7CD479B5"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551" w:type="dxa"/>
            <w:tcBorders>
              <w:top w:val="nil"/>
              <w:left w:val="nil"/>
              <w:bottom w:val="single" w:sz="4" w:space="0" w:color="auto"/>
              <w:right w:val="single" w:sz="4" w:space="0" w:color="auto"/>
            </w:tcBorders>
            <w:shd w:val="clear" w:color="auto" w:fill="auto"/>
            <w:vAlign w:val="center"/>
          </w:tcPr>
          <w:p w14:paraId="7E4E0704"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02" w:type="dxa"/>
            <w:tcBorders>
              <w:top w:val="nil"/>
              <w:left w:val="nil"/>
              <w:bottom w:val="single" w:sz="4" w:space="0" w:color="auto"/>
              <w:right w:val="single" w:sz="4" w:space="0" w:color="auto"/>
            </w:tcBorders>
            <w:shd w:val="clear" w:color="auto" w:fill="auto"/>
            <w:vAlign w:val="center"/>
          </w:tcPr>
          <w:p w14:paraId="127024CF"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551" w:type="dxa"/>
            <w:tcBorders>
              <w:top w:val="nil"/>
              <w:left w:val="nil"/>
              <w:bottom w:val="single" w:sz="4" w:space="0" w:color="auto"/>
              <w:right w:val="single" w:sz="4" w:space="0" w:color="auto"/>
            </w:tcBorders>
            <w:shd w:val="clear" w:color="auto" w:fill="auto"/>
            <w:vAlign w:val="center"/>
          </w:tcPr>
          <w:p w14:paraId="7340D284"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r>
      <w:tr w:rsidR="0062768B" w14:paraId="740AB619" w14:textId="77777777">
        <w:trPr>
          <w:cantSplit/>
          <w:jc w:val="center"/>
        </w:trPr>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583D2D"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用途</w:t>
            </w:r>
          </w:p>
        </w:tc>
        <w:tc>
          <w:tcPr>
            <w:tcW w:w="1418" w:type="dxa"/>
            <w:tcBorders>
              <w:top w:val="nil"/>
              <w:left w:val="nil"/>
              <w:bottom w:val="single" w:sz="4" w:space="0" w:color="auto"/>
              <w:right w:val="single" w:sz="4" w:space="0" w:color="auto"/>
            </w:tcBorders>
            <w:shd w:val="clear" w:color="auto" w:fill="auto"/>
            <w:vAlign w:val="center"/>
          </w:tcPr>
          <w:p w14:paraId="062FD2CC"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567" w:type="dxa"/>
            <w:tcBorders>
              <w:top w:val="nil"/>
              <w:left w:val="nil"/>
              <w:bottom w:val="single" w:sz="4" w:space="0" w:color="auto"/>
              <w:right w:val="single" w:sz="4" w:space="0" w:color="auto"/>
            </w:tcBorders>
            <w:shd w:val="clear" w:color="auto" w:fill="auto"/>
            <w:vAlign w:val="center"/>
          </w:tcPr>
          <w:p w14:paraId="73B6A1B7"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4066DFDE"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757" w:type="dxa"/>
            <w:tcBorders>
              <w:top w:val="nil"/>
              <w:left w:val="nil"/>
              <w:bottom w:val="single" w:sz="4" w:space="0" w:color="auto"/>
              <w:right w:val="single" w:sz="4" w:space="0" w:color="auto"/>
            </w:tcBorders>
            <w:shd w:val="clear" w:color="auto" w:fill="auto"/>
            <w:vAlign w:val="center"/>
          </w:tcPr>
          <w:p w14:paraId="45A72130"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74" w:type="dxa"/>
            <w:tcBorders>
              <w:top w:val="nil"/>
              <w:left w:val="nil"/>
              <w:bottom w:val="single" w:sz="4" w:space="0" w:color="auto"/>
              <w:right w:val="single" w:sz="4" w:space="0" w:color="auto"/>
            </w:tcBorders>
            <w:shd w:val="clear" w:color="auto" w:fill="auto"/>
            <w:vAlign w:val="center"/>
          </w:tcPr>
          <w:p w14:paraId="37B10A9A"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551" w:type="dxa"/>
            <w:tcBorders>
              <w:top w:val="nil"/>
              <w:left w:val="nil"/>
              <w:bottom w:val="single" w:sz="4" w:space="0" w:color="auto"/>
              <w:right w:val="single" w:sz="4" w:space="0" w:color="auto"/>
            </w:tcBorders>
            <w:shd w:val="clear" w:color="auto" w:fill="auto"/>
            <w:vAlign w:val="center"/>
          </w:tcPr>
          <w:p w14:paraId="1DF07975"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02" w:type="dxa"/>
            <w:tcBorders>
              <w:top w:val="nil"/>
              <w:left w:val="nil"/>
              <w:bottom w:val="single" w:sz="4" w:space="0" w:color="auto"/>
              <w:right w:val="single" w:sz="4" w:space="0" w:color="auto"/>
            </w:tcBorders>
            <w:shd w:val="clear" w:color="auto" w:fill="auto"/>
            <w:vAlign w:val="center"/>
          </w:tcPr>
          <w:p w14:paraId="2D704A3B"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551" w:type="dxa"/>
            <w:tcBorders>
              <w:top w:val="nil"/>
              <w:left w:val="nil"/>
              <w:bottom w:val="single" w:sz="4" w:space="0" w:color="auto"/>
              <w:right w:val="single" w:sz="4" w:space="0" w:color="auto"/>
            </w:tcBorders>
            <w:shd w:val="clear" w:color="auto" w:fill="auto"/>
            <w:noWrap/>
            <w:vAlign w:val="center"/>
          </w:tcPr>
          <w:p w14:paraId="47DC9346"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r>
      <w:tr w:rsidR="0062768B" w14:paraId="5B1ED444" w14:textId="77777777">
        <w:trPr>
          <w:cantSplit/>
          <w:jc w:val="center"/>
        </w:trPr>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8DCD5"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土地使用年限（年）</w:t>
            </w:r>
          </w:p>
        </w:tc>
        <w:tc>
          <w:tcPr>
            <w:tcW w:w="1418" w:type="dxa"/>
            <w:tcBorders>
              <w:top w:val="nil"/>
              <w:left w:val="nil"/>
              <w:bottom w:val="single" w:sz="4" w:space="0" w:color="auto"/>
              <w:right w:val="single" w:sz="4" w:space="0" w:color="auto"/>
            </w:tcBorders>
            <w:shd w:val="clear" w:color="auto" w:fill="auto"/>
            <w:vAlign w:val="center"/>
          </w:tcPr>
          <w:p w14:paraId="3B3CCC0B"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60-70</w:t>
            </w:r>
            <w:r>
              <w:rPr>
                <w:rFonts w:ascii="Arial" w:eastAsia="仿宋_GB2312" w:hAnsi="Arial" w:cs="Arial"/>
                <w:sz w:val="18"/>
                <w:szCs w:val="18"/>
              </w:rPr>
              <w:t>（含）</w:t>
            </w:r>
          </w:p>
        </w:tc>
        <w:tc>
          <w:tcPr>
            <w:tcW w:w="567" w:type="dxa"/>
            <w:tcBorders>
              <w:top w:val="nil"/>
              <w:left w:val="nil"/>
              <w:bottom w:val="single" w:sz="4" w:space="0" w:color="auto"/>
              <w:right w:val="single" w:sz="4" w:space="0" w:color="auto"/>
            </w:tcBorders>
            <w:shd w:val="clear" w:color="auto" w:fill="auto"/>
            <w:vAlign w:val="center"/>
          </w:tcPr>
          <w:p w14:paraId="266C94B8"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2E921EB4"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60-70</w:t>
            </w:r>
            <w:r>
              <w:rPr>
                <w:rFonts w:ascii="Arial" w:eastAsia="仿宋_GB2312" w:hAnsi="Arial" w:cs="Arial"/>
                <w:sz w:val="18"/>
                <w:szCs w:val="18"/>
              </w:rPr>
              <w:t>（含）</w:t>
            </w:r>
          </w:p>
        </w:tc>
        <w:tc>
          <w:tcPr>
            <w:tcW w:w="757" w:type="dxa"/>
            <w:tcBorders>
              <w:top w:val="nil"/>
              <w:left w:val="nil"/>
              <w:bottom w:val="single" w:sz="4" w:space="0" w:color="auto"/>
              <w:right w:val="single" w:sz="4" w:space="0" w:color="auto"/>
            </w:tcBorders>
            <w:shd w:val="clear" w:color="auto" w:fill="auto"/>
            <w:vAlign w:val="center"/>
          </w:tcPr>
          <w:p w14:paraId="36B09A49"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74" w:type="dxa"/>
            <w:tcBorders>
              <w:top w:val="nil"/>
              <w:left w:val="nil"/>
              <w:bottom w:val="single" w:sz="4" w:space="0" w:color="auto"/>
              <w:right w:val="single" w:sz="4" w:space="0" w:color="auto"/>
            </w:tcBorders>
            <w:shd w:val="clear" w:color="auto" w:fill="auto"/>
            <w:vAlign w:val="center"/>
          </w:tcPr>
          <w:p w14:paraId="301BB385"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60-70</w:t>
            </w:r>
            <w:r>
              <w:rPr>
                <w:rFonts w:ascii="Arial" w:eastAsia="仿宋_GB2312" w:hAnsi="Arial" w:cs="Arial"/>
                <w:sz w:val="18"/>
                <w:szCs w:val="18"/>
              </w:rPr>
              <w:t>（含）</w:t>
            </w:r>
          </w:p>
        </w:tc>
        <w:tc>
          <w:tcPr>
            <w:tcW w:w="551" w:type="dxa"/>
            <w:tcBorders>
              <w:top w:val="nil"/>
              <w:left w:val="nil"/>
              <w:bottom w:val="single" w:sz="4" w:space="0" w:color="auto"/>
              <w:right w:val="single" w:sz="4" w:space="0" w:color="auto"/>
            </w:tcBorders>
            <w:shd w:val="clear" w:color="auto" w:fill="auto"/>
            <w:vAlign w:val="center"/>
          </w:tcPr>
          <w:p w14:paraId="31C2B65B"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02" w:type="dxa"/>
            <w:tcBorders>
              <w:top w:val="nil"/>
              <w:left w:val="nil"/>
              <w:bottom w:val="single" w:sz="4" w:space="0" w:color="auto"/>
              <w:right w:val="single" w:sz="4" w:space="0" w:color="auto"/>
            </w:tcBorders>
            <w:shd w:val="clear" w:color="auto" w:fill="auto"/>
            <w:vAlign w:val="center"/>
          </w:tcPr>
          <w:p w14:paraId="15DA8E03"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60-70</w:t>
            </w:r>
            <w:r>
              <w:rPr>
                <w:rFonts w:ascii="Arial" w:eastAsia="仿宋_GB2312" w:hAnsi="Arial" w:cs="Arial"/>
                <w:sz w:val="18"/>
                <w:szCs w:val="18"/>
              </w:rPr>
              <w:t>（含）</w:t>
            </w:r>
          </w:p>
        </w:tc>
        <w:tc>
          <w:tcPr>
            <w:tcW w:w="551" w:type="dxa"/>
            <w:tcBorders>
              <w:top w:val="nil"/>
              <w:left w:val="nil"/>
              <w:bottom w:val="single" w:sz="4" w:space="0" w:color="auto"/>
              <w:right w:val="single" w:sz="4" w:space="0" w:color="auto"/>
            </w:tcBorders>
            <w:shd w:val="clear" w:color="auto" w:fill="auto"/>
            <w:noWrap/>
            <w:vAlign w:val="center"/>
          </w:tcPr>
          <w:p w14:paraId="7C86D178"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r>
      <w:tr w:rsidR="0062768B" w14:paraId="593E1ADF" w14:textId="77777777">
        <w:trPr>
          <w:cantSplit/>
          <w:jc w:val="center"/>
        </w:trPr>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C20F4B"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418" w:type="dxa"/>
            <w:tcBorders>
              <w:top w:val="nil"/>
              <w:left w:val="nil"/>
              <w:bottom w:val="single" w:sz="4" w:space="0" w:color="auto"/>
              <w:right w:val="single" w:sz="4" w:space="0" w:color="auto"/>
            </w:tcBorders>
            <w:shd w:val="clear" w:color="auto" w:fill="auto"/>
            <w:vAlign w:val="center"/>
          </w:tcPr>
          <w:p w14:paraId="57D17AE0"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1.2</w:t>
            </w:r>
          </w:p>
        </w:tc>
        <w:tc>
          <w:tcPr>
            <w:tcW w:w="567" w:type="dxa"/>
            <w:tcBorders>
              <w:top w:val="nil"/>
              <w:left w:val="nil"/>
              <w:bottom w:val="single" w:sz="4" w:space="0" w:color="auto"/>
              <w:right w:val="single" w:sz="4" w:space="0" w:color="auto"/>
            </w:tcBorders>
            <w:shd w:val="clear" w:color="auto" w:fill="auto"/>
            <w:vAlign w:val="center"/>
          </w:tcPr>
          <w:p w14:paraId="1A63B9EB"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7EE03E57"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5</w:t>
            </w:r>
          </w:p>
        </w:tc>
        <w:tc>
          <w:tcPr>
            <w:tcW w:w="757" w:type="dxa"/>
            <w:tcBorders>
              <w:top w:val="nil"/>
              <w:left w:val="nil"/>
              <w:bottom w:val="single" w:sz="4" w:space="0" w:color="auto"/>
              <w:right w:val="single" w:sz="4" w:space="0" w:color="auto"/>
            </w:tcBorders>
            <w:shd w:val="clear" w:color="auto" w:fill="auto"/>
            <w:vAlign w:val="center"/>
          </w:tcPr>
          <w:p w14:paraId="7BC484DD"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1374" w:type="dxa"/>
            <w:tcBorders>
              <w:top w:val="nil"/>
              <w:left w:val="nil"/>
              <w:bottom w:val="single" w:sz="4" w:space="0" w:color="auto"/>
              <w:right w:val="single" w:sz="4" w:space="0" w:color="auto"/>
            </w:tcBorders>
            <w:shd w:val="clear" w:color="auto" w:fill="auto"/>
            <w:vAlign w:val="center"/>
          </w:tcPr>
          <w:p w14:paraId="3D2A1CD4"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1.5</w:t>
            </w:r>
          </w:p>
        </w:tc>
        <w:tc>
          <w:tcPr>
            <w:tcW w:w="551" w:type="dxa"/>
            <w:tcBorders>
              <w:top w:val="nil"/>
              <w:left w:val="nil"/>
              <w:bottom w:val="single" w:sz="4" w:space="0" w:color="auto"/>
              <w:right w:val="single" w:sz="4" w:space="0" w:color="auto"/>
            </w:tcBorders>
            <w:shd w:val="clear" w:color="auto" w:fill="auto"/>
            <w:vAlign w:val="center"/>
          </w:tcPr>
          <w:p w14:paraId="13A0C550"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1302" w:type="dxa"/>
            <w:tcBorders>
              <w:top w:val="nil"/>
              <w:left w:val="nil"/>
              <w:bottom w:val="single" w:sz="4" w:space="0" w:color="auto"/>
              <w:right w:val="single" w:sz="4" w:space="0" w:color="auto"/>
            </w:tcBorders>
            <w:shd w:val="clear" w:color="auto" w:fill="auto"/>
            <w:vAlign w:val="center"/>
          </w:tcPr>
          <w:p w14:paraId="19BE4ECE"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2</w:t>
            </w:r>
          </w:p>
        </w:tc>
        <w:tc>
          <w:tcPr>
            <w:tcW w:w="551" w:type="dxa"/>
            <w:tcBorders>
              <w:top w:val="nil"/>
              <w:left w:val="nil"/>
              <w:bottom w:val="single" w:sz="4" w:space="0" w:color="auto"/>
              <w:right w:val="single" w:sz="4" w:space="0" w:color="auto"/>
            </w:tcBorders>
            <w:shd w:val="clear" w:color="auto" w:fill="auto"/>
            <w:noWrap/>
            <w:vAlign w:val="center"/>
          </w:tcPr>
          <w:p w14:paraId="34E1E5EA"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99</w:t>
            </w:r>
          </w:p>
        </w:tc>
      </w:tr>
      <w:tr w:rsidR="0062768B" w14:paraId="73B96564" w14:textId="77777777">
        <w:trPr>
          <w:cantSplit/>
          <w:jc w:val="center"/>
        </w:trPr>
        <w:tc>
          <w:tcPr>
            <w:tcW w:w="285" w:type="dxa"/>
            <w:vMerge w:val="restart"/>
            <w:tcBorders>
              <w:top w:val="single" w:sz="4" w:space="0" w:color="auto"/>
              <w:left w:val="single" w:sz="4" w:space="0" w:color="auto"/>
              <w:right w:val="single" w:sz="4" w:space="0" w:color="auto"/>
            </w:tcBorders>
            <w:shd w:val="clear" w:color="auto" w:fill="auto"/>
            <w:vAlign w:val="center"/>
          </w:tcPr>
          <w:p w14:paraId="3E99C72F" w14:textId="77777777" w:rsidR="0062768B" w:rsidRDefault="00136729">
            <w:pPr>
              <w:spacing w:line="240" w:lineRule="exact"/>
              <w:jc w:val="center"/>
              <w:rPr>
                <w:rFonts w:ascii="Arial" w:eastAsia="仿宋_GB2312" w:hAnsi="Arial" w:cs="Arial"/>
                <w:sz w:val="18"/>
                <w:szCs w:val="18"/>
              </w:rPr>
            </w:pPr>
            <w:r>
              <w:rPr>
                <w:rFonts w:ascii="Arial" w:eastAsia="仿宋_GB2312" w:hAnsi="Arial" w:cs="Arial"/>
                <w:sz w:val="18"/>
                <w:szCs w:val="18"/>
              </w:rPr>
              <w:t>区域</w:t>
            </w:r>
          </w:p>
          <w:p w14:paraId="2C7B3EAD" w14:textId="77777777" w:rsidR="0062768B" w:rsidRDefault="00136729">
            <w:pPr>
              <w:spacing w:line="240" w:lineRule="exact"/>
              <w:jc w:val="center"/>
              <w:rPr>
                <w:rFonts w:ascii="Arial" w:eastAsia="仿宋_GB2312" w:hAnsi="Arial" w:cs="Arial"/>
                <w:sz w:val="18"/>
                <w:szCs w:val="18"/>
              </w:rPr>
            </w:pPr>
            <w:r>
              <w:rPr>
                <w:rFonts w:ascii="Arial" w:eastAsia="仿宋_GB2312" w:hAnsi="Arial" w:cs="Arial"/>
                <w:sz w:val="18"/>
                <w:szCs w:val="18"/>
              </w:rPr>
              <w:t>因素</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F203C35"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住宅社区成熟度</w:t>
            </w:r>
          </w:p>
        </w:tc>
        <w:tc>
          <w:tcPr>
            <w:tcW w:w="1418" w:type="dxa"/>
            <w:tcBorders>
              <w:top w:val="nil"/>
              <w:left w:val="nil"/>
              <w:bottom w:val="single" w:sz="4" w:space="0" w:color="auto"/>
              <w:right w:val="single" w:sz="4" w:space="0" w:color="auto"/>
            </w:tcBorders>
            <w:shd w:val="clear" w:color="auto" w:fill="auto"/>
            <w:vAlign w:val="center"/>
          </w:tcPr>
          <w:p w14:paraId="62B26A0F" w14:textId="77777777" w:rsidR="0062768B" w:rsidRDefault="00136729">
            <w:pPr>
              <w:widowControl/>
              <w:tabs>
                <w:tab w:val="left" w:pos="1111"/>
              </w:tabs>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估价对象位于北京市顺义区高丽营镇夏县营村，周边</w:t>
            </w:r>
            <w:r>
              <w:rPr>
                <w:rFonts w:ascii="Arial" w:eastAsia="仿宋_GB2312" w:hAnsi="Arial" w:cs="Arial" w:hint="eastAsia"/>
                <w:sz w:val="18"/>
                <w:szCs w:val="18"/>
              </w:rPr>
              <w:t>2</w:t>
            </w:r>
            <w:r>
              <w:rPr>
                <w:rFonts w:ascii="Arial" w:eastAsia="仿宋_GB2312" w:hAnsi="Arial" w:cs="Arial" w:hint="eastAsia"/>
                <w:sz w:val="18"/>
                <w:szCs w:val="18"/>
              </w:rPr>
              <w:t>公里范围内</w:t>
            </w:r>
            <w:proofErr w:type="gramStart"/>
            <w:r>
              <w:rPr>
                <w:rFonts w:ascii="Arial" w:eastAsia="仿宋_GB2312" w:hAnsi="Arial" w:cs="Arial" w:hint="eastAsia"/>
                <w:sz w:val="18"/>
                <w:szCs w:val="18"/>
              </w:rPr>
              <w:t>有丽喜花园</w:t>
            </w:r>
            <w:proofErr w:type="gramEnd"/>
            <w:r>
              <w:rPr>
                <w:rFonts w:ascii="Arial" w:eastAsia="仿宋_GB2312" w:hAnsi="Arial" w:cs="Arial" w:hint="eastAsia"/>
                <w:sz w:val="18"/>
                <w:szCs w:val="18"/>
              </w:rPr>
              <w:t>、东君府、</w:t>
            </w:r>
            <w:proofErr w:type="spellStart"/>
            <w:r>
              <w:rPr>
                <w:rFonts w:ascii="Arial" w:eastAsia="仿宋_GB2312" w:hAnsi="Arial" w:cs="Arial" w:hint="eastAsia"/>
                <w:sz w:val="18"/>
                <w:szCs w:val="18"/>
              </w:rPr>
              <w:t>moma</w:t>
            </w:r>
            <w:proofErr w:type="spellEnd"/>
            <w:r>
              <w:rPr>
                <w:rFonts w:ascii="Arial" w:eastAsia="仿宋_GB2312" w:hAnsi="Arial" w:cs="Arial" w:hint="eastAsia"/>
                <w:sz w:val="18"/>
                <w:szCs w:val="18"/>
              </w:rPr>
              <w:t>万万树、壹号</w:t>
            </w:r>
            <w:proofErr w:type="gramStart"/>
            <w:r>
              <w:rPr>
                <w:rFonts w:ascii="Arial" w:eastAsia="仿宋_GB2312" w:hAnsi="Arial" w:cs="Arial" w:hint="eastAsia"/>
                <w:sz w:val="18"/>
                <w:szCs w:val="18"/>
              </w:rPr>
              <w:t>东临院等</w:t>
            </w:r>
            <w:proofErr w:type="gramEnd"/>
            <w:r>
              <w:rPr>
                <w:rFonts w:ascii="Arial" w:eastAsia="仿宋_GB2312" w:hAnsi="Arial" w:cs="Arial" w:hint="eastAsia"/>
                <w:sz w:val="18"/>
                <w:szCs w:val="18"/>
              </w:rPr>
              <w:t>社区，居住小区规模和社区发展完善程度较完善，综合评价居住社区成熟度一般。</w:t>
            </w:r>
          </w:p>
        </w:tc>
        <w:tc>
          <w:tcPr>
            <w:tcW w:w="567" w:type="dxa"/>
            <w:tcBorders>
              <w:top w:val="nil"/>
              <w:left w:val="nil"/>
              <w:bottom w:val="single" w:sz="4" w:space="0" w:color="auto"/>
              <w:right w:val="single" w:sz="4" w:space="0" w:color="auto"/>
            </w:tcBorders>
            <w:shd w:val="clear" w:color="auto" w:fill="auto"/>
            <w:vAlign w:val="center"/>
          </w:tcPr>
          <w:p w14:paraId="719BB31D"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7D334E6D"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A</w:t>
            </w:r>
            <w:r>
              <w:rPr>
                <w:rFonts w:ascii="Arial" w:eastAsia="仿宋_GB2312" w:hAnsi="Arial" w:cs="Arial"/>
                <w:sz w:val="18"/>
                <w:szCs w:val="18"/>
              </w:rPr>
              <w:t>位于</w:t>
            </w:r>
            <w:r>
              <w:rPr>
                <w:rFonts w:ascii="Arial" w:eastAsia="仿宋_GB2312" w:hAnsi="Arial" w:cs="Arial" w:hint="eastAsia"/>
                <w:sz w:val="18"/>
                <w:szCs w:val="18"/>
              </w:rPr>
              <w:t>北京市顺义区高丽营镇，周边</w:t>
            </w:r>
            <w:r>
              <w:rPr>
                <w:rFonts w:ascii="Arial" w:eastAsia="仿宋_GB2312" w:hAnsi="Arial" w:cs="Arial" w:hint="eastAsia"/>
                <w:sz w:val="18"/>
                <w:szCs w:val="18"/>
              </w:rPr>
              <w:t>2</w:t>
            </w:r>
            <w:r>
              <w:rPr>
                <w:rFonts w:ascii="Arial" w:eastAsia="仿宋_GB2312" w:hAnsi="Arial" w:cs="Arial" w:hint="eastAsia"/>
                <w:sz w:val="18"/>
                <w:szCs w:val="18"/>
              </w:rPr>
              <w:t>公里范围内有春晖园·随园、</w:t>
            </w:r>
            <w:proofErr w:type="gramStart"/>
            <w:r>
              <w:rPr>
                <w:rFonts w:ascii="Arial" w:eastAsia="仿宋_GB2312" w:hAnsi="Arial" w:cs="Arial" w:hint="eastAsia"/>
                <w:sz w:val="18"/>
                <w:szCs w:val="18"/>
              </w:rPr>
              <w:t>观承别墅</w:t>
            </w:r>
            <w:proofErr w:type="gramEnd"/>
            <w:r>
              <w:rPr>
                <w:rFonts w:ascii="Arial" w:eastAsia="仿宋_GB2312" w:hAnsi="Arial" w:cs="Arial" w:hint="eastAsia"/>
                <w:sz w:val="18"/>
                <w:szCs w:val="18"/>
              </w:rPr>
              <w:t>、北京万科望溪、新世界丽</w:t>
            </w:r>
            <w:proofErr w:type="gramStart"/>
            <w:r>
              <w:rPr>
                <w:rFonts w:ascii="Arial" w:eastAsia="仿宋_GB2312" w:hAnsi="Arial" w:cs="Arial" w:hint="eastAsia"/>
                <w:sz w:val="18"/>
                <w:szCs w:val="18"/>
              </w:rPr>
              <w:t>樽</w:t>
            </w:r>
            <w:proofErr w:type="gramEnd"/>
            <w:r>
              <w:rPr>
                <w:rFonts w:ascii="Arial" w:eastAsia="仿宋_GB2312" w:hAnsi="Arial" w:cs="Arial" w:hint="eastAsia"/>
                <w:sz w:val="18"/>
                <w:szCs w:val="18"/>
              </w:rPr>
              <w:t>、于庄小区、万柳园、金茂府、东方蓝海等社区，居住小区规模和社区发展完善程度较完善，综合评价居住社区成熟度较好</w:t>
            </w:r>
          </w:p>
        </w:tc>
        <w:tc>
          <w:tcPr>
            <w:tcW w:w="757" w:type="dxa"/>
            <w:tcBorders>
              <w:top w:val="nil"/>
              <w:left w:val="nil"/>
              <w:bottom w:val="single" w:sz="4" w:space="0" w:color="auto"/>
              <w:right w:val="single" w:sz="4" w:space="0" w:color="auto"/>
            </w:tcBorders>
            <w:shd w:val="clear" w:color="auto" w:fill="auto"/>
            <w:vAlign w:val="center"/>
          </w:tcPr>
          <w:p w14:paraId="3454A535"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102</w:t>
            </w:r>
          </w:p>
        </w:tc>
        <w:tc>
          <w:tcPr>
            <w:tcW w:w="1374" w:type="dxa"/>
            <w:tcBorders>
              <w:top w:val="nil"/>
              <w:left w:val="nil"/>
              <w:bottom w:val="single" w:sz="4" w:space="0" w:color="auto"/>
              <w:right w:val="single" w:sz="4" w:space="0" w:color="auto"/>
            </w:tcBorders>
            <w:shd w:val="clear" w:color="auto" w:fill="auto"/>
            <w:vAlign w:val="center"/>
          </w:tcPr>
          <w:p w14:paraId="2E52B49A"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B</w:t>
            </w:r>
            <w:r>
              <w:rPr>
                <w:rFonts w:ascii="Arial" w:eastAsia="仿宋_GB2312" w:hAnsi="Arial" w:cs="Arial" w:hint="eastAsia"/>
                <w:sz w:val="18"/>
                <w:szCs w:val="18"/>
              </w:rPr>
              <w:t>位于顺义区高丽营镇，周边有</w:t>
            </w:r>
            <w:r>
              <w:rPr>
                <w:rFonts w:ascii="仿宋_GB2312" w:eastAsia="仿宋_GB2312" w:hAnsi="仿宋_GB2312" w:cs="仿宋_GB2312" w:hint="eastAsia"/>
                <w:sz w:val="18"/>
                <w:szCs w:val="18"/>
              </w:rPr>
              <w:t>首开富力十号国际、</w:t>
            </w:r>
            <w:r>
              <w:rPr>
                <w:rFonts w:ascii="仿宋_GB2312" w:eastAsia="仿宋_GB2312" w:hAnsi="仿宋_GB2312" w:cs="仿宋_GB2312"/>
                <w:sz w:val="18"/>
                <w:szCs w:val="18"/>
              </w:rPr>
              <w:t>高丽营</w:t>
            </w:r>
            <w:r>
              <w:rPr>
                <w:rFonts w:ascii="仿宋_GB2312" w:eastAsia="仿宋_GB2312" w:hAnsi="仿宋_GB2312" w:cs="仿宋_GB2312" w:hint="eastAsia"/>
                <w:sz w:val="18"/>
                <w:szCs w:val="18"/>
              </w:rPr>
              <w:t>镇</w:t>
            </w:r>
            <w:r>
              <w:rPr>
                <w:rFonts w:ascii="仿宋_GB2312" w:eastAsia="仿宋_GB2312" w:hAnsi="仿宋_GB2312" w:cs="仿宋_GB2312"/>
                <w:sz w:val="18"/>
                <w:szCs w:val="18"/>
              </w:rPr>
              <w:t>高白路</w:t>
            </w:r>
            <w:r>
              <w:rPr>
                <w:rFonts w:ascii="仿宋_GB2312" w:eastAsia="仿宋_GB2312" w:hAnsi="仿宋_GB2312" w:cs="仿宋_GB2312" w:hint="eastAsia"/>
                <w:sz w:val="18"/>
                <w:szCs w:val="18"/>
              </w:rPr>
              <w:t>11号院等已建成住宅小区，入住</w:t>
            </w:r>
            <w:r>
              <w:rPr>
                <w:rFonts w:ascii="Arial" w:eastAsia="仿宋_GB2312" w:hAnsi="Arial" w:cs="Arial" w:hint="eastAsia"/>
                <w:sz w:val="18"/>
                <w:szCs w:val="18"/>
              </w:rPr>
              <w:t>率一般，住宅社区成熟度一般。</w:t>
            </w:r>
          </w:p>
        </w:tc>
        <w:tc>
          <w:tcPr>
            <w:tcW w:w="551" w:type="dxa"/>
            <w:tcBorders>
              <w:top w:val="nil"/>
              <w:left w:val="nil"/>
              <w:bottom w:val="single" w:sz="4" w:space="0" w:color="auto"/>
              <w:right w:val="single" w:sz="4" w:space="0" w:color="auto"/>
            </w:tcBorders>
            <w:shd w:val="clear" w:color="auto" w:fill="auto"/>
            <w:vAlign w:val="center"/>
          </w:tcPr>
          <w:p w14:paraId="35E74353"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02" w:type="dxa"/>
            <w:tcBorders>
              <w:top w:val="nil"/>
              <w:left w:val="nil"/>
              <w:bottom w:val="single" w:sz="4" w:space="0" w:color="auto"/>
              <w:right w:val="single" w:sz="4" w:space="0" w:color="auto"/>
            </w:tcBorders>
            <w:shd w:val="clear" w:color="auto" w:fill="auto"/>
            <w:vAlign w:val="center"/>
          </w:tcPr>
          <w:p w14:paraId="040E96A8"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C</w:t>
            </w:r>
            <w:r>
              <w:rPr>
                <w:rFonts w:ascii="Arial" w:eastAsia="仿宋_GB2312" w:hAnsi="Arial" w:cs="Arial"/>
                <w:sz w:val="18"/>
                <w:szCs w:val="18"/>
              </w:rPr>
              <w:t>位于</w:t>
            </w:r>
            <w:r>
              <w:rPr>
                <w:rFonts w:ascii="Arial" w:eastAsia="仿宋_GB2312" w:hAnsi="Arial" w:cs="Arial" w:hint="eastAsia"/>
                <w:sz w:val="18"/>
                <w:szCs w:val="18"/>
              </w:rPr>
              <w:t>顺义区新城第</w:t>
            </w:r>
            <w:r>
              <w:rPr>
                <w:rFonts w:ascii="Arial" w:eastAsia="仿宋_GB2312" w:hAnsi="Arial" w:cs="Arial" w:hint="eastAsia"/>
                <w:sz w:val="18"/>
                <w:szCs w:val="18"/>
              </w:rPr>
              <w:t>13</w:t>
            </w:r>
            <w:r>
              <w:rPr>
                <w:rFonts w:ascii="Arial" w:eastAsia="仿宋_GB2312" w:hAnsi="Arial" w:cs="Arial" w:hint="eastAsia"/>
                <w:sz w:val="18"/>
                <w:szCs w:val="18"/>
              </w:rPr>
              <w:t>街区，周边</w:t>
            </w:r>
            <w:r>
              <w:rPr>
                <w:rFonts w:ascii="Arial" w:eastAsia="仿宋_GB2312" w:hAnsi="Arial" w:cs="Arial" w:hint="eastAsia"/>
                <w:sz w:val="18"/>
                <w:szCs w:val="18"/>
              </w:rPr>
              <w:t>2</w:t>
            </w:r>
            <w:r>
              <w:rPr>
                <w:rFonts w:ascii="Arial" w:eastAsia="仿宋_GB2312" w:hAnsi="Arial" w:cs="Arial" w:hint="eastAsia"/>
                <w:sz w:val="18"/>
                <w:szCs w:val="18"/>
              </w:rPr>
              <w:t>公里范围内有中建</w:t>
            </w:r>
            <w:proofErr w:type="gramStart"/>
            <w:r>
              <w:rPr>
                <w:rFonts w:ascii="Arial" w:eastAsia="仿宋_GB2312" w:hAnsi="Arial" w:cs="Arial" w:hint="eastAsia"/>
                <w:sz w:val="18"/>
                <w:szCs w:val="18"/>
              </w:rPr>
              <w:t>宸</w:t>
            </w:r>
            <w:proofErr w:type="gramEnd"/>
            <w:r>
              <w:rPr>
                <w:rFonts w:ascii="Arial" w:eastAsia="仿宋_GB2312" w:hAnsi="Arial" w:cs="Arial" w:hint="eastAsia"/>
                <w:sz w:val="18"/>
                <w:szCs w:val="18"/>
              </w:rPr>
              <w:t>庐、北京恒大上和</w:t>
            </w:r>
            <w:proofErr w:type="gramStart"/>
            <w:r>
              <w:rPr>
                <w:rFonts w:ascii="Arial" w:eastAsia="仿宋_GB2312" w:hAnsi="Arial" w:cs="Arial" w:hint="eastAsia"/>
                <w:sz w:val="18"/>
                <w:szCs w:val="18"/>
              </w:rPr>
              <w:t>府、</w:t>
            </w:r>
            <w:proofErr w:type="gramEnd"/>
            <w:r>
              <w:rPr>
                <w:rFonts w:ascii="Arial" w:eastAsia="仿宋_GB2312" w:hAnsi="Arial" w:cs="Arial" w:hint="eastAsia"/>
                <w:sz w:val="18"/>
                <w:szCs w:val="18"/>
              </w:rPr>
              <w:t>佳和</w:t>
            </w:r>
            <w:proofErr w:type="gramStart"/>
            <w:r>
              <w:rPr>
                <w:rFonts w:ascii="Arial" w:eastAsia="仿宋_GB2312" w:hAnsi="Arial" w:cs="Arial" w:hint="eastAsia"/>
                <w:sz w:val="18"/>
                <w:szCs w:val="18"/>
              </w:rPr>
              <w:t>宜园</w:t>
            </w:r>
            <w:proofErr w:type="gramEnd"/>
            <w:r>
              <w:rPr>
                <w:rFonts w:ascii="Arial" w:eastAsia="仿宋_GB2312" w:hAnsi="Arial" w:cs="Arial" w:hint="eastAsia"/>
                <w:sz w:val="18"/>
                <w:szCs w:val="18"/>
              </w:rPr>
              <w:t>、国誉府、水映兰庭等社区，居住小区规模和社区发展完善程度较完善，综合评价居住社区成熟度较好</w:t>
            </w:r>
          </w:p>
        </w:tc>
        <w:tc>
          <w:tcPr>
            <w:tcW w:w="551" w:type="dxa"/>
            <w:tcBorders>
              <w:top w:val="nil"/>
              <w:left w:val="nil"/>
              <w:bottom w:val="single" w:sz="4" w:space="0" w:color="auto"/>
              <w:right w:val="single" w:sz="4" w:space="0" w:color="auto"/>
            </w:tcBorders>
            <w:shd w:val="clear" w:color="auto" w:fill="auto"/>
            <w:noWrap/>
            <w:vAlign w:val="center"/>
          </w:tcPr>
          <w:p w14:paraId="3EB653CB"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102</w:t>
            </w:r>
          </w:p>
        </w:tc>
      </w:tr>
      <w:tr w:rsidR="0062768B" w14:paraId="28678919" w14:textId="77777777">
        <w:trPr>
          <w:cantSplit/>
          <w:jc w:val="center"/>
        </w:trPr>
        <w:tc>
          <w:tcPr>
            <w:tcW w:w="285" w:type="dxa"/>
            <w:vMerge/>
            <w:tcBorders>
              <w:left w:val="single" w:sz="4" w:space="0" w:color="auto"/>
              <w:right w:val="single" w:sz="4" w:space="0" w:color="auto"/>
            </w:tcBorders>
            <w:shd w:val="clear" w:color="auto" w:fill="auto"/>
            <w:vAlign w:val="center"/>
          </w:tcPr>
          <w:p w14:paraId="2A739495" w14:textId="77777777" w:rsidR="0062768B" w:rsidRDefault="0062768B">
            <w:pPr>
              <w:spacing w:line="240" w:lineRule="exact"/>
              <w:jc w:val="center"/>
              <w:rPr>
                <w:rFonts w:ascii="Arial" w:eastAsia="仿宋_GB2312" w:hAnsi="Arial" w:cs="Arial"/>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F17D74B"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交通便捷度</w:t>
            </w:r>
          </w:p>
        </w:tc>
        <w:tc>
          <w:tcPr>
            <w:tcW w:w="1418" w:type="dxa"/>
            <w:tcBorders>
              <w:top w:val="nil"/>
              <w:left w:val="nil"/>
              <w:bottom w:val="single" w:sz="4" w:space="0" w:color="auto"/>
              <w:right w:val="single" w:sz="4" w:space="0" w:color="auto"/>
            </w:tcBorders>
            <w:shd w:val="clear" w:color="auto" w:fill="auto"/>
            <w:vAlign w:val="center"/>
          </w:tcPr>
          <w:p w14:paraId="40AB36CE"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估价对象属于北京市顺义区高丽营镇夏县营村，估价对象紧</w:t>
            </w:r>
            <w:proofErr w:type="gramStart"/>
            <w:r>
              <w:rPr>
                <w:rFonts w:ascii="Arial" w:eastAsia="仿宋_GB2312" w:hAnsi="Arial" w:cs="Arial" w:hint="eastAsia"/>
                <w:sz w:val="18"/>
                <w:szCs w:val="18"/>
              </w:rPr>
              <w:t>临城市</w:t>
            </w:r>
            <w:proofErr w:type="gramEnd"/>
            <w:r>
              <w:rPr>
                <w:rFonts w:ascii="Arial" w:eastAsia="仿宋_GB2312" w:hAnsi="Arial" w:cs="Arial" w:hint="eastAsia"/>
                <w:sz w:val="18"/>
                <w:szCs w:val="18"/>
              </w:rPr>
              <w:t>主干道——</w:t>
            </w:r>
            <w:proofErr w:type="gramStart"/>
            <w:r>
              <w:rPr>
                <w:rFonts w:ascii="Arial" w:eastAsia="仿宋_GB2312" w:hAnsi="Arial" w:cs="Arial" w:hint="eastAsia"/>
                <w:sz w:val="18"/>
                <w:szCs w:val="18"/>
              </w:rPr>
              <w:t>火寺路</w:t>
            </w:r>
            <w:proofErr w:type="gramEnd"/>
            <w:r>
              <w:rPr>
                <w:rFonts w:ascii="Arial" w:eastAsia="仿宋_GB2312" w:hAnsi="Arial" w:cs="Arial" w:hint="eastAsia"/>
                <w:sz w:val="18"/>
                <w:szCs w:val="18"/>
              </w:rPr>
              <w:t>、周边</w:t>
            </w:r>
            <w:r>
              <w:rPr>
                <w:rFonts w:ascii="Arial" w:eastAsia="仿宋_GB2312" w:hAnsi="Arial" w:cs="Arial" w:hint="eastAsia"/>
                <w:sz w:val="18"/>
                <w:szCs w:val="18"/>
              </w:rPr>
              <w:t>1</w:t>
            </w:r>
            <w:r>
              <w:rPr>
                <w:rFonts w:ascii="Arial" w:eastAsia="仿宋_GB2312" w:hAnsi="Arial" w:cs="Arial" w:hint="eastAsia"/>
                <w:sz w:val="18"/>
                <w:szCs w:val="18"/>
              </w:rPr>
              <w:t>公里范围内有顺</w:t>
            </w:r>
            <w:r>
              <w:rPr>
                <w:rFonts w:ascii="Arial" w:eastAsia="仿宋_GB2312" w:hAnsi="Arial" w:cs="Arial" w:hint="eastAsia"/>
                <w:sz w:val="18"/>
                <w:szCs w:val="18"/>
              </w:rPr>
              <w:t>25</w:t>
            </w:r>
            <w:r>
              <w:rPr>
                <w:rFonts w:ascii="Arial" w:eastAsia="仿宋_GB2312" w:hAnsi="Arial" w:cs="Arial" w:hint="eastAsia"/>
                <w:sz w:val="18"/>
                <w:szCs w:val="18"/>
              </w:rPr>
              <w:t>路、顺</w:t>
            </w:r>
            <w:r>
              <w:rPr>
                <w:rFonts w:ascii="Arial" w:eastAsia="仿宋_GB2312" w:hAnsi="Arial" w:cs="Arial" w:hint="eastAsia"/>
                <w:sz w:val="18"/>
                <w:szCs w:val="18"/>
              </w:rPr>
              <w:t>42</w:t>
            </w:r>
            <w:r>
              <w:rPr>
                <w:rFonts w:ascii="Arial" w:eastAsia="仿宋_GB2312" w:hAnsi="Arial" w:cs="Arial" w:hint="eastAsia"/>
                <w:sz w:val="18"/>
                <w:szCs w:val="18"/>
              </w:rPr>
              <w:t>路、顺</w:t>
            </w:r>
            <w:r>
              <w:rPr>
                <w:rFonts w:ascii="Arial" w:eastAsia="仿宋_GB2312" w:hAnsi="Arial" w:cs="Arial" w:hint="eastAsia"/>
                <w:sz w:val="18"/>
                <w:szCs w:val="18"/>
              </w:rPr>
              <w:t>49</w:t>
            </w:r>
            <w:r>
              <w:rPr>
                <w:rFonts w:ascii="Arial" w:eastAsia="仿宋_GB2312" w:hAnsi="Arial" w:cs="Arial" w:hint="eastAsia"/>
                <w:sz w:val="18"/>
                <w:szCs w:val="18"/>
              </w:rPr>
              <w:t>路、顺</w:t>
            </w:r>
            <w:r>
              <w:rPr>
                <w:rFonts w:ascii="Arial" w:eastAsia="仿宋_GB2312" w:hAnsi="Arial" w:cs="Arial" w:hint="eastAsia"/>
                <w:sz w:val="18"/>
                <w:szCs w:val="18"/>
              </w:rPr>
              <w:t>69</w:t>
            </w:r>
            <w:r>
              <w:rPr>
                <w:rFonts w:ascii="Arial" w:eastAsia="仿宋_GB2312" w:hAnsi="Arial" w:cs="Arial" w:hint="eastAsia"/>
                <w:sz w:val="18"/>
                <w:szCs w:val="18"/>
              </w:rPr>
              <w:t>路等公交线路，区域内交通一般，区域间通达性较差，综合评价交通便捷度较差。</w:t>
            </w:r>
          </w:p>
        </w:tc>
        <w:tc>
          <w:tcPr>
            <w:tcW w:w="567" w:type="dxa"/>
            <w:tcBorders>
              <w:top w:val="nil"/>
              <w:left w:val="nil"/>
              <w:bottom w:val="single" w:sz="4" w:space="0" w:color="auto"/>
              <w:right w:val="single" w:sz="4" w:space="0" w:color="auto"/>
            </w:tcBorders>
            <w:shd w:val="clear" w:color="auto" w:fill="auto"/>
            <w:vAlign w:val="center"/>
          </w:tcPr>
          <w:p w14:paraId="03625F85"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6FF72D42"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A</w:t>
            </w:r>
            <w:proofErr w:type="gramStart"/>
            <w:r>
              <w:rPr>
                <w:rFonts w:ascii="Arial" w:eastAsia="仿宋_GB2312" w:hAnsi="Arial" w:cs="Arial" w:hint="eastAsia"/>
                <w:sz w:val="18"/>
                <w:szCs w:val="18"/>
              </w:rPr>
              <w:t>紧临次干道</w:t>
            </w:r>
            <w:proofErr w:type="gramEnd"/>
            <w:r>
              <w:rPr>
                <w:rFonts w:ascii="Arial" w:eastAsia="仿宋_GB2312" w:hAnsi="Arial" w:cs="Arial" w:hint="eastAsia"/>
                <w:sz w:val="18"/>
                <w:szCs w:val="18"/>
              </w:rPr>
              <w:t>——于庄南街、周边</w:t>
            </w:r>
            <w:r>
              <w:rPr>
                <w:rFonts w:ascii="Arial" w:eastAsia="仿宋_GB2312" w:hAnsi="Arial" w:cs="Arial" w:hint="eastAsia"/>
                <w:sz w:val="18"/>
                <w:szCs w:val="18"/>
              </w:rPr>
              <w:t>1</w:t>
            </w:r>
            <w:r>
              <w:rPr>
                <w:rFonts w:ascii="Arial" w:eastAsia="仿宋_GB2312" w:hAnsi="Arial" w:cs="Arial" w:hint="eastAsia"/>
                <w:sz w:val="18"/>
                <w:szCs w:val="18"/>
              </w:rPr>
              <w:t>公里范围内有</w:t>
            </w:r>
            <w:r>
              <w:rPr>
                <w:rFonts w:ascii="Arial" w:eastAsia="仿宋_GB2312" w:hAnsi="Arial" w:cs="Arial" w:hint="eastAsia"/>
                <w:sz w:val="18"/>
                <w:szCs w:val="18"/>
              </w:rPr>
              <w:t>487</w:t>
            </w:r>
            <w:r>
              <w:rPr>
                <w:rFonts w:ascii="Arial" w:eastAsia="仿宋_GB2312" w:hAnsi="Arial" w:cs="Arial" w:hint="eastAsia"/>
                <w:sz w:val="18"/>
                <w:szCs w:val="18"/>
              </w:rPr>
              <w:t>路、</w:t>
            </w:r>
            <w:r>
              <w:rPr>
                <w:rFonts w:ascii="Arial" w:eastAsia="仿宋_GB2312" w:hAnsi="Arial" w:cs="Arial" w:hint="eastAsia"/>
                <w:sz w:val="18"/>
                <w:szCs w:val="18"/>
              </w:rPr>
              <w:t>942</w:t>
            </w:r>
            <w:r>
              <w:rPr>
                <w:rFonts w:ascii="Arial" w:eastAsia="仿宋_GB2312" w:hAnsi="Arial" w:cs="Arial" w:hint="eastAsia"/>
                <w:sz w:val="18"/>
                <w:szCs w:val="18"/>
              </w:rPr>
              <w:t>路快车、顺</w:t>
            </w:r>
            <w:r>
              <w:rPr>
                <w:rFonts w:ascii="Arial" w:eastAsia="仿宋_GB2312" w:hAnsi="Arial" w:cs="Arial" w:hint="eastAsia"/>
                <w:sz w:val="18"/>
                <w:szCs w:val="18"/>
              </w:rPr>
              <w:t>13</w:t>
            </w:r>
            <w:r>
              <w:rPr>
                <w:rFonts w:ascii="Arial" w:eastAsia="仿宋_GB2312" w:hAnsi="Arial" w:cs="Arial" w:hint="eastAsia"/>
                <w:sz w:val="18"/>
                <w:szCs w:val="18"/>
              </w:rPr>
              <w:t>路、顺</w:t>
            </w:r>
            <w:r>
              <w:rPr>
                <w:rFonts w:ascii="Arial" w:eastAsia="仿宋_GB2312" w:hAnsi="Arial" w:cs="Arial" w:hint="eastAsia"/>
                <w:sz w:val="18"/>
                <w:szCs w:val="18"/>
              </w:rPr>
              <w:t>66</w:t>
            </w:r>
            <w:r>
              <w:rPr>
                <w:rFonts w:ascii="Arial" w:eastAsia="仿宋_GB2312" w:hAnsi="Arial" w:cs="Arial" w:hint="eastAsia"/>
                <w:sz w:val="18"/>
                <w:szCs w:val="18"/>
              </w:rPr>
              <w:t>路等公交线路，区域内交通一般，临近快速路北六环和京承高速，区域间通达性一般，综合评价交通便捷度一般</w:t>
            </w:r>
          </w:p>
        </w:tc>
        <w:tc>
          <w:tcPr>
            <w:tcW w:w="757" w:type="dxa"/>
            <w:tcBorders>
              <w:top w:val="nil"/>
              <w:left w:val="nil"/>
              <w:bottom w:val="single" w:sz="4" w:space="0" w:color="auto"/>
              <w:right w:val="single" w:sz="4" w:space="0" w:color="auto"/>
            </w:tcBorders>
            <w:shd w:val="clear" w:color="auto" w:fill="auto"/>
            <w:vAlign w:val="center"/>
          </w:tcPr>
          <w:p w14:paraId="789022CD"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102</w:t>
            </w:r>
          </w:p>
        </w:tc>
        <w:tc>
          <w:tcPr>
            <w:tcW w:w="1374" w:type="dxa"/>
            <w:tcBorders>
              <w:top w:val="nil"/>
              <w:left w:val="nil"/>
              <w:bottom w:val="single" w:sz="4" w:space="0" w:color="auto"/>
              <w:right w:val="single" w:sz="4" w:space="0" w:color="auto"/>
            </w:tcBorders>
            <w:shd w:val="clear" w:color="auto" w:fill="auto"/>
            <w:vAlign w:val="center"/>
          </w:tcPr>
          <w:p w14:paraId="4C940CFB"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B</w:t>
            </w:r>
            <w:r>
              <w:rPr>
                <w:rFonts w:ascii="Arial" w:eastAsia="仿宋_GB2312" w:hAnsi="Arial" w:cs="Arial" w:hint="eastAsia"/>
                <w:sz w:val="18"/>
                <w:szCs w:val="18"/>
              </w:rPr>
              <w:t>属于顺义区高丽营镇，位于高白路以西，紧邻城市次干道</w:t>
            </w:r>
            <w:r>
              <w:rPr>
                <w:rFonts w:ascii="Arial" w:eastAsia="仿宋_GB2312" w:hAnsi="Arial" w:cs="Arial" w:hint="eastAsia"/>
                <w:sz w:val="18"/>
                <w:szCs w:val="18"/>
              </w:rPr>
              <w:t>-</w:t>
            </w:r>
            <w:r>
              <w:rPr>
                <w:rFonts w:ascii="Arial" w:eastAsia="仿宋_GB2312" w:hAnsi="Arial" w:cs="Arial" w:hint="eastAsia"/>
                <w:sz w:val="18"/>
                <w:szCs w:val="18"/>
              </w:rPr>
              <w:t>高白路，周边有</w:t>
            </w:r>
            <w:r>
              <w:rPr>
                <w:rFonts w:ascii="Arial" w:eastAsia="仿宋_GB2312" w:hAnsi="Arial" w:cs="Arial" w:hint="eastAsia"/>
                <w:sz w:val="18"/>
                <w:szCs w:val="18"/>
              </w:rPr>
              <w:t>942</w:t>
            </w:r>
            <w:r>
              <w:rPr>
                <w:rFonts w:ascii="Arial" w:eastAsia="仿宋_GB2312" w:hAnsi="Arial" w:cs="Arial" w:hint="eastAsia"/>
                <w:sz w:val="18"/>
                <w:szCs w:val="18"/>
              </w:rPr>
              <w:t>路快车、</w:t>
            </w:r>
            <w:r>
              <w:rPr>
                <w:rFonts w:ascii="Arial" w:eastAsia="仿宋_GB2312" w:hAnsi="Arial" w:cs="Arial" w:hint="eastAsia"/>
                <w:sz w:val="18"/>
                <w:szCs w:val="18"/>
              </w:rPr>
              <w:t xml:space="preserve"> 945</w:t>
            </w:r>
            <w:r>
              <w:rPr>
                <w:rFonts w:ascii="Arial" w:eastAsia="仿宋_GB2312" w:hAnsi="Arial" w:cs="Arial" w:hint="eastAsia"/>
                <w:sz w:val="18"/>
                <w:szCs w:val="18"/>
              </w:rPr>
              <w:t>路、昌</w:t>
            </w:r>
            <w:r>
              <w:rPr>
                <w:rFonts w:ascii="Arial" w:eastAsia="仿宋_GB2312" w:hAnsi="Arial" w:cs="Arial" w:hint="eastAsia"/>
                <w:sz w:val="18"/>
                <w:szCs w:val="18"/>
              </w:rPr>
              <w:t>27</w:t>
            </w:r>
            <w:r>
              <w:rPr>
                <w:rFonts w:ascii="Arial" w:eastAsia="仿宋_GB2312" w:hAnsi="Arial" w:cs="Arial" w:hint="eastAsia"/>
                <w:sz w:val="18"/>
                <w:szCs w:val="18"/>
              </w:rPr>
              <w:t>路、昌</w:t>
            </w:r>
            <w:r>
              <w:rPr>
                <w:rFonts w:ascii="Arial" w:eastAsia="仿宋_GB2312" w:hAnsi="Arial" w:cs="Arial" w:hint="eastAsia"/>
                <w:sz w:val="18"/>
                <w:szCs w:val="18"/>
              </w:rPr>
              <w:t>60</w:t>
            </w:r>
            <w:r>
              <w:rPr>
                <w:rFonts w:ascii="Arial" w:eastAsia="仿宋_GB2312" w:hAnsi="Arial" w:cs="Arial" w:hint="eastAsia"/>
                <w:sz w:val="18"/>
                <w:szCs w:val="18"/>
              </w:rPr>
              <w:t>路、郊</w:t>
            </w:r>
            <w:r>
              <w:rPr>
                <w:rFonts w:ascii="Arial" w:eastAsia="仿宋_GB2312" w:hAnsi="Arial" w:cs="Arial" w:hint="eastAsia"/>
                <w:sz w:val="18"/>
                <w:szCs w:val="18"/>
              </w:rPr>
              <w:t>100</w:t>
            </w:r>
            <w:r>
              <w:rPr>
                <w:rFonts w:ascii="Arial" w:eastAsia="仿宋_GB2312" w:hAnsi="Arial" w:cs="Arial" w:hint="eastAsia"/>
                <w:sz w:val="18"/>
                <w:szCs w:val="18"/>
              </w:rPr>
              <w:t>路、空港</w:t>
            </w:r>
            <w:r>
              <w:rPr>
                <w:rFonts w:ascii="Arial" w:eastAsia="仿宋_GB2312" w:hAnsi="Arial" w:cs="Arial" w:hint="eastAsia"/>
                <w:sz w:val="18"/>
                <w:szCs w:val="18"/>
              </w:rPr>
              <w:t>6</w:t>
            </w:r>
            <w:r>
              <w:rPr>
                <w:rFonts w:ascii="Arial" w:eastAsia="仿宋_GB2312" w:hAnsi="Arial" w:cs="Arial" w:hint="eastAsia"/>
                <w:sz w:val="18"/>
                <w:szCs w:val="18"/>
              </w:rPr>
              <w:t>路、顺</w:t>
            </w:r>
            <w:r>
              <w:rPr>
                <w:rFonts w:ascii="Arial" w:eastAsia="仿宋_GB2312" w:hAnsi="Arial" w:cs="Arial" w:hint="eastAsia"/>
                <w:sz w:val="18"/>
                <w:szCs w:val="18"/>
              </w:rPr>
              <w:t>13</w:t>
            </w:r>
            <w:r>
              <w:rPr>
                <w:rFonts w:ascii="Arial" w:eastAsia="仿宋_GB2312" w:hAnsi="Arial" w:cs="Arial" w:hint="eastAsia"/>
                <w:sz w:val="18"/>
                <w:szCs w:val="18"/>
              </w:rPr>
              <w:t>路、顺</w:t>
            </w:r>
            <w:r>
              <w:rPr>
                <w:rFonts w:ascii="Arial" w:eastAsia="仿宋_GB2312" w:hAnsi="Arial" w:cs="Arial" w:hint="eastAsia"/>
                <w:sz w:val="18"/>
                <w:szCs w:val="18"/>
              </w:rPr>
              <w:t>43</w:t>
            </w:r>
            <w:r>
              <w:rPr>
                <w:rFonts w:ascii="Arial" w:eastAsia="仿宋_GB2312" w:hAnsi="Arial" w:cs="Arial" w:hint="eastAsia"/>
                <w:sz w:val="18"/>
                <w:szCs w:val="18"/>
              </w:rPr>
              <w:t>路等公交线路通过；</w:t>
            </w:r>
            <w:r>
              <w:rPr>
                <w:rFonts w:ascii="Arial" w:eastAsia="仿宋_GB2312" w:hAnsi="Arial" w:cs="Arial" w:hint="eastAsia"/>
                <w:sz w:val="18"/>
                <w:szCs w:val="18"/>
              </w:rPr>
              <w:t>5</w:t>
            </w:r>
            <w:r>
              <w:rPr>
                <w:rFonts w:ascii="Arial" w:eastAsia="仿宋_GB2312" w:hAnsi="Arial" w:cs="Arial" w:hint="eastAsia"/>
                <w:sz w:val="18"/>
                <w:szCs w:val="18"/>
              </w:rPr>
              <w:t>公里范围内</w:t>
            </w:r>
            <w:proofErr w:type="gramStart"/>
            <w:r>
              <w:rPr>
                <w:rFonts w:ascii="Arial" w:eastAsia="仿宋_GB2312" w:hAnsi="Arial" w:cs="Arial" w:hint="eastAsia"/>
                <w:sz w:val="18"/>
                <w:szCs w:val="18"/>
              </w:rPr>
              <w:t>无建成</w:t>
            </w:r>
            <w:proofErr w:type="gramEnd"/>
            <w:r>
              <w:rPr>
                <w:rFonts w:ascii="Arial" w:eastAsia="仿宋_GB2312" w:hAnsi="Arial" w:cs="Arial" w:hint="eastAsia"/>
                <w:sz w:val="18"/>
                <w:szCs w:val="18"/>
              </w:rPr>
              <w:t>地铁站，交通便捷度一般。</w:t>
            </w:r>
          </w:p>
        </w:tc>
        <w:tc>
          <w:tcPr>
            <w:tcW w:w="551" w:type="dxa"/>
            <w:tcBorders>
              <w:top w:val="nil"/>
              <w:left w:val="nil"/>
              <w:bottom w:val="single" w:sz="4" w:space="0" w:color="auto"/>
              <w:right w:val="single" w:sz="4" w:space="0" w:color="auto"/>
            </w:tcBorders>
            <w:shd w:val="clear" w:color="auto" w:fill="auto"/>
            <w:vAlign w:val="center"/>
          </w:tcPr>
          <w:p w14:paraId="66C2D26C"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102</w:t>
            </w:r>
          </w:p>
        </w:tc>
        <w:tc>
          <w:tcPr>
            <w:tcW w:w="1302" w:type="dxa"/>
            <w:tcBorders>
              <w:top w:val="nil"/>
              <w:left w:val="nil"/>
              <w:bottom w:val="single" w:sz="4" w:space="0" w:color="auto"/>
              <w:right w:val="single" w:sz="4" w:space="0" w:color="auto"/>
            </w:tcBorders>
            <w:shd w:val="clear" w:color="auto" w:fill="auto"/>
            <w:vAlign w:val="center"/>
          </w:tcPr>
          <w:p w14:paraId="5B0F5FE3"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hint="eastAsia"/>
                <w:sz w:val="18"/>
                <w:szCs w:val="18"/>
              </w:rPr>
              <w:t>C</w:t>
            </w:r>
            <w:r>
              <w:rPr>
                <w:rFonts w:ascii="Arial" w:eastAsia="仿宋_GB2312" w:hAnsi="Arial" w:cs="Arial" w:hint="eastAsia"/>
                <w:sz w:val="18"/>
                <w:szCs w:val="18"/>
              </w:rPr>
              <w:t>紧临主干道—通顺路、周边</w:t>
            </w:r>
            <w:r>
              <w:rPr>
                <w:rFonts w:ascii="Arial" w:eastAsia="仿宋_GB2312" w:hAnsi="Arial" w:cs="Arial" w:hint="eastAsia"/>
                <w:sz w:val="18"/>
                <w:szCs w:val="18"/>
              </w:rPr>
              <w:t>1</w:t>
            </w:r>
            <w:r>
              <w:rPr>
                <w:rFonts w:ascii="Arial" w:eastAsia="仿宋_GB2312" w:hAnsi="Arial" w:cs="Arial" w:hint="eastAsia"/>
                <w:sz w:val="18"/>
                <w:szCs w:val="18"/>
              </w:rPr>
              <w:t>公里范围内有</w:t>
            </w:r>
            <w:r>
              <w:rPr>
                <w:rFonts w:ascii="Arial" w:eastAsia="仿宋_GB2312" w:hAnsi="Arial" w:cs="Arial" w:hint="eastAsia"/>
                <w:sz w:val="18"/>
                <w:szCs w:val="18"/>
              </w:rPr>
              <w:t>850</w:t>
            </w:r>
            <w:r>
              <w:rPr>
                <w:rFonts w:ascii="Arial" w:eastAsia="仿宋_GB2312" w:hAnsi="Arial" w:cs="Arial" w:hint="eastAsia"/>
                <w:sz w:val="18"/>
                <w:szCs w:val="18"/>
              </w:rPr>
              <w:t>路、</w:t>
            </w:r>
            <w:r>
              <w:rPr>
                <w:rFonts w:ascii="Arial" w:eastAsia="仿宋_GB2312" w:hAnsi="Arial" w:cs="Arial" w:hint="eastAsia"/>
                <w:sz w:val="18"/>
                <w:szCs w:val="18"/>
              </w:rPr>
              <w:t>856</w:t>
            </w:r>
            <w:r>
              <w:rPr>
                <w:rFonts w:ascii="Arial" w:eastAsia="仿宋_GB2312" w:hAnsi="Arial" w:cs="Arial" w:hint="eastAsia"/>
                <w:sz w:val="18"/>
                <w:szCs w:val="18"/>
              </w:rPr>
              <w:t>路、</w:t>
            </w:r>
            <w:r>
              <w:rPr>
                <w:rFonts w:ascii="Arial" w:eastAsia="仿宋_GB2312" w:hAnsi="Arial" w:cs="Arial" w:hint="eastAsia"/>
                <w:sz w:val="18"/>
                <w:szCs w:val="18"/>
              </w:rPr>
              <w:t>861</w:t>
            </w:r>
            <w:r>
              <w:rPr>
                <w:rFonts w:ascii="Arial" w:eastAsia="仿宋_GB2312" w:hAnsi="Arial" w:cs="Arial" w:hint="eastAsia"/>
                <w:sz w:val="18"/>
                <w:szCs w:val="18"/>
              </w:rPr>
              <w:t>路、空港</w:t>
            </w:r>
            <w:r>
              <w:rPr>
                <w:rFonts w:ascii="Arial" w:eastAsia="仿宋_GB2312" w:hAnsi="Arial" w:cs="Arial" w:hint="eastAsia"/>
                <w:sz w:val="18"/>
                <w:szCs w:val="18"/>
              </w:rPr>
              <w:t>5</w:t>
            </w:r>
            <w:r>
              <w:rPr>
                <w:rFonts w:ascii="Arial" w:eastAsia="仿宋_GB2312" w:hAnsi="Arial" w:cs="Arial" w:hint="eastAsia"/>
                <w:sz w:val="18"/>
                <w:szCs w:val="18"/>
              </w:rPr>
              <w:t>路、顺</w:t>
            </w:r>
            <w:r>
              <w:rPr>
                <w:rFonts w:ascii="Arial" w:eastAsia="仿宋_GB2312" w:hAnsi="Arial" w:cs="Arial" w:hint="eastAsia"/>
                <w:sz w:val="18"/>
                <w:szCs w:val="18"/>
              </w:rPr>
              <w:t>14</w:t>
            </w:r>
            <w:r>
              <w:rPr>
                <w:rFonts w:ascii="Arial" w:eastAsia="仿宋_GB2312" w:hAnsi="Arial" w:cs="Arial" w:hint="eastAsia"/>
                <w:sz w:val="18"/>
                <w:szCs w:val="18"/>
              </w:rPr>
              <w:t>路、顺</w:t>
            </w:r>
            <w:r>
              <w:rPr>
                <w:rFonts w:ascii="Arial" w:eastAsia="仿宋_GB2312" w:hAnsi="Arial" w:cs="Arial" w:hint="eastAsia"/>
                <w:sz w:val="18"/>
                <w:szCs w:val="18"/>
              </w:rPr>
              <w:t>21</w:t>
            </w:r>
            <w:r>
              <w:rPr>
                <w:rFonts w:ascii="Arial" w:eastAsia="仿宋_GB2312" w:hAnsi="Arial" w:cs="Arial" w:hint="eastAsia"/>
                <w:sz w:val="18"/>
                <w:szCs w:val="18"/>
              </w:rPr>
              <w:t>路、顺</w:t>
            </w:r>
            <w:r>
              <w:rPr>
                <w:rFonts w:ascii="Arial" w:eastAsia="仿宋_GB2312" w:hAnsi="Arial" w:cs="Arial" w:hint="eastAsia"/>
                <w:sz w:val="18"/>
                <w:szCs w:val="18"/>
              </w:rPr>
              <w:t>27</w:t>
            </w:r>
            <w:r>
              <w:rPr>
                <w:rFonts w:ascii="Arial" w:eastAsia="仿宋_GB2312" w:hAnsi="Arial" w:cs="Arial" w:hint="eastAsia"/>
                <w:sz w:val="18"/>
                <w:szCs w:val="18"/>
              </w:rPr>
              <w:t>路等十几条公交线路，区域内交通一般，区域间通达性一般，综合评价交通便捷度一般</w:t>
            </w:r>
          </w:p>
        </w:tc>
        <w:tc>
          <w:tcPr>
            <w:tcW w:w="551" w:type="dxa"/>
            <w:tcBorders>
              <w:top w:val="nil"/>
              <w:left w:val="nil"/>
              <w:bottom w:val="single" w:sz="4" w:space="0" w:color="auto"/>
              <w:right w:val="single" w:sz="4" w:space="0" w:color="auto"/>
            </w:tcBorders>
            <w:shd w:val="clear" w:color="auto" w:fill="auto"/>
            <w:noWrap/>
            <w:vAlign w:val="center"/>
          </w:tcPr>
          <w:p w14:paraId="77DE5B75"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102</w:t>
            </w:r>
          </w:p>
        </w:tc>
      </w:tr>
      <w:tr w:rsidR="0062768B" w14:paraId="6A4F2EA4" w14:textId="77777777">
        <w:trPr>
          <w:cantSplit/>
          <w:jc w:val="center"/>
        </w:trPr>
        <w:tc>
          <w:tcPr>
            <w:tcW w:w="285" w:type="dxa"/>
            <w:vMerge/>
            <w:tcBorders>
              <w:left w:val="single" w:sz="4" w:space="0" w:color="auto"/>
              <w:right w:val="single" w:sz="4" w:space="0" w:color="auto"/>
            </w:tcBorders>
            <w:shd w:val="clear" w:color="auto" w:fill="auto"/>
            <w:vAlign w:val="center"/>
          </w:tcPr>
          <w:p w14:paraId="270345A5" w14:textId="77777777" w:rsidR="0062768B" w:rsidRDefault="0062768B">
            <w:pPr>
              <w:spacing w:line="240" w:lineRule="exact"/>
              <w:jc w:val="center"/>
              <w:rPr>
                <w:rFonts w:ascii="Arial" w:eastAsia="仿宋_GB2312" w:hAnsi="Arial" w:cs="Arial"/>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393A24F"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公共配套设施</w:t>
            </w:r>
          </w:p>
        </w:tc>
        <w:tc>
          <w:tcPr>
            <w:tcW w:w="1418" w:type="dxa"/>
            <w:tcBorders>
              <w:top w:val="nil"/>
              <w:left w:val="nil"/>
              <w:bottom w:val="single" w:sz="4" w:space="0" w:color="auto"/>
              <w:right w:val="single" w:sz="4" w:space="0" w:color="auto"/>
            </w:tcBorders>
            <w:shd w:val="clear" w:color="auto" w:fill="auto"/>
            <w:vAlign w:val="center"/>
          </w:tcPr>
          <w:p w14:paraId="11C68299"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估价对象周边</w:t>
            </w:r>
            <w:r>
              <w:rPr>
                <w:rFonts w:ascii="Arial" w:eastAsia="仿宋_GB2312" w:hAnsi="Arial" w:cs="Arial" w:hint="eastAsia"/>
                <w:sz w:val="18"/>
                <w:szCs w:val="18"/>
              </w:rPr>
              <w:t>2</w:t>
            </w:r>
            <w:r>
              <w:rPr>
                <w:rFonts w:ascii="Arial" w:eastAsia="仿宋_GB2312" w:hAnsi="Arial" w:cs="Arial" w:hint="eastAsia"/>
                <w:sz w:val="18"/>
                <w:szCs w:val="18"/>
              </w:rPr>
              <w:t>公里范围内有北京超天商贸中心、</w:t>
            </w:r>
            <w:proofErr w:type="gramStart"/>
            <w:r>
              <w:rPr>
                <w:rFonts w:ascii="Arial" w:eastAsia="仿宋_GB2312" w:hAnsi="Arial" w:cs="Arial" w:hint="eastAsia"/>
                <w:sz w:val="18"/>
                <w:szCs w:val="18"/>
              </w:rPr>
              <w:t>隆华购物中心</w:t>
            </w:r>
            <w:proofErr w:type="gramEnd"/>
            <w:r>
              <w:rPr>
                <w:rFonts w:ascii="Arial" w:eastAsia="仿宋_GB2312" w:hAnsi="Arial" w:cs="Arial" w:hint="eastAsia"/>
                <w:sz w:val="18"/>
                <w:szCs w:val="18"/>
              </w:rPr>
              <w:t>、社区商业街、</w:t>
            </w:r>
            <w:proofErr w:type="gramStart"/>
            <w:r>
              <w:rPr>
                <w:rFonts w:ascii="Arial" w:eastAsia="仿宋_GB2312" w:hAnsi="Arial" w:cs="Arial" w:hint="eastAsia"/>
                <w:sz w:val="18"/>
                <w:szCs w:val="18"/>
              </w:rPr>
              <w:t>世纪华</w:t>
            </w:r>
            <w:proofErr w:type="gramEnd"/>
            <w:r>
              <w:rPr>
                <w:rFonts w:ascii="Arial" w:eastAsia="仿宋_GB2312" w:hAnsi="Arial" w:cs="Arial" w:hint="eastAsia"/>
                <w:sz w:val="18"/>
                <w:szCs w:val="18"/>
              </w:rPr>
              <w:t>联超市等商业服务设施；北京农商银行张喜庄分理处、北京</w:t>
            </w:r>
            <w:proofErr w:type="gramStart"/>
            <w:r>
              <w:rPr>
                <w:rFonts w:ascii="Arial" w:eastAsia="仿宋_GB2312" w:hAnsi="Arial" w:cs="Arial" w:hint="eastAsia"/>
                <w:sz w:val="18"/>
                <w:szCs w:val="18"/>
              </w:rPr>
              <w:t>顺义银</w:t>
            </w:r>
            <w:proofErr w:type="gramEnd"/>
            <w:r>
              <w:rPr>
                <w:rFonts w:ascii="Arial" w:eastAsia="仿宋_GB2312" w:hAnsi="Arial" w:cs="Arial" w:hint="eastAsia"/>
                <w:sz w:val="18"/>
                <w:szCs w:val="18"/>
              </w:rPr>
              <w:t>座村镇银行高丽营支行、中国邮政储蓄银行</w:t>
            </w:r>
            <w:proofErr w:type="gramStart"/>
            <w:r>
              <w:rPr>
                <w:rFonts w:ascii="Arial" w:eastAsia="仿宋_GB2312" w:hAnsi="Arial" w:cs="Arial" w:hint="eastAsia"/>
                <w:sz w:val="18"/>
                <w:szCs w:val="18"/>
              </w:rPr>
              <w:t>张喜庄邮政储蓄</w:t>
            </w:r>
            <w:proofErr w:type="gramEnd"/>
            <w:r>
              <w:rPr>
                <w:rFonts w:ascii="Arial" w:eastAsia="仿宋_GB2312" w:hAnsi="Arial" w:cs="Arial" w:hint="eastAsia"/>
                <w:sz w:val="18"/>
                <w:szCs w:val="18"/>
              </w:rPr>
              <w:t>等金融机构；高丽营第一幼儿园、高丽营第二小学、高丽营第二中学等教育资源；北京顺义天苑医院、北京市顺义区高丽营镇</w:t>
            </w:r>
            <w:proofErr w:type="gramStart"/>
            <w:r>
              <w:rPr>
                <w:rFonts w:ascii="Arial" w:eastAsia="仿宋_GB2312" w:hAnsi="Arial" w:cs="Arial" w:hint="eastAsia"/>
                <w:sz w:val="18"/>
                <w:szCs w:val="18"/>
              </w:rPr>
              <w:t>张喜庄卫生院</w:t>
            </w:r>
            <w:proofErr w:type="gramEnd"/>
            <w:r>
              <w:rPr>
                <w:rFonts w:ascii="Arial" w:eastAsia="仿宋_GB2312" w:hAnsi="Arial" w:cs="Arial" w:hint="eastAsia"/>
                <w:sz w:val="18"/>
                <w:szCs w:val="18"/>
              </w:rPr>
              <w:t>、北京市顺义区高丽营镇河津营村卫生室等医疗设施，公共配套设施齐备情况一般</w:t>
            </w:r>
          </w:p>
        </w:tc>
        <w:tc>
          <w:tcPr>
            <w:tcW w:w="567" w:type="dxa"/>
            <w:tcBorders>
              <w:top w:val="nil"/>
              <w:left w:val="nil"/>
              <w:bottom w:val="single" w:sz="4" w:space="0" w:color="auto"/>
              <w:right w:val="single" w:sz="4" w:space="0" w:color="auto"/>
            </w:tcBorders>
            <w:shd w:val="clear" w:color="auto" w:fill="auto"/>
            <w:vAlign w:val="center"/>
          </w:tcPr>
          <w:p w14:paraId="078CEF84"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44CD5CD1"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A</w:t>
            </w: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proofErr w:type="gramStart"/>
            <w:r>
              <w:rPr>
                <w:rFonts w:ascii="Arial" w:eastAsia="仿宋_GB2312" w:hAnsi="Arial" w:cs="Arial" w:hint="eastAsia"/>
                <w:sz w:val="18"/>
                <w:szCs w:val="18"/>
              </w:rPr>
              <w:t>商业观承汇</w:t>
            </w:r>
            <w:proofErr w:type="gramEnd"/>
            <w:r>
              <w:rPr>
                <w:rFonts w:ascii="Arial" w:eastAsia="仿宋_GB2312" w:hAnsi="Arial" w:cs="Arial" w:hint="eastAsia"/>
                <w:sz w:val="18"/>
                <w:szCs w:val="18"/>
              </w:rPr>
              <w:t>商业街、社区商业街、</w:t>
            </w:r>
            <w:proofErr w:type="gramStart"/>
            <w:r>
              <w:rPr>
                <w:rFonts w:ascii="Arial" w:eastAsia="仿宋_GB2312" w:hAnsi="Arial" w:cs="Arial" w:hint="eastAsia"/>
                <w:sz w:val="18"/>
                <w:szCs w:val="18"/>
              </w:rPr>
              <w:t>世纪华</w:t>
            </w:r>
            <w:proofErr w:type="gramEnd"/>
            <w:r>
              <w:rPr>
                <w:rFonts w:ascii="Arial" w:eastAsia="仿宋_GB2312" w:hAnsi="Arial" w:cs="Arial" w:hint="eastAsia"/>
                <w:sz w:val="18"/>
                <w:szCs w:val="18"/>
              </w:rPr>
              <w:t>联超市等商业服务设施；</w:t>
            </w:r>
            <w:r>
              <w:rPr>
                <w:rFonts w:ascii="Arial" w:eastAsia="仿宋_GB2312" w:hAnsi="Arial" w:cs="Arial" w:hint="eastAsia"/>
                <w:sz w:val="18"/>
                <w:szCs w:val="18"/>
              </w:rPr>
              <w:t xml:space="preserve"> VKINGBANK</w:t>
            </w:r>
            <w:r>
              <w:rPr>
                <w:rFonts w:ascii="Arial" w:eastAsia="仿宋_GB2312" w:hAnsi="Arial" w:cs="Arial" w:hint="eastAsia"/>
                <w:sz w:val="18"/>
                <w:szCs w:val="18"/>
              </w:rPr>
              <w:t>、中国农业银行北京未来科学城支行、中国银行北京北七家支行、中国工商银行北京未来科学城支行等金融机构；北京市顺义区高丽营第三幼儿园、未来科技城第一小学等教育资源；北京顺义天苑医院、北京市顺义区高丽营镇</w:t>
            </w:r>
            <w:proofErr w:type="gramStart"/>
            <w:r>
              <w:rPr>
                <w:rFonts w:ascii="Arial" w:eastAsia="仿宋_GB2312" w:hAnsi="Arial" w:cs="Arial" w:hint="eastAsia"/>
                <w:sz w:val="18"/>
                <w:szCs w:val="18"/>
              </w:rPr>
              <w:t>张喜庄卫生院</w:t>
            </w:r>
            <w:proofErr w:type="gramEnd"/>
            <w:r>
              <w:rPr>
                <w:rFonts w:ascii="Arial" w:eastAsia="仿宋_GB2312" w:hAnsi="Arial" w:cs="Arial" w:hint="eastAsia"/>
                <w:sz w:val="18"/>
                <w:szCs w:val="18"/>
              </w:rPr>
              <w:t>、北京市顺义区高丽营镇河津营村卫生室等医疗设施，公共配套设施齐备情况一般</w:t>
            </w:r>
          </w:p>
        </w:tc>
        <w:tc>
          <w:tcPr>
            <w:tcW w:w="757" w:type="dxa"/>
            <w:tcBorders>
              <w:top w:val="nil"/>
              <w:left w:val="nil"/>
              <w:bottom w:val="single" w:sz="4" w:space="0" w:color="auto"/>
              <w:right w:val="single" w:sz="4" w:space="0" w:color="auto"/>
            </w:tcBorders>
            <w:shd w:val="clear" w:color="auto" w:fill="auto"/>
            <w:vAlign w:val="center"/>
          </w:tcPr>
          <w:p w14:paraId="156E8ACE"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74" w:type="dxa"/>
            <w:tcBorders>
              <w:top w:val="nil"/>
              <w:left w:val="nil"/>
              <w:bottom w:val="single" w:sz="4" w:space="0" w:color="auto"/>
              <w:right w:val="single" w:sz="4" w:space="0" w:color="auto"/>
            </w:tcBorders>
            <w:shd w:val="clear" w:color="auto" w:fill="auto"/>
            <w:vAlign w:val="center"/>
          </w:tcPr>
          <w:p w14:paraId="4CCFC23F"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B</w:t>
            </w:r>
            <w:r>
              <w:rPr>
                <w:rFonts w:ascii="Arial" w:eastAsia="仿宋_GB2312" w:hAnsi="Arial" w:cs="Arial" w:hint="eastAsia"/>
                <w:sz w:val="18"/>
                <w:szCs w:val="18"/>
              </w:rPr>
              <w:t>所在区域有高丽营第二幼儿园、北京市顺义区高丽</w:t>
            </w:r>
            <w:proofErr w:type="gramStart"/>
            <w:r>
              <w:rPr>
                <w:rFonts w:ascii="Arial" w:eastAsia="仿宋_GB2312" w:hAnsi="Arial" w:cs="Arial" w:hint="eastAsia"/>
                <w:sz w:val="18"/>
                <w:szCs w:val="18"/>
              </w:rPr>
              <w:t>营学校</w:t>
            </w:r>
            <w:proofErr w:type="gramEnd"/>
            <w:r>
              <w:rPr>
                <w:rFonts w:ascii="Arial" w:eastAsia="仿宋_GB2312" w:hAnsi="Arial" w:cs="Arial" w:hint="eastAsia"/>
                <w:sz w:val="18"/>
                <w:szCs w:val="18"/>
              </w:rPr>
              <w:t>等教育资源；有中国邮政储蓄银行（高丽营支行）、北京农商银行（高丽营支行）、中国邮政（高丽营邮政所）等金融机构；有高丽营农贸市场、高丽营大集等商业服务设施；有北京市顺义区高丽营镇卫生院等医疗设施，公共服务设施齐备度一般</w:t>
            </w:r>
            <w:r>
              <w:rPr>
                <w:rFonts w:ascii="Arial" w:eastAsia="仿宋_GB2312" w:hAnsi="Arial" w:cs="Arial"/>
                <w:sz w:val="18"/>
                <w:szCs w:val="18"/>
              </w:rPr>
              <w:t>。</w:t>
            </w:r>
          </w:p>
        </w:tc>
        <w:tc>
          <w:tcPr>
            <w:tcW w:w="551" w:type="dxa"/>
            <w:tcBorders>
              <w:top w:val="nil"/>
              <w:left w:val="nil"/>
              <w:bottom w:val="single" w:sz="4" w:space="0" w:color="auto"/>
              <w:right w:val="single" w:sz="4" w:space="0" w:color="auto"/>
            </w:tcBorders>
            <w:shd w:val="clear" w:color="auto" w:fill="auto"/>
            <w:vAlign w:val="center"/>
          </w:tcPr>
          <w:p w14:paraId="595BDAAE"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02" w:type="dxa"/>
            <w:tcBorders>
              <w:top w:val="nil"/>
              <w:left w:val="nil"/>
              <w:bottom w:val="single" w:sz="4" w:space="0" w:color="auto"/>
              <w:right w:val="single" w:sz="4" w:space="0" w:color="auto"/>
            </w:tcBorders>
            <w:shd w:val="clear" w:color="auto" w:fill="auto"/>
            <w:vAlign w:val="center"/>
          </w:tcPr>
          <w:p w14:paraId="33E11F5A"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C</w:t>
            </w: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公里范围内有中建·</w:t>
            </w:r>
            <w:proofErr w:type="gramStart"/>
            <w:r>
              <w:rPr>
                <w:rFonts w:ascii="Arial" w:eastAsia="仿宋_GB2312" w:hAnsi="Arial" w:cs="Arial" w:hint="eastAsia"/>
                <w:sz w:val="18"/>
                <w:szCs w:val="18"/>
              </w:rPr>
              <w:t>鲲熙汇</w:t>
            </w:r>
            <w:proofErr w:type="gramEnd"/>
            <w:r>
              <w:rPr>
                <w:rFonts w:ascii="Arial" w:eastAsia="仿宋_GB2312" w:hAnsi="Arial" w:cs="Arial" w:hint="eastAsia"/>
                <w:sz w:val="18"/>
                <w:szCs w:val="18"/>
              </w:rPr>
              <w:t>LOMO</w:t>
            </w:r>
            <w:r>
              <w:rPr>
                <w:rFonts w:ascii="Arial" w:eastAsia="仿宋_GB2312" w:hAnsi="Arial" w:cs="Arial" w:hint="eastAsia"/>
                <w:sz w:val="18"/>
                <w:szCs w:val="18"/>
              </w:rPr>
              <w:t>、社区商业街、</w:t>
            </w:r>
            <w:proofErr w:type="gramStart"/>
            <w:r>
              <w:rPr>
                <w:rFonts w:ascii="Arial" w:eastAsia="仿宋_GB2312" w:hAnsi="Arial" w:cs="Arial" w:hint="eastAsia"/>
                <w:sz w:val="18"/>
                <w:szCs w:val="18"/>
              </w:rPr>
              <w:t>鑫</w:t>
            </w:r>
            <w:proofErr w:type="gramEnd"/>
            <w:r>
              <w:rPr>
                <w:rFonts w:ascii="Arial" w:eastAsia="仿宋_GB2312" w:hAnsi="Arial" w:cs="Arial" w:hint="eastAsia"/>
                <w:sz w:val="18"/>
                <w:szCs w:val="18"/>
              </w:rPr>
              <w:t>绿都生活超市</w:t>
            </w:r>
            <w:r>
              <w:rPr>
                <w:rFonts w:ascii="Arial" w:eastAsia="仿宋_GB2312" w:hAnsi="Arial" w:cs="Arial" w:hint="eastAsia"/>
                <w:sz w:val="18"/>
                <w:szCs w:val="18"/>
              </w:rPr>
              <w:t>NO.004</w:t>
            </w:r>
            <w:r>
              <w:rPr>
                <w:rFonts w:ascii="Arial" w:eastAsia="仿宋_GB2312" w:hAnsi="Arial" w:cs="Arial" w:hint="eastAsia"/>
                <w:sz w:val="18"/>
                <w:szCs w:val="18"/>
              </w:rPr>
              <w:t>西</w:t>
            </w:r>
            <w:proofErr w:type="gramStart"/>
            <w:r>
              <w:rPr>
                <w:rFonts w:ascii="Arial" w:eastAsia="仿宋_GB2312" w:hAnsi="Arial" w:cs="Arial" w:hint="eastAsia"/>
                <w:sz w:val="18"/>
                <w:szCs w:val="18"/>
              </w:rPr>
              <w:t>马坡店等</w:t>
            </w:r>
            <w:proofErr w:type="gramEnd"/>
            <w:r>
              <w:rPr>
                <w:rFonts w:ascii="Arial" w:eastAsia="仿宋_GB2312" w:hAnsi="Arial" w:cs="Arial" w:hint="eastAsia"/>
                <w:sz w:val="18"/>
                <w:szCs w:val="18"/>
              </w:rPr>
              <w:t>商业服务</w:t>
            </w:r>
            <w:r>
              <w:rPr>
                <w:rFonts w:ascii="Arial" w:eastAsia="仿宋_GB2312" w:hAnsi="Arial" w:cs="Arial"/>
                <w:sz w:val="18"/>
                <w:szCs w:val="18"/>
              </w:rPr>
              <w:t>设施</w:t>
            </w:r>
            <w:r>
              <w:rPr>
                <w:rFonts w:ascii="Arial" w:eastAsia="仿宋_GB2312" w:hAnsi="Arial" w:cs="Arial" w:hint="eastAsia"/>
                <w:sz w:val="18"/>
                <w:szCs w:val="18"/>
              </w:rPr>
              <w:t>；中国民生银行顺义新城支行、中国银行北京马坡支行、中国农业银行北京马坡支行等金融机构；西辛幼儿园橡树</w:t>
            </w:r>
            <w:proofErr w:type="gramStart"/>
            <w:r>
              <w:rPr>
                <w:rFonts w:ascii="Arial" w:eastAsia="仿宋_GB2312" w:hAnsi="Arial" w:cs="Arial" w:hint="eastAsia"/>
                <w:sz w:val="18"/>
                <w:szCs w:val="18"/>
              </w:rPr>
              <w:t>珑</w:t>
            </w:r>
            <w:proofErr w:type="gramEnd"/>
            <w:r>
              <w:rPr>
                <w:rFonts w:ascii="Arial" w:eastAsia="仿宋_GB2312" w:hAnsi="Arial" w:cs="Arial" w:hint="eastAsia"/>
                <w:sz w:val="18"/>
                <w:szCs w:val="18"/>
              </w:rPr>
              <w:t>湾园区、北京市顺义区马坡第一幼儿园、马坡小学、首都师范大学附属小学顺义向阳分院、北京市牛栏山一中实验学校等教育资源；北京中医医院顺义医院、北京顺义区马坡卫生院等医疗设施，公共配套设施齐备情况较好</w:t>
            </w:r>
          </w:p>
        </w:tc>
        <w:tc>
          <w:tcPr>
            <w:tcW w:w="551" w:type="dxa"/>
            <w:tcBorders>
              <w:top w:val="nil"/>
              <w:left w:val="nil"/>
              <w:bottom w:val="single" w:sz="4" w:space="0" w:color="auto"/>
              <w:right w:val="single" w:sz="4" w:space="0" w:color="auto"/>
            </w:tcBorders>
            <w:shd w:val="clear" w:color="auto" w:fill="auto"/>
            <w:noWrap/>
            <w:vAlign w:val="center"/>
          </w:tcPr>
          <w:p w14:paraId="5E7C86E0"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102</w:t>
            </w:r>
          </w:p>
        </w:tc>
      </w:tr>
      <w:tr w:rsidR="0062768B" w14:paraId="42FD5ED2" w14:textId="77777777">
        <w:trPr>
          <w:cantSplit/>
          <w:jc w:val="center"/>
        </w:trPr>
        <w:tc>
          <w:tcPr>
            <w:tcW w:w="285" w:type="dxa"/>
            <w:vMerge w:val="restart"/>
            <w:tcBorders>
              <w:left w:val="single" w:sz="4" w:space="0" w:color="auto"/>
              <w:right w:val="single" w:sz="4" w:space="0" w:color="auto"/>
            </w:tcBorders>
            <w:shd w:val="clear" w:color="auto" w:fill="auto"/>
            <w:vAlign w:val="center"/>
          </w:tcPr>
          <w:p w14:paraId="7ABD3FA9" w14:textId="77777777" w:rsidR="0062768B" w:rsidRDefault="00136729">
            <w:pPr>
              <w:spacing w:line="240" w:lineRule="exact"/>
              <w:jc w:val="center"/>
              <w:rPr>
                <w:rFonts w:ascii="Arial" w:eastAsia="仿宋_GB2312" w:hAnsi="Arial" w:cs="Arial"/>
                <w:sz w:val="18"/>
                <w:szCs w:val="18"/>
              </w:rPr>
            </w:pPr>
            <w:r>
              <w:rPr>
                <w:rFonts w:ascii="Arial" w:eastAsia="仿宋_GB2312" w:hAnsi="Arial" w:cs="Arial"/>
                <w:sz w:val="18"/>
                <w:szCs w:val="18"/>
              </w:rPr>
              <w:lastRenderedPageBreak/>
              <w:t>区域</w:t>
            </w:r>
          </w:p>
          <w:p w14:paraId="494040C9" w14:textId="77777777" w:rsidR="0062768B" w:rsidRDefault="00136729">
            <w:pPr>
              <w:spacing w:line="240" w:lineRule="exact"/>
              <w:jc w:val="center"/>
              <w:rPr>
                <w:rFonts w:ascii="Arial" w:eastAsia="仿宋_GB2312" w:hAnsi="Arial" w:cs="Arial"/>
                <w:sz w:val="18"/>
                <w:szCs w:val="18"/>
              </w:rPr>
            </w:pPr>
            <w:r>
              <w:rPr>
                <w:rFonts w:ascii="Arial" w:eastAsia="仿宋_GB2312" w:hAnsi="Arial" w:cs="Arial"/>
                <w:sz w:val="18"/>
                <w:szCs w:val="18"/>
              </w:rPr>
              <w:t>因素</w:t>
            </w:r>
          </w:p>
          <w:p w14:paraId="41024BBE" w14:textId="77777777" w:rsidR="0062768B" w:rsidRDefault="0062768B">
            <w:pPr>
              <w:spacing w:line="240" w:lineRule="exact"/>
              <w:jc w:val="center"/>
              <w:rPr>
                <w:rFonts w:ascii="Arial" w:eastAsia="仿宋_GB2312" w:hAnsi="Arial" w:cs="Arial"/>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0208102"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红线外基础设施水平</w:t>
            </w:r>
          </w:p>
        </w:tc>
        <w:tc>
          <w:tcPr>
            <w:tcW w:w="1418" w:type="dxa"/>
            <w:tcBorders>
              <w:top w:val="nil"/>
              <w:left w:val="nil"/>
              <w:bottom w:val="single" w:sz="4" w:space="0" w:color="auto"/>
              <w:right w:val="single" w:sz="4" w:space="0" w:color="auto"/>
            </w:tcBorders>
            <w:shd w:val="clear" w:color="auto" w:fill="auto"/>
            <w:vAlign w:val="center"/>
          </w:tcPr>
          <w:p w14:paraId="4A01DA0E" w14:textId="77777777" w:rsidR="0062768B" w:rsidRDefault="00136729">
            <w:pPr>
              <w:widowControl/>
              <w:adjustRightInd/>
              <w:spacing w:line="240" w:lineRule="exact"/>
              <w:jc w:val="both"/>
              <w:textAlignment w:val="auto"/>
              <w:rPr>
                <w:rFonts w:ascii="Arial" w:eastAsia="仿宋_GB2312" w:hAnsi="Arial" w:cs="Arial"/>
                <w:sz w:val="18"/>
                <w:szCs w:val="18"/>
              </w:rPr>
            </w:pPr>
            <w:r>
              <w:rPr>
                <w:rFonts w:ascii="Arial" w:eastAsia="仿宋_GB2312" w:hAnsi="Arial" w:cs="Arial"/>
                <w:sz w:val="18"/>
                <w:szCs w:val="18"/>
              </w:rPr>
              <w:t>估价对象所在区域基础设施水平达到</w:t>
            </w:r>
            <w:r>
              <w:rPr>
                <w:rFonts w:ascii="Arial" w:eastAsia="仿宋_GB2312" w:hAnsi="Arial" w:cs="Arial" w:hint="eastAsia"/>
                <w:sz w:val="18"/>
                <w:szCs w:val="18"/>
              </w:rPr>
              <w:t>七</w:t>
            </w:r>
            <w:r>
              <w:rPr>
                <w:rFonts w:ascii="Arial" w:eastAsia="仿宋_GB2312" w:hAnsi="Arial" w:cs="Arial"/>
                <w:sz w:val="18"/>
                <w:szCs w:val="18"/>
              </w:rPr>
              <w:t>通。</w:t>
            </w:r>
          </w:p>
        </w:tc>
        <w:tc>
          <w:tcPr>
            <w:tcW w:w="567" w:type="dxa"/>
            <w:tcBorders>
              <w:top w:val="nil"/>
              <w:left w:val="nil"/>
              <w:bottom w:val="single" w:sz="4" w:space="0" w:color="auto"/>
              <w:right w:val="single" w:sz="4" w:space="0" w:color="auto"/>
            </w:tcBorders>
            <w:shd w:val="clear" w:color="auto" w:fill="auto"/>
            <w:vAlign w:val="center"/>
          </w:tcPr>
          <w:p w14:paraId="44172AFF" w14:textId="77777777" w:rsidR="0062768B" w:rsidRDefault="00136729">
            <w:pPr>
              <w:widowControl/>
              <w:adjustRightInd/>
              <w:spacing w:line="240" w:lineRule="exact"/>
              <w:jc w:val="both"/>
              <w:textAlignment w:val="auto"/>
              <w:rPr>
                <w:rFonts w:ascii="Arial" w:eastAsia="仿宋_GB2312" w:hAnsi="Arial" w:cs="Arial"/>
                <w:sz w:val="18"/>
                <w:szCs w:val="18"/>
              </w:rPr>
            </w:pPr>
            <w:r>
              <w:rPr>
                <w:rFonts w:ascii="Arial" w:eastAsia="仿宋_GB2312" w:hAnsi="Arial" w:cs="Arial"/>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47D93F4B" w14:textId="77777777" w:rsidR="0062768B" w:rsidRDefault="00136729">
            <w:pPr>
              <w:widowControl/>
              <w:adjustRightInd/>
              <w:spacing w:line="240" w:lineRule="exact"/>
              <w:jc w:val="both"/>
              <w:textAlignment w:val="auto"/>
              <w:rPr>
                <w:rFonts w:ascii="Arial" w:eastAsia="仿宋_GB2312" w:hAnsi="Arial" w:cs="Arial"/>
                <w:sz w:val="18"/>
                <w:szCs w:val="18"/>
              </w:rPr>
            </w:pPr>
            <w:r>
              <w:rPr>
                <w:rFonts w:ascii="Arial" w:eastAsia="仿宋_GB2312" w:hAnsi="Arial" w:cs="Arial" w:hint="eastAsia"/>
                <w:sz w:val="18"/>
                <w:szCs w:val="18"/>
              </w:rPr>
              <w:t>案例</w:t>
            </w:r>
            <w:r>
              <w:rPr>
                <w:rFonts w:ascii="Arial" w:eastAsia="仿宋_GB2312" w:hAnsi="Arial" w:cs="Arial" w:hint="eastAsia"/>
                <w:sz w:val="18"/>
                <w:szCs w:val="18"/>
              </w:rPr>
              <w:t>A</w:t>
            </w:r>
            <w:r>
              <w:rPr>
                <w:rFonts w:ascii="Arial" w:eastAsia="仿宋_GB2312" w:hAnsi="Arial" w:cs="Arial"/>
                <w:sz w:val="18"/>
                <w:szCs w:val="18"/>
              </w:rPr>
              <w:t>所在区域基础设施水平达到</w:t>
            </w:r>
            <w:r>
              <w:rPr>
                <w:rFonts w:ascii="Arial" w:eastAsia="仿宋_GB2312" w:hAnsi="Arial" w:cs="Arial" w:hint="eastAsia"/>
                <w:sz w:val="18"/>
                <w:szCs w:val="18"/>
              </w:rPr>
              <w:t>七</w:t>
            </w:r>
            <w:r>
              <w:rPr>
                <w:rFonts w:ascii="Arial" w:eastAsia="仿宋_GB2312" w:hAnsi="Arial" w:cs="Arial"/>
                <w:sz w:val="18"/>
                <w:szCs w:val="18"/>
              </w:rPr>
              <w:t>通。</w:t>
            </w:r>
          </w:p>
        </w:tc>
        <w:tc>
          <w:tcPr>
            <w:tcW w:w="757" w:type="dxa"/>
            <w:tcBorders>
              <w:top w:val="nil"/>
              <w:left w:val="nil"/>
              <w:bottom w:val="single" w:sz="4" w:space="0" w:color="auto"/>
              <w:right w:val="single" w:sz="4" w:space="0" w:color="auto"/>
            </w:tcBorders>
            <w:shd w:val="clear" w:color="auto" w:fill="auto"/>
            <w:vAlign w:val="center"/>
          </w:tcPr>
          <w:p w14:paraId="745E0519"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0</w:t>
            </w:r>
          </w:p>
        </w:tc>
        <w:tc>
          <w:tcPr>
            <w:tcW w:w="1374" w:type="dxa"/>
            <w:tcBorders>
              <w:top w:val="nil"/>
              <w:left w:val="nil"/>
              <w:bottom w:val="single" w:sz="4" w:space="0" w:color="auto"/>
              <w:right w:val="single" w:sz="4" w:space="0" w:color="auto"/>
            </w:tcBorders>
            <w:shd w:val="clear" w:color="auto" w:fill="auto"/>
            <w:vAlign w:val="center"/>
          </w:tcPr>
          <w:p w14:paraId="55F67CA7" w14:textId="77777777" w:rsidR="0062768B" w:rsidRDefault="00136729">
            <w:pPr>
              <w:widowControl/>
              <w:adjustRightInd/>
              <w:spacing w:line="240" w:lineRule="exact"/>
              <w:jc w:val="both"/>
              <w:textAlignment w:val="auto"/>
              <w:rPr>
                <w:rFonts w:ascii="Arial" w:eastAsia="仿宋_GB2312" w:hAnsi="Arial" w:cs="Arial"/>
                <w:sz w:val="18"/>
                <w:szCs w:val="18"/>
              </w:rPr>
            </w:pPr>
            <w:r>
              <w:rPr>
                <w:rFonts w:ascii="Arial" w:eastAsia="仿宋_GB2312" w:hAnsi="Arial" w:cs="Arial" w:hint="eastAsia"/>
                <w:sz w:val="18"/>
                <w:szCs w:val="18"/>
              </w:rPr>
              <w:t>案例</w:t>
            </w:r>
            <w:r>
              <w:rPr>
                <w:rFonts w:ascii="Arial" w:eastAsia="仿宋_GB2312" w:hAnsi="Arial" w:cs="Arial" w:hint="eastAsia"/>
                <w:sz w:val="18"/>
                <w:szCs w:val="18"/>
              </w:rPr>
              <w:t>B</w:t>
            </w:r>
            <w:r>
              <w:rPr>
                <w:rFonts w:ascii="Arial" w:eastAsia="仿宋_GB2312" w:hAnsi="Arial" w:cs="Arial"/>
                <w:sz w:val="18"/>
                <w:szCs w:val="18"/>
              </w:rPr>
              <w:t>所在区域基础设施水平达到</w:t>
            </w:r>
            <w:r>
              <w:rPr>
                <w:rFonts w:ascii="Arial" w:eastAsia="仿宋_GB2312" w:hAnsi="Arial" w:cs="Arial" w:hint="eastAsia"/>
                <w:sz w:val="18"/>
                <w:szCs w:val="18"/>
              </w:rPr>
              <w:t>七</w:t>
            </w:r>
            <w:r>
              <w:rPr>
                <w:rFonts w:ascii="Arial" w:eastAsia="仿宋_GB2312" w:hAnsi="Arial" w:cs="Arial"/>
                <w:sz w:val="18"/>
                <w:szCs w:val="18"/>
              </w:rPr>
              <w:t>通。</w:t>
            </w:r>
          </w:p>
        </w:tc>
        <w:tc>
          <w:tcPr>
            <w:tcW w:w="551" w:type="dxa"/>
            <w:tcBorders>
              <w:top w:val="nil"/>
              <w:left w:val="nil"/>
              <w:bottom w:val="single" w:sz="4" w:space="0" w:color="auto"/>
              <w:right w:val="single" w:sz="4" w:space="0" w:color="auto"/>
            </w:tcBorders>
            <w:shd w:val="clear" w:color="auto" w:fill="auto"/>
            <w:vAlign w:val="center"/>
          </w:tcPr>
          <w:p w14:paraId="6C18F426"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0</w:t>
            </w:r>
          </w:p>
        </w:tc>
        <w:tc>
          <w:tcPr>
            <w:tcW w:w="1302" w:type="dxa"/>
            <w:tcBorders>
              <w:top w:val="nil"/>
              <w:left w:val="nil"/>
              <w:bottom w:val="single" w:sz="4" w:space="0" w:color="auto"/>
              <w:right w:val="single" w:sz="4" w:space="0" w:color="auto"/>
            </w:tcBorders>
            <w:shd w:val="clear" w:color="auto" w:fill="auto"/>
            <w:vAlign w:val="center"/>
          </w:tcPr>
          <w:p w14:paraId="145B3BB6"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案例</w:t>
            </w:r>
            <w:r>
              <w:rPr>
                <w:rFonts w:ascii="Arial" w:eastAsia="仿宋_GB2312" w:hAnsi="Arial" w:cs="Arial"/>
                <w:sz w:val="18"/>
                <w:szCs w:val="18"/>
              </w:rPr>
              <w:t>C</w:t>
            </w:r>
            <w:r>
              <w:rPr>
                <w:rFonts w:ascii="Arial" w:eastAsia="仿宋_GB2312" w:hAnsi="Arial" w:cs="Arial"/>
                <w:sz w:val="18"/>
                <w:szCs w:val="18"/>
              </w:rPr>
              <w:t>所在区域基础设施水平达到</w:t>
            </w:r>
            <w:r>
              <w:rPr>
                <w:rFonts w:ascii="Arial" w:eastAsia="仿宋_GB2312" w:hAnsi="Arial" w:cs="Arial" w:hint="eastAsia"/>
                <w:sz w:val="18"/>
                <w:szCs w:val="18"/>
              </w:rPr>
              <w:t>七</w:t>
            </w:r>
            <w:r>
              <w:rPr>
                <w:rFonts w:ascii="Arial" w:eastAsia="仿宋_GB2312" w:hAnsi="Arial" w:cs="Arial"/>
                <w:sz w:val="18"/>
                <w:szCs w:val="18"/>
              </w:rPr>
              <w:t>通。</w:t>
            </w:r>
          </w:p>
        </w:tc>
        <w:tc>
          <w:tcPr>
            <w:tcW w:w="551" w:type="dxa"/>
            <w:tcBorders>
              <w:top w:val="nil"/>
              <w:left w:val="nil"/>
              <w:bottom w:val="single" w:sz="4" w:space="0" w:color="auto"/>
              <w:right w:val="single" w:sz="4" w:space="0" w:color="auto"/>
            </w:tcBorders>
            <w:shd w:val="clear" w:color="auto" w:fill="auto"/>
            <w:noWrap/>
            <w:vAlign w:val="center"/>
          </w:tcPr>
          <w:p w14:paraId="0B0E69CC"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0</w:t>
            </w:r>
          </w:p>
        </w:tc>
      </w:tr>
      <w:tr w:rsidR="0062768B" w14:paraId="08EE5E88" w14:textId="77777777">
        <w:trPr>
          <w:cantSplit/>
          <w:jc w:val="center"/>
        </w:trPr>
        <w:tc>
          <w:tcPr>
            <w:tcW w:w="285" w:type="dxa"/>
            <w:vMerge/>
            <w:tcBorders>
              <w:left w:val="single" w:sz="4" w:space="0" w:color="auto"/>
              <w:right w:val="single" w:sz="4" w:space="0" w:color="auto"/>
            </w:tcBorders>
            <w:shd w:val="clear" w:color="auto" w:fill="auto"/>
            <w:vAlign w:val="center"/>
          </w:tcPr>
          <w:p w14:paraId="0D2B8279" w14:textId="77777777" w:rsidR="0062768B" w:rsidRDefault="0062768B">
            <w:pPr>
              <w:spacing w:line="240" w:lineRule="exact"/>
              <w:jc w:val="center"/>
              <w:rPr>
                <w:rFonts w:ascii="Arial" w:eastAsia="仿宋_GB2312" w:hAnsi="Arial" w:cs="Arial"/>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93909D0"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环境质量</w:t>
            </w:r>
          </w:p>
        </w:tc>
        <w:tc>
          <w:tcPr>
            <w:tcW w:w="1418" w:type="dxa"/>
            <w:tcBorders>
              <w:top w:val="nil"/>
              <w:left w:val="nil"/>
              <w:bottom w:val="single" w:sz="4" w:space="0" w:color="auto"/>
              <w:right w:val="single" w:sz="4" w:space="0" w:color="auto"/>
            </w:tcBorders>
            <w:shd w:val="clear" w:color="auto" w:fill="auto"/>
            <w:vAlign w:val="center"/>
          </w:tcPr>
          <w:p w14:paraId="7C3A50B1"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估价对位于北京市顺义区高丽营镇夏县营村，周边</w:t>
            </w:r>
            <w:r>
              <w:rPr>
                <w:rFonts w:ascii="Arial" w:eastAsia="仿宋_GB2312" w:hAnsi="Arial" w:cs="Arial" w:hint="eastAsia"/>
                <w:sz w:val="18"/>
                <w:szCs w:val="18"/>
              </w:rPr>
              <w:t>2</w:t>
            </w:r>
            <w:r>
              <w:rPr>
                <w:rFonts w:ascii="Arial" w:eastAsia="仿宋_GB2312" w:hAnsi="Arial" w:cs="Arial" w:hint="eastAsia"/>
                <w:sz w:val="18"/>
                <w:szCs w:val="18"/>
              </w:rPr>
              <w:t>公里南郎中休闲公园、口袋公园、方氏渠等自然环境；无人文环境；综合评价环境状况一般。</w:t>
            </w:r>
          </w:p>
        </w:tc>
        <w:tc>
          <w:tcPr>
            <w:tcW w:w="567" w:type="dxa"/>
            <w:tcBorders>
              <w:top w:val="nil"/>
              <w:left w:val="nil"/>
              <w:bottom w:val="single" w:sz="4" w:space="0" w:color="auto"/>
              <w:right w:val="single" w:sz="4" w:space="0" w:color="auto"/>
            </w:tcBorders>
            <w:shd w:val="clear" w:color="auto" w:fill="auto"/>
            <w:vAlign w:val="center"/>
          </w:tcPr>
          <w:p w14:paraId="64369839"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1D7AC1B7"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案例</w:t>
            </w:r>
            <w:r>
              <w:rPr>
                <w:rFonts w:ascii="Arial" w:eastAsia="仿宋_GB2312" w:hAnsi="Arial" w:cs="Arial" w:hint="eastAsia"/>
                <w:sz w:val="18"/>
                <w:szCs w:val="18"/>
              </w:rPr>
              <w:t>A</w:t>
            </w:r>
            <w:r>
              <w:rPr>
                <w:rFonts w:ascii="Arial" w:eastAsia="仿宋_GB2312" w:hAnsi="Arial" w:cs="Arial" w:hint="eastAsia"/>
                <w:sz w:val="18"/>
                <w:szCs w:val="18"/>
              </w:rPr>
              <w:t>周边有北京温榆河公园、鹿鸣公园、温榆河；无人文环境；综合评价环境状况较好</w:t>
            </w:r>
          </w:p>
        </w:tc>
        <w:tc>
          <w:tcPr>
            <w:tcW w:w="757" w:type="dxa"/>
            <w:tcBorders>
              <w:top w:val="nil"/>
              <w:left w:val="nil"/>
              <w:bottom w:val="single" w:sz="4" w:space="0" w:color="auto"/>
              <w:right w:val="single" w:sz="4" w:space="0" w:color="auto"/>
            </w:tcBorders>
            <w:shd w:val="clear" w:color="auto" w:fill="auto"/>
            <w:vAlign w:val="center"/>
          </w:tcPr>
          <w:p w14:paraId="09663864"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102</w:t>
            </w:r>
          </w:p>
        </w:tc>
        <w:tc>
          <w:tcPr>
            <w:tcW w:w="1374" w:type="dxa"/>
            <w:tcBorders>
              <w:top w:val="nil"/>
              <w:left w:val="nil"/>
              <w:bottom w:val="single" w:sz="4" w:space="0" w:color="auto"/>
              <w:right w:val="single" w:sz="4" w:space="0" w:color="auto"/>
            </w:tcBorders>
            <w:shd w:val="clear" w:color="auto" w:fill="auto"/>
            <w:vAlign w:val="center"/>
          </w:tcPr>
          <w:p w14:paraId="318DFC91"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案例</w:t>
            </w:r>
            <w:r>
              <w:rPr>
                <w:rFonts w:ascii="Arial" w:eastAsia="仿宋_GB2312" w:hAnsi="Arial" w:cs="Arial"/>
                <w:sz w:val="18"/>
                <w:szCs w:val="18"/>
              </w:rPr>
              <w:t>B</w:t>
            </w:r>
            <w:r>
              <w:rPr>
                <w:rFonts w:ascii="Arial" w:eastAsia="仿宋_GB2312" w:hAnsi="Arial" w:cs="Arial" w:hint="eastAsia"/>
                <w:sz w:val="18"/>
                <w:szCs w:val="18"/>
              </w:rPr>
              <w:t>周边</w:t>
            </w:r>
            <w:r>
              <w:rPr>
                <w:rFonts w:ascii="Arial" w:eastAsia="仿宋_GB2312" w:hAnsi="Arial" w:cs="Arial" w:hint="eastAsia"/>
                <w:sz w:val="18"/>
                <w:szCs w:val="18"/>
              </w:rPr>
              <w:t>3</w:t>
            </w:r>
            <w:r>
              <w:rPr>
                <w:rFonts w:ascii="Arial" w:eastAsia="仿宋_GB2312" w:hAnsi="Arial" w:cs="Arial" w:hint="eastAsia"/>
                <w:sz w:val="18"/>
                <w:szCs w:val="18"/>
              </w:rPr>
              <w:t>公里范围公园绿化较少，绿化条件较差；人文场所较少。周边</w:t>
            </w:r>
            <w:r>
              <w:rPr>
                <w:rFonts w:ascii="Arial" w:eastAsia="仿宋_GB2312" w:hAnsi="Arial" w:cs="Arial" w:hint="eastAsia"/>
                <w:sz w:val="18"/>
                <w:szCs w:val="18"/>
              </w:rPr>
              <w:t>2</w:t>
            </w:r>
            <w:r>
              <w:rPr>
                <w:rFonts w:ascii="Arial" w:eastAsia="仿宋_GB2312" w:hAnsi="Arial" w:cs="Arial" w:hint="eastAsia"/>
                <w:sz w:val="18"/>
                <w:szCs w:val="18"/>
              </w:rPr>
              <w:t>公里内有光华集团产业园、七</w:t>
            </w:r>
            <w:proofErr w:type="gramStart"/>
            <w:r>
              <w:rPr>
                <w:rFonts w:ascii="Arial" w:eastAsia="仿宋_GB2312" w:hAnsi="Arial" w:cs="Arial" w:hint="eastAsia"/>
                <w:sz w:val="18"/>
                <w:szCs w:val="18"/>
              </w:rPr>
              <w:t>粹</w:t>
            </w:r>
            <w:proofErr w:type="gramEnd"/>
            <w:r>
              <w:rPr>
                <w:rFonts w:ascii="Arial" w:eastAsia="仿宋_GB2312" w:hAnsi="Arial" w:cs="Arial" w:hint="eastAsia"/>
                <w:sz w:val="18"/>
                <w:szCs w:val="18"/>
              </w:rPr>
              <w:t>文化创意产业园等产业园区。综合考虑自然环境与人文环境较差。</w:t>
            </w:r>
          </w:p>
        </w:tc>
        <w:tc>
          <w:tcPr>
            <w:tcW w:w="551" w:type="dxa"/>
            <w:tcBorders>
              <w:top w:val="nil"/>
              <w:left w:val="nil"/>
              <w:bottom w:val="single" w:sz="4" w:space="0" w:color="auto"/>
              <w:right w:val="single" w:sz="4" w:space="0" w:color="auto"/>
            </w:tcBorders>
            <w:shd w:val="clear" w:color="auto" w:fill="auto"/>
            <w:vAlign w:val="center"/>
          </w:tcPr>
          <w:p w14:paraId="2F1F0EE8"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98</w:t>
            </w:r>
          </w:p>
        </w:tc>
        <w:tc>
          <w:tcPr>
            <w:tcW w:w="1302" w:type="dxa"/>
            <w:tcBorders>
              <w:top w:val="nil"/>
              <w:left w:val="nil"/>
              <w:bottom w:val="single" w:sz="4" w:space="0" w:color="auto"/>
              <w:right w:val="single" w:sz="4" w:space="0" w:color="auto"/>
            </w:tcBorders>
            <w:shd w:val="clear" w:color="auto" w:fill="auto"/>
            <w:vAlign w:val="center"/>
          </w:tcPr>
          <w:p w14:paraId="558BB804"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案例</w:t>
            </w:r>
            <w:r>
              <w:rPr>
                <w:rFonts w:ascii="Arial" w:eastAsia="仿宋_GB2312" w:hAnsi="Arial" w:cs="Arial"/>
                <w:sz w:val="18"/>
                <w:szCs w:val="18"/>
              </w:rPr>
              <w:t>C</w:t>
            </w:r>
            <w:r>
              <w:rPr>
                <w:rFonts w:ascii="Arial" w:eastAsia="仿宋_GB2312" w:hAnsi="Arial" w:cs="Arial" w:hint="eastAsia"/>
                <w:sz w:val="18"/>
                <w:szCs w:val="18"/>
              </w:rPr>
              <w:t>周边有马坡千亩森林公园、潮白河；无人文环境；综合评价环境状况好</w:t>
            </w:r>
          </w:p>
        </w:tc>
        <w:tc>
          <w:tcPr>
            <w:tcW w:w="551" w:type="dxa"/>
            <w:tcBorders>
              <w:top w:val="nil"/>
              <w:left w:val="nil"/>
              <w:bottom w:val="single" w:sz="4" w:space="0" w:color="auto"/>
              <w:right w:val="single" w:sz="4" w:space="0" w:color="auto"/>
            </w:tcBorders>
            <w:shd w:val="clear" w:color="auto" w:fill="auto"/>
            <w:noWrap/>
            <w:vAlign w:val="center"/>
          </w:tcPr>
          <w:p w14:paraId="6C1F5435"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104</w:t>
            </w:r>
          </w:p>
        </w:tc>
      </w:tr>
      <w:tr w:rsidR="0062768B" w14:paraId="762C2B58" w14:textId="77777777">
        <w:trPr>
          <w:cantSplit/>
          <w:jc w:val="center"/>
        </w:trPr>
        <w:tc>
          <w:tcPr>
            <w:tcW w:w="285" w:type="dxa"/>
            <w:tcBorders>
              <w:left w:val="single" w:sz="4" w:space="0" w:color="auto"/>
              <w:right w:val="single" w:sz="4" w:space="0" w:color="auto"/>
            </w:tcBorders>
            <w:shd w:val="clear" w:color="auto" w:fill="auto"/>
            <w:vAlign w:val="center"/>
          </w:tcPr>
          <w:p w14:paraId="3BAD42D3" w14:textId="77777777" w:rsidR="0062768B" w:rsidRDefault="0062768B">
            <w:pPr>
              <w:spacing w:line="240" w:lineRule="exact"/>
              <w:jc w:val="center"/>
              <w:rPr>
                <w:rFonts w:ascii="Arial" w:eastAsia="仿宋_GB2312" w:hAnsi="Arial" w:cs="Arial"/>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0E97412"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道路级别</w:t>
            </w:r>
          </w:p>
        </w:tc>
        <w:tc>
          <w:tcPr>
            <w:tcW w:w="1418" w:type="dxa"/>
            <w:tcBorders>
              <w:top w:val="nil"/>
              <w:left w:val="nil"/>
              <w:bottom w:val="single" w:sz="4" w:space="0" w:color="auto"/>
              <w:right w:val="single" w:sz="4" w:space="0" w:color="auto"/>
            </w:tcBorders>
            <w:shd w:val="clear" w:color="auto" w:fill="auto"/>
            <w:vAlign w:val="center"/>
          </w:tcPr>
          <w:p w14:paraId="17167ABB"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城市主干道—</w:t>
            </w:r>
            <w:proofErr w:type="gramStart"/>
            <w:r>
              <w:rPr>
                <w:rFonts w:ascii="Arial" w:eastAsia="仿宋_GB2312" w:hAnsi="Arial" w:cs="Arial" w:hint="eastAsia"/>
                <w:sz w:val="18"/>
                <w:szCs w:val="18"/>
              </w:rPr>
              <w:t>火寺路</w:t>
            </w:r>
            <w:proofErr w:type="gramEnd"/>
          </w:p>
        </w:tc>
        <w:tc>
          <w:tcPr>
            <w:tcW w:w="567" w:type="dxa"/>
            <w:tcBorders>
              <w:top w:val="nil"/>
              <w:left w:val="nil"/>
              <w:bottom w:val="single" w:sz="4" w:space="0" w:color="auto"/>
              <w:right w:val="single" w:sz="4" w:space="0" w:color="auto"/>
            </w:tcBorders>
            <w:shd w:val="clear" w:color="auto" w:fill="auto"/>
            <w:vAlign w:val="center"/>
          </w:tcPr>
          <w:p w14:paraId="546F2782"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474B87D2"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城市次干道—于庄南街</w:t>
            </w:r>
          </w:p>
        </w:tc>
        <w:tc>
          <w:tcPr>
            <w:tcW w:w="757" w:type="dxa"/>
            <w:tcBorders>
              <w:top w:val="nil"/>
              <w:left w:val="nil"/>
              <w:bottom w:val="single" w:sz="4" w:space="0" w:color="auto"/>
              <w:right w:val="single" w:sz="4" w:space="0" w:color="auto"/>
            </w:tcBorders>
            <w:shd w:val="clear" w:color="auto" w:fill="auto"/>
            <w:vAlign w:val="center"/>
          </w:tcPr>
          <w:p w14:paraId="37A66080"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98.5</w:t>
            </w:r>
          </w:p>
        </w:tc>
        <w:tc>
          <w:tcPr>
            <w:tcW w:w="1374" w:type="dxa"/>
            <w:tcBorders>
              <w:top w:val="nil"/>
              <w:left w:val="nil"/>
              <w:bottom w:val="single" w:sz="4" w:space="0" w:color="auto"/>
              <w:right w:val="single" w:sz="4" w:space="0" w:color="auto"/>
            </w:tcBorders>
            <w:shd w:val="clear" w:color="auto" w:fill="auto"/>
            <w:vAlign w:val="center"/>
          </w:tcPr>
          <w:p w14:paraId="04D0E6D8"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城市次干道—高白路</w:t>
            </w:r>
          </w:p>
        </w:tc>
        <w:tc>
          <w:tcPr>
            <w:tcW w:w="551" w:type="dxa"/>
            <w:tcBorders>
              <w:top w:val="nil"/>
              <w:left w:val="nil"/>
              <w:bottom w:val="single" w:sz="4" w:space="0" w:color="auto"/>
              <w:right w:val="single" w:sz="4" w:space="0" w:color="auto"/>
            </w:tcBorders>
            <w:shd w:val="clear" w:color="auto" w:fill="auto"/>
            <w:vAlign w:val="center"/>
          </w:tcPr>
          <w:p w14:paraId="5D34A5DD"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98.5</w:t>
            </w:r>
          </w:p>
        </w:tc>
        <w:tc>
          <w:tcPr>
            <w:tcW w:w="1302" w:type="dxa"/>
            <w:tcBorders>
              <w:top w:val="nil"/>
              <w:left w:val="nil"/>
              <w:bottom w:val="single" w:sz="4" w:space="0" w:color="auto"/>
              <w:right w:val="single" w:sz="4" w:space="0" w:color="auto"/>
            </w:tcBorders>
            <w:shd w:val="clear" w:color="auto" w:fill="auto"/>
            <w:vAlign w:val="center"/>
          </w:tcPr>
          <w:p w14:paraId="47CBEE5E"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城市主干道—通顺路</w:t>
            </w:r>
          </w:p>
        </w:tc>
        <w:tc>
          <w:tcPr>
            <w:tcW w:w="551" w:type="dxa"/>
            <w:tcBorders>
              <w:top w:val="nil"/>
              <w:left w:val="nil"/>
              <w:bottom w:val="single" w:sz="4" w:space="0" w:color="auto"/>
              <w:right w:val="single" w:sz="4" w:space="0" w:color="auto"/>
            </w:tcBorders>
            <w:shd w:val="clear" w:color="auto" w:fill="auto"/>
            <w:noWrap/>
            <w:vAlign w:val="center"/>
          </w:tcPr>
          <w:p w14:paraId="7584793E"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r>
      <w:tr w:rsidR="0062768B" w14:paraId="603B845D" w14:textId="77777777">
        <w:trPr>
          <w:cantSplit/>
          <w:jc w:val="center"/>
        </w:trPr>
        <w:tc>
          <w:tcPr>
            <w:tcW w:w="285" w:type="dxa"/>
            <w:vMerge w:val="restart"/>
            <w:tcBorders>
              <w:top w:val="single" w:sz="4" w:space="0" w:color="auto"/>
              <w:left w:val="single" w:sz="4" w:space="0" w:color="auto"/>
              <w:right w:val="single" w:sz="4" w:space="0" w:color="auto"/>
            </w:tcBorders>
            <w:shd w:val="clear" w:color="auto" w:fill="auto"/>
            <w:vAlign w:val="center"/>
          </w:tcPr>
          <w:p w14:paraId="1787B77F"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个别</w:t>
            </w:r>
          </w:p>
          <w:p w14:paraId="4C974599" w14:textId="77777777" w:rsidR="0062768B" w:rsidRDefault="00136729">
            <w:pPr>
              <w:spacing w:line="240" w:lineRule="exact"/>
              <w:rPr>
                <w:rFonts w:ascii="Arial" w:eastAsia="仿宋_GB2312" w:hAnsi="Arial" w:cs="Arial"/>
                <w:sz w:val="18"/>
                <w:szCs w:val="18"/>
              </w:rPr>
            </w:pPr>
            <w:r>
              <w:rPr>
                <w:rFonts w:ascii="Arial" w:eastAsia="仿宋_GB2312" w:hAnsi="Arial" w:cs="Arial"/>
                <w:sz w:val="18"/>
                <w:szCs w:val="18"/>
              </w:rPr>
              <w:t>因素</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255DCD7"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建筑类型</w:t>
            </w:r>
          </w:p>
        </w:tc>
        <w:tc>
          <w:tcPr>
            <w:tcW w:w="1418" w:type="dxa"/>
            <w:tcBorders>
              <w:top w:val="nil"/>
              <w:left w:val="nil"/>
              <w:bottom w:val="single" w:sz="4" w:space="0" w:color="auto"/>
              <w:right w:val="single" w:sz="4" w:space="0" w:color="auto"/>
            </w:tcBorders>
            <w:shd w:val="clear" w:color="auto" w:fill="auto"/>
            <w:vAlign w:val="center"/>
          </w:tcPr>
          <w:p w14:paraId="13061147"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多层板楼</w:t>
            </w:r>
          </w:p>
        </w:tc>
        <w:tc>
          <w:tcPr>
            <w:tcW w:w="567" w:type="dxa"/>
            <w:tcBorders>
              <w:top w:val="nil"/>
              <w:left w:val="nil"/>
              <w:bottom w:val="single" w:sz="4" w:space="0" w:color="auto"/>
              <w:right w:val="single" w:sz="4" w:space="0" w:color="auto"/>
            </w:tcBorders>
            <w:shd w:val="clear" w:color="auto" w:fill="auto"/>
            <w:vAlign w:val="center"/>
          </w:tcPr>
          <w:p w14:paraId="6AD19D38"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068951AD"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小高层板楼</w:t>
            </w:r>
          </w:p>
        </w:tc>
        <w:tc>
          <w:tcPr>
            <w:tcW w:w="757" w:type="dxa"/>
            <w:tcBorders>
              <w:top w:val="nil"/>
              <w:left w:val="nil"/>
              <w:bottom w:val="single" w:sz="4" w:space="0" w:color="auto"/>
              <w:right w:val="single" w:sz="4" w:space="0" w:color="auto"/>
            </w:tcBorders>
            <w:shd w:val="clear" w:color="auto" w:fill="auto"/>
            <w:vAlign w:val="center"/>
          </w:tcPr>
          <w:p w14:paraId="5D0F15B7"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99</w:t>
            </w:r>
          </w:p>
        </w:tc>
        <w:tc>
          <w:tcPr>
            <w:tcW w:w="1374" w:type="dxa"/>
            <w:tcBorders>
              <w:top w:val="nil"/>
              <w:left w:val="nil"/>
              <w:bottom w:val="single" w:sz="4" w:space="0" w:color="auto"/>
              <w:right w:val="single" w:sz="4" w:space="0" w:color="auto"/>
            </w:tcBorders>
            <w:shd w:val="clear" w:color="auto" w:fill="auto"/>
            <w:vAlign w:val="center"/>
          </w:tcPr>
          <w:p w14:paraId="26C0EC57"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小高层板楼</w:t>
            </w:r>
          </w:p>
        </w:tc>
        <w:tc>
          <w:tcPr>
            <w:tcW w:w="551" w:type="dxa"/>
            <w:tcBorders>
              <w:top w:val="nil"/>
              <w:left w:val="nil"/>
              <w:bottom w:val="single" w:sz="4" w:space="0" w:color="auto"/>
              <w:right w:val="single" w:sz="4" w:space="0" w:color="auto"/>
            </w:tcBorders>
            <w:shd w:val="clear" w:color="auto" w:fill="auto"/>
            <w:vAlign w:val="center"/>
          </w:tcPr>
          <w:p w14:paraId="52379DCC"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99</w:t>
            </w:r>
          </w:p>
        </w:tc>
        <w:tc>
          <w:tcPr>
            <w:tcW w:w="1302" w:type="dxa"/>
            <w:tcBorders>
              <w:top w:val="nil"/>
              <w:left w:val="nil"/>
              <w:bottom w:val="single" w:sz="4" w:space="0" w:color="auto"/>
              <w:right w:val="single" w:sz="4" w:space="0" w:color="auto"/>
            </w:tcBorders>
            <w:shd w:val="clear" w:color="auto" w:fill="auto"/>
            <w:vAlign w:val="center"/>
          </w:tcPr>
          <w:p w14:paraId="3AAD6CEF"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小高层板楼</w:t>
            </w:r>
          </w:p>
        </w:tc>
        <w:tc>
          <w:tcPr>
            <w:tcW w:w="551" w:type="dxa"/>
            <w:tcBorders>
              <w:top w:val="nil"/>
              <w:left w:val="nil"/>
              <w:bottom w:val="single" w:sz="4" w:space="0" w:color="auto"/>
              <w:right w:val="single" w:sz="4" w:space="0" w:color="auto"/>
            </w:tcBorders>
            <w:shd w:val="clear" w:color="auto" w:fill="auto"/>
            <w:noWrap/>
            <w:vAlign w:val="center"/>
          </w:tcPr>
          <w:p w14:paraId="2A38CDCA"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99</w:t>
            </w:r>
          </w:p>
        </w:tc>
      </w:tr>
      <w:tr w:rsidR="0062768B" w14:paraId="4D4B7E97" w14:textId="77777777">
        <w:trPr>
          <w:cantSplit/>
          <w:jc w:val="center"/>
        </w:trPr>
        <w:tc>
          <w:tcPr>
            <w:tcW w:w="285" w:type="dxa"/>
            <w:vMerge/>
            <w:tcBorders>
              <w:left w:val="single" w:sz="4" w:space="0" w:color="auto"/>
              <w:right w:val="single" w:sz="4" w:space="0" w:color="auto"/>
            </w:tcBorders>
            <w:shd w:val="clear" w:color="auto" w:fill="auto"/>
            <w:vAlign w:val="center"/>
          </w:tcPr>
          <w:p w14:paraId="6651D6A6" w14:textId="77777777" w:rsidR="0062768B" w:rsidRDefault="0062768B">
            <w:pPr>
              <w:widowControl/>
              <w:adjustRightInd/>
              <w:spacing w:line="240" w:lineRule="exact"/>
              <w:textAlignment w:val="auto"/>
              <w:rPr>
                <w:rFonts w:ascii="Arial" w:eastAsia="仿宋_GB2312" w:hAnsi="Arial" w:cs="Arial"/>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CA48999"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建筑结构</w:t>
            </w:r>
          </w:p>
        </w:tc>
        <w:tc>
          <w:tcPr>
            <w:tcW w:w="1418" w:type="dxa"/>
            <w:tcBorders>
              <w:top w:val="nil"/>
              <w:left w:val="nil"/>
              <w:bottom w:val="single" w:sz="4" w:space="0" w:color="auto"/>
              <w:right w:val="single" w:sz="4" w:space="0" w:color="auto"/>
            </w:tcBorders>
            <w:shd w:val="clear" w:color="auto" w:fill="auto"/>
            <w:vAlign w:val="center"/>
          </w:tcPr>
          <w:p w14:paraId="7F3FB6FA"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567" w:type="dxa"/>
            <w:tcBorders>
              <w:top w:val="nil"/>
              <w:left w:val="nil"/>
              <w:bottom w:val="single" w:sz="4" w:space="0" w:color="auto"/>
              <w:right w:val="single" w:sz="4" w:space="0" w:color="auto"/>
            </w:tcBorders>
            <w:shd w:val="clear" w:color="auto" w:fill="auto"/>
            <w:vAlign w:val="center"/>
          </w:tcPr>
          <w:p w14:paraId="4A5B9386"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36375B84"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757" w:type="dxa"/>
            <w:tcBorders>
              <w:top w:val="nil"/>
              <w:left w:val="nil"/>
              <w:bottom w:val="single" w:sz="4" w:space="0" w:color="auto"/>
              <w:right w:val="single" w:sz="4" w:space="0" w:color="auto"/>
            </w:tcBorders>
            <w:shd w:val="clear" w:color="auto" w:fill="auto"/>
            <w:vAlign w:val="center"/>
          </w:tcPr>
          <w:p w14:paraId="04BE96A5"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74" w:type="dxa"/>
            <w:tcBorders>
              <w:top w:val="nil"/>
              <w:left w:val="nil"/>
              <w:bottom w:val="single" w:sz="4" w:space="0" w:color="auto"/>
              <w:right w:val="single" w:sz="4" w:space="0" w:color="auto"/>
            </w:tcBorders>
            <w:shd w:val="clear" w:color="auto" w:fill="auto"/>
            <w:vAlign w:val="center"/>
          </w:tcPr>
          <w:p w14:paraId="1EA5FA8E"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551" w:type="dxa"/>
            <w:tcBorders>
              <w:top w:val="nil"/>
              <w:left w:val="nil"/>
              <w:bottom w:val="single" w:sz="4" w:space="0" w:color="auto"/>
              <w:right w:val="single" w:sz="4" w:space="0" w:color="auto"/>
            </w:tcBorders>
            <w:shd w:val="clear" w:color="auto" w:fill="auto"/>
            <w:vAlign w:val="center"/>
          </w:tcPr>
          <w:p w14:paraId="6089DF6B"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02" w:type="dxa"/>
            <w:tcBorders>
              <w:top w:val="nil"/>
              <w:left w:val="nil"/>
              <w:bottom w:val="single" w:sz="4" w:space="0" w:color="auto"/>
              <w:right w:val="single" w:sz="4" w:space="0" w:color="auto"/>
            </w:tcBorders>
            <w:shd w:val="clear" w:color="auto" w:fill="auto"/>
            <w:vAlign w:val="center"/>
          </w:tcPr>
          <w:p w14:paraId="244CF0CD"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551" w:type="dxa"/>
            <w:tcBorders>
              <w:top w:val="nil"/>
              <w:left w:val="nil"/>
              <w:bottom w:val="single" w:sz="4" w:space="0" w:color="auto"/>
              <w:right w:val="single" w:sz="4" w:space="0" w:color="auto"/>
            </w:tcBorders>
            <w:shd w:val="clear" w:color="auto" w:fill="auto"/>
            <w:noWrap/>
            <w:vAlign w:val="center"/>
          </w:tcPr>
          <w:p w14:paraId="36BEB5A6"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r>
      <w:tr w:rsidR="0062768B" w14:paraId="7E8CD671" w14:textId="77777777">
        <w:trPr>
          <w:cantSplit/>
          <w:jc w:val="center"/>
        </w:trPr>
        <w:tc>
          <w:tcPr>
            <w:tcW w:w="285" w:type="dxa"/>
            <w:vMerge/>
            <w:tcBorders>
              <w:left w:val="single" w:sz="4" w:space="0" w:color="auto"/>
              <w:right w:val="single" w:sz="4" w:space="0" w:color="auto"/>
            </w:tcBorders>
            <w:shd w:val="clear" w:color="auto" w:fill="auto"/>
            <w:vAlign w:val="center"/>
          </w:tcPr>
          <w:p w14:paraId="6444462A" w14:textId="77777777" w:rsidR="0062768B" w:rsidRDefault="0062768B">
            <w:pPr>
              <w:widowControl/>
              <w:adjustRightInd/>
              <w:spacing w:line="240" w:lineRule="exact"/>
              <w:textAlignment w:val="auto"/>
              <w:rPr>
                <w:rFonts w:ascii="Arial" w:eastAsia="仿宋_GB2312" w:hAnsi="Arial" w:cs="Arial"/>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A4494E6"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公共部分装修</w:t>
            </w:r>
          </w:p>
        </w:tc>
        <w:tc>
          <w:tcPr>
            <w:tcW w:w="1418" w:type="dxa"/>
            <w:tcBorders>
              <w:top w:val="nil"/>
              <w:left w:val="nil"/>
              <w:bottom w:val="single" w:sz="4" w:space="0" w:color="auto"/>
              <w:right w:val="single" w:sz="4" w:space="0" w:color="auto"/>
            </w:tcBorders>
            <w:shd w:val="clear" w:color="auto" w:fill="auto"/>
            <w:vAlign w:val="center"/>
          </w:tcPr>
          <w:p w14:paraId="2410F4A7"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精</w:t>
            </w:r>
            <w:r>
              <w:rPr>
                <w:rFonts w:ascii="Arial" w:eastAsia="仿宋_GB2312" w:hAnsi="Arial" w:cs="Arial"/>
                <w:sz w:val="18"/>
                <w:szCs w:val="18"/>
              </w:rPr>
              <w:t>装修</w:t>
            </w:r>
          </w:p>
        </w:tc>
        <w:tc>
          <w:tcPr>
            <w:tcW w:w="567" w:type="dxa"/>
            <w:tcBorders>
              <w:top w:val="nil"/>
              <w:left w:val="nil"/>
              <w:bottom w:val="single" w:sz="4" w:space="0" w:color="auto"/>
              <w:right w:val="single" w:sz="4" w:space="0" w:color="auto"/>
            </w:tcBorders>
            <w:shd w:val="clear" w:color="auto" w:fill="auto"/>
            <w:vAlign w:val="center"/>
          </w:tcPr>
          <w:p w14:paraId="39866DE1"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753227F4"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精</w:t>
            </w:r>
            <w:r>
              <w:rPr>
                <w:rFonts w:ascii="Arial" w:eastAsia="仿宋_GB2312" w:hAnsi="Arial" w:cs="Arial"/>
                <w:sz w:val="18"/>
                <w:szCs w:val="18"/>
              </w:rPr>
              <w:t>装修</w:t>
            </w:r>
          </w:p>
        </w:tc>
        <w:tc>
          <w:tcPr>
            <w:tcW w:w="757" w:type="dxa"/>
            <w:tcBorders>
              <w:top w:val="nil"/>
              <w:left w:val="nil"/>
              <w:bottom w:val="single" w:sz="4" w:space="0" w:color="auto"/>
              <w:right w:val="single" w:sz="4" w:space="0" w:color="auto"/>
            </w:tcBorders>
            <w:shd w:val="clear" w:color="auto" w:fill="auto"/>
            <w:vAlign w:val="center"/>
          </w:tcPr>
          <w:p w14:paraId="2033A5F7"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74" w:type="dxa"/>
            <w:tcBorders>
              <w:top w:val="nil"/>
              <w:left w:val="nil"/>
              <w:bottom w:val="single" w:sz="4" w:space="0" w:color="auto"/>
              <w:right w:val="single" w:sz="4" w:space="0" w:color="auto"/>
            </w:tcBorders>
            <w:shd w:val="clear" w:color="auto" w:fill="auto"/>
            <w:vAlign w:val="center"/>
          </w:tcPr>
          <w:p w14:paraId="7872C4FA"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精</w:t>
            </w:r>
            <w:r>
              <w:rPr>
                <w:rFonts w:ascii="Arial" w:eastAsia="仿宋_GB2312" w:hAnsi="Arial" w:cs="Arial"/>
                <w:sz w:val="18"/>
                <w:szCs w:val="18"/>
              </w:rPr>
              <w:t>装修</w:t>
            </w:r>
          </w:p>
        </w:tc>
        <w:tc>
          <w:tcPr>
            <w:tcW w:w="551" w:type="dxa"/>
            <w:tcBorders>
              <w:top w:val="nil"/>
              <w:left w:val="nil"/>
              <w:bottom w:val="single" w:sz="4" w:space="0" w:color="auto"/>
              <w:right w:val="single" w:sz="4" w:space="0" w:color="auto"/>
            </w:tcBorders>
            <w:shd w:val="clear" w:color="auto" w:fill="auto"/>
            <w:vAlign w:val="center"/>
          </w:tcPr>
          <w:p w14:paraId="65FB9943"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02" w:type="dxa"/>
            <w:tcBorders>
              <w:top w:val="nil"/>
              <w:left w:val="nil"/>
              <w:bottom w:val="single" w:sz="4" w:space="0" w:color="auto"/>
              <w:right w:val="single" w:sz="4" w:space="0" w:color="auto"/>
            </w:tcBorders>
            <w:shd w:val="clear" w:color="auto" w:fill="auto"/>
            <w:vAlign w:val="center"/>
          </w:tcPr>
          <w:p w14:paraId="003395A8"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精</w:t>
            </w:r>
            <w:r>
              <w:rPr>
                <w:rFonts w:ascii="Arial" w:eastAsia="仿宋_GB2312" w:hAnsi="Arial" w:cs="Arial"/>
                <w:sz w:val="18"/>
                <w:szCs w:val="18"/>
              </w:rPr>
              <w:t>装修</w:t>
            </w:r>
          </w:p>
        </w:tc>
        <w:tc>
          <w:tcPr>
            <w:tcW w:w="551" w:type="dxa"/>
            <w:tcBorders>
              <w:top w:val="nil"/>
              <w:left w:val="nil"/>
              <w:bottom w:val="single" w:sz="4" w:space="0" w:color="auto"/>
              <w:right w:val="single" w:sz="4" w:space="0" w:color="auto"/>
            </w:tcBorders>
            <w:shd w:val="clear" w:color="auto" w:fill="auto"/>
            <w:noWrap/>
            <w:vAlign w:val="center"/>
          </w:tcPr>
          <w:p w14:paraId="5600FA3D"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r>
      <w:tr w:rsidR="0062768B" w14:paraId="41935B9D" w14:textId="77777777">
        <w:trPr>
          <w:cantSplit/>
          <w:jc w:val="center"/>
        </w:trPr>
        <w:tc>
          <w:tcPr>
            <w:tcW w:w="285" w:type="dxa"/>
            <w:vMerge/>
            <w:tcBorders>
              <w:left w:val="single" w:sz="4" w:space="0" w:color="auto"/>
              <w:right w:val="single" w:sz="4" w:space="0" w:color="auto"/>
            </w:tcBorders>
            <w:shd w:val="clear" w:color="auto" w:fill="auto"/>
            <w:vAlign w:val="center"/>
          </w:tcPr>
          <w:p w14:paraId="7C0BA4EF" w14:textId="77777777" w:rsidR="0062768B" w:rsidRDefault="0062768B">
            <w:pPr>
              <w:widowControl/>
              <w:adjustRightInd/>
              <w:spacing w:line="240" w:lineRule="exact"/>
              <w:textAlignment w:val="auto"/>
              <w:rPr>
                <w:rFonts w:ascii="Arial" w:eastAsia="仿宋_GB2312" w:hAnsi="Arial" w:cs="Arial"/>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5C356A3"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物业管理</w:t>
            </w:r>
          </w:p>
        </w:tc>
        <w:tc>
          <w:tcPr>
            <w:tcW w:w="1418" w:type="dxa"/>
            <w:tcBorders>
              <w:top w:val="nil"/>
              <w:left w:val="nil"/>
              <w:bottom w:val="single" w:sz="4" w:space="0" w:color="auto"/>
              <w:right w:val="single" w:sz="4" w:space="0" w:color="auto"/>
            </w:tcBorders>
            <w:shd w:val="clear" w:color="auto" w:fill="auto"/>
            <w:vAlign w:val="center"/>
          </w:tcPr>
          <w:p w14:paraId="11DFA820"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专业</w:t>
            </w:r>
            <w:r>
              <w:rPr>
                <w:rFonts w:ascii="Arial" w:eastAsia="仿宋_GB2312" w:hAnsi="Arial" w:cs="Arial"/>
                <w:sz w:val="18"/>
                <w:szCs w:val="18"/>
              </w:rPr>
              <w:t>物业公司</w:t>
            </w:r>
          </w:p>
        </w:tc>
        <w:tc>
          <w:tcPr>
            <w:tcW w:w="567" w:type="dxa"/>
            <w:tcBorders>
              <w:top w:val="nil"/>
              <w:left w:val="nil"/>
              <w:bottom w:val="single" w:sz="4" w:space="0" w:color="auto"/>
              <w:right w:val="single" w:sz="4" w:space="0" w:color="auto"/>
            </w:tcBorders>
            <w:shd w:val="clear" w:color="auto" w:fill="auto"/>
            <w:vAlign w:val="center"/>
          </w:tcPr>
          <w:p w14:paraId="4C417F3C"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07BAEFB3"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专业</w:t>
            </w:r>
            <w:r>
              <w:rPr>
                <w:rFonts w:ascii="Arial" w:eastAsia="仿宋_GB2312" w:hAnsi="Arial" w:cs="Arial"/>
                <w:sz w:val="18"/>
                <w:szCs w:val="18"/>
              </w:rPr>
              <w:t>物业公司</w:t>
            </w:r>
          </w:p>
        </w:tc>
        <w:tc>
          <w:tcPr>
            <w:tcW w:w="757" w:type="dxa"/>
            <w:tcBorders>
              <w:top w:val="nil"/>
              <w:left w:val="nil"/>
              <w:bottom w:val="single" w:sz="4" w:space="0" w:color="auto"/>
              <w:right w:val="single" w:sz="4" w:space="0" w:color="auto"/>
            </w:tcBorders>
            <w:shd w:val="clear" w:color="auto" w:fill="auto"/>
            <w:vAlign w:val="center"/>
          </w:tcPr>
          <w:p w14:paraId="298A63C5"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74" w:type="dxa"/>
            <w:tcBorders>
              <w:top w:val="nil"/>
              <w:left w:val="nil"/>
              <w:bottom w:val="single" w:sz="4" w:space="0" w:color="auto"/>
              <w:right w:val="single" w:sz="4" w:space="0" w:color="auto"/>
            </w:tcBorders>
            <w:shd w:val="clear" w:color="auto" w:fill="auto"/>
            <w:vAlign w:val="center"/>
          </w:tcPr>
          <w:p w14:paraId="3D2249D1"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专业</w:t>
            </w:r>
            <w:r>
              <w:rPr>
                <w:rFonts w:ascii="Arial" w:eastAsia="仿宋_GB2312" w:hAnsi="Arial" w:cs="Arial"/>
                <w:sz w:val="18"/>
                <w:szCs w:val="18"/>
              </w:rPr>
              <w:t>物业公司</w:t>
            </w:r>
          </w:p>
        </w:tc>
        <w:tc>
          <w:tcPr>
            <w:tcW w:w="551" w:type="dxa"/>
            <w:tcBorders>
              <w:top w:val="nil"/>
              <w:left w:val="nil"/>
              <w:bottom w:val="single" w:sz="4" w:space="0" w:color="auto"/>
              <w:right w:val="single" w:sz="4" w:space="0" w:color="auto"/>
            </w:tcBorders>
            <w:shd w:val="clear" w:color="auto" w:fill="auto"/>
            <w:vAlign w:val="center"/>
          </w:tcPr>
          <w:p w14:paraId="6776BB2E"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02" w:type="dxa"/>
            <w:tcBorders>
              <w:top w:val="nil"/>
              <w:left w:val="nil"/>
              <w:bottom w:val="single" w:sz="4" w:space="0" w:color="auto"/>
              <w:right w:val="single" w:sz="4" w:space="0" w:color="auto"/>
            </w:tcBorders>
            <w:shd w:val="clear" w:color="auto" w:fill="auto"/>
            <w:vAlign w:val="center"/>
          </w:tcPr>
          <w:p w14:paraId="50F7AEE6"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专业</w:t>
            </w:r>
            <w:r>
              <w:rPr>
                <w:rFonts w:ascii="Arial" w:eastAsia="仿宋_GB2312" w:hAnsi="Arial" w:cs="Arial"/>
                <w:sz w:val="18"/>
                <w:szCs w:val="18"/>
              </w:rPr>
              <w:t>物业公司</w:t>
            </w:r>
          </w:p>
        </w:tc>
        <w:tc>
          <w:tcPr>
            <w:tcW w:w="551" w:type="dxa"/>
            <w:tcBorders>
              <w:top w:val="nil"/>
              <w:left w:val="nil"/>
              <w:bottom w:val="single" w:sz="4" w:space="0" w:color="auto"/>
              <w:right w:val="single" w:sz="4" w:space="0" w:color="auto"/>
            </w:tcBorders>
            <w:shd w:val="clear" w:color="auto" w:fill="auto"/>
            <w:noWrap/>
            <w:vAlign w:val="center"/>
          </w:tcPr>
          <w:p w14:paraId="48FD8991"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r>
      <w:tr w:rsidR="0062768B" w14:paraId="493C5A88" w14:textId="77777777">
        <w:trPr>
          <w:cantSplit/>
          <w:jc w:val="center"/>
        </w:trPr>
        <w:tc>
          <w:tcPr>
            <w:tcW w:w="285" w:type="dxa"/>
            <w:vMerge/>
            <w:tcBorders>
              <w:left w:val="single" w:sz="4" w:space="0" w:color="auto"/>
              <w:right w:val="single" w:sz="4" w:space="0" w:color="auto"/>
            </w:tcBorders>
            <w:shd w:val="clear" w:color="auto" w:fill="auto"/>
            <w:vAlign w:val="center"/>
          </w:tcPr>
          <w:p w14:paraId="4D2E6B01" w14:textId="77777777" w:rsidR="0062768B" w:rsidRDefault="0062768B">
            <w:pPr>
              <w:widowControl/>
              <w:adjustRightInd/>
              <w:spacing w:line="240" w:lineRule="exact"/>
              <w:textAlignment w:val="auto"/>
              <w:rPr>
                <w:rFonts w:ascii="Arial" w:eastAsia="仿宋_GB2312" w:hAnsi="Arial" w:cs="Arial"/>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8CBDE75"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项目</w:t>
            </w:r>
            <w:r>
              <w:rPr>
                <w:rFonts w:ascii="Arial" w:eastAsia="仿宋_GB2312" w:hAnsi="Arial" w:cs="Arial"/>
                <w:sz w:val="18"/>
                <w:szCs w:val="18"/>
              </w:rPr>
              <w:t>建筑</w:t>
            </w:r>
            <w:r>
              <w:rPr>
                <w:rFonts w:ascii="Arial" w:eastAsia="仿宋_GB2312" w:hAnsi="Arial" w:cs="Arial" w:hint="eastAsia"/>
                <w:sz w:val="18"/>
                <w:szCs w:val="18"/>
              </w:rPr>
              <w:t>规模</w:t>
            </w:r>
            <w:r>
              <w:rPr>
                <w:rFonts w:ascii="Arial" w:eastAsia="仿宋_GB2312" w:hAnsi="Arial" w:cs="Arial"/>
                <w:sz w:val="18"/>
                <w:szCs w:val="18"/>
              </w:rPr>
              <w:t>（</w:t>
            </w:r>
            <w:r>
              <w:rPr>
                <w:rFonts w:ascii="Arial" w:hAnsi="Arial" w:cs="Arial"/>
                <w:sz w:val="18"/>
                <w:szCs w:val="18"/>
              </w:rPr>
              <w:t>㎡</w:t>
            </w:r>
            <w:r>
              <w:rPr>
                <w:rFonts w:ascii="Arial" w:eastAsia="仿宋_GB2312" w:hAnsi="Arial" w:cs="Arial"/>
                <w:sz w:val="18"/>
                <w:szCs w:val="18"/>
              </w:rPr>
              <w:t>）</w:t>
            </w:r>
          </w:p>
        </w:tc>
        <w:tc>
          <w:tcPr>
            <w:tcW w:w="1418" w:type="dxa"/>
            <w:tcBorders>
              <w:top w:val="nil"/>
              <w:left w:val="nil"/>
              <w:bottom w:val="single" w:sz="4" w:space="0" w:color="auto"/>
              <w:right w:val="single" w:sz="4" w:space="0" w:color="auto"/>
            </w:tcBorders>
            <w:shd w:val="clear" w:color="auto" w:fill="auto"/>
            <w:vAlign w:val="center"/>
          </w:tcPr>
          <w:p w14:paraId="1021E0DC"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68148.54</w:t>
            </w:r>
          </w:p>
        </w:tc>
        <w:tc>
          <w:tcPr>
            <w:tcW w:w="567" w:type="dxa"/>
            <w:tcBorders>
              <w:top w:val="nil"/>
              <w:left w:val="nil"/>
              <w:bottom w:val="single" w:sz="4" w:space="0" w:color="auto"/>
              <w:right w:val="single" w:sz="4" w:space="0" w:color="auto"/>
            </w:tcBorders>
            <w:shd w:val="clear" w:color="auto" w:fill="auto"/>
            <w:vAlign w:val="center"/>
          </w:tcPr>
          <w:p w14:paraId="7EBC0DCB"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0F6A1597"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106459</w:t>
            </w:r>
          </w:p>
        </w:tc>
        <w:tc>
          <w:tcPr>
            <w:tcW w:w="757" w:type="dxa"/>
            <w:tcBorders>
              <w:top w:val="nil"/>
              <w:left w:val="nil"/>
              <w:bottom w:val="single" w:sz="4" w:space="0" w:color="auto"/>
              <w:right w:val="single" w:sz="4" w:space="0" w:color="auto"/>
            </w:tcBorders>
            <w:shd w:val="clear" w:color="auto" w:fill="auto"/>
            <w:vAlign w:val="center"/>
          </w:tcPr>
          <w:p w14:paraId="73CB0A9C"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02</w:t>
            </w:r>
          </w:p>
        </w:tc>
        <w:tc>
          <w:tcPr>
            <w:tcW w:w="1374" w:type="dxa"/>
            <w:tcBorders>
              <w:top w:val="nil"/>
              <w:left w:val="nil"/>
              <w:bottom w:val="single" w:sz="4" w:space="0" w:color="auto"/>
              <w:right w:val="single" w:sz="4" w:space="0" w:color="auto"/>
            </w:tcBorders>
            <w:shd w:val="clear" w:color="auto" w:fill="auto"/>
            <w:vAlign w:val="center"/>
          </w:tcPr>
          <w:p w14:paraId="4F62EAD2"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145000</w:t>
            </w:r>
          </w:p>
        </w:tc>
        <w:tc>
          <w:tcPr>
            <w:tcW w:w="551" w:type="dxa"/>
            <w:tcBorders>
              <w:top w:val="nil"/>
              <w:left w:val="nil"/>
              <w:bottom w:val="single" w:sz="4" w:space="0" w:color="auto"/>
              <w:right w:val="single" w:sz="4" w:space="0" w:color="auto"/>
            </w:tcBorders>
            <w:shd w:val="clear" w:color="auto" w:fill="auto"/>
            <w:vAlign w:val="center"/>
          </w:tcPr>
          <w:p w14:paraId="20D766B6"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10</w:t>
            </w:r>
            <w:r>
              <w:rPr>
                <w:rFonts w:ascii="Arial" w:eastAsia="仿宋_GB2312" w:hAnsi="Arial" w:cs="Arial"/>
                <w:sz w:val="18"/>
                <w:szCs w:val="18"/>
              </w:rPr>
              <w:t>4</w:t>
            </w:r>
          </w:p>
        </w:tc>
        <w:tc>
          <w:tcPr>
            <w:tcW w:w="1302" w:type="dxa"/>
            <w:tcBorders>
              <w:top w:val="nil"/>
              <w:left w:val="nil"/>
              <w:bottom w:val="single" w:sz="4" w:space="0" w:color="auto"/>
              <w:right w:val="single" w:sz="4" w:space="0" w:color="auto"/>
            </w:tcBorders>
            <w:shd w:val="clear" w:color="auto" w:fill="auto"/>
            <w:vAlign w:val="center"/>
          </w:tcPr>
          <w:p w14:paraId="028C2797"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84773</w:t>
            </w:r>
          </w:p>
        </w:tc>
        <w:tc>
          <w:tcPr>
            <w:tcW w:w="551" w:type="dxa"/>
            <w:tcBorders>
              <w:top w:val="nil"/>
              <w:left w:val="nil"/>
              <w:bottom w:val="single" w:sz="4" w:space="0" w:color="auto"/>
              <w:right w:val="single" w:sz="4" w:space="0" w:color="auto"/>
            </w:tcBorders>
            <w:shd w:val="clear" w:color="auto" w:fill="auto"/>
            <w:noWrap/>
            <w:vAlign w:val="center"/>
          </w:tcPr>
          <w:p w14:paraId="55D78CAB"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101</w:t>
            </w:r>
          </w:p>
        </w:tc>
      </w:tr>
      <w:tr w:rsidR="0062768B" w14:paraId="36A07F38" w14:textId="77777777">
        <w:trPr>
          <w:cantSplit/>
          <w:jc w:val="center"/>
        </w:trPr>
        <w:tc>
          <w:tcPr>
            <w:tcW w:w="285" w:type="dxa"/>
            <w:vMerge/>
            <w:tcBorders>
              <w:left w:val="single" w:sz="4" w:space="0" w:color="auto"/>
              <w:right w:val="single" w:sz="4" w:space="0" w:color="auto"/>
            </w:tcBorders>
            <w:shd w:val="clear" w:color="auto" w:fill="auto"/>
            <w:vAlign w:val="center"/>
          </w:tcPr>
          <w:p w14:paraId="2B69FF28" w14:textId="77777777" w:rsidR="0062768B" w:rsidRDefault="0062768B">
            <w:pPr>
              <w:widowControl/>
              <w:adjustRightInd/>
              <w:spacing w:line="240" w:lineRule="exact"/>
              <w:textAlignment w:val="auto"/>
              <w:rPr>
                <w:rFonts w:ascii="Arial" w:eastAsia="仿宋_GB2312" w:hAnsi="Arial" w:cs="Arial"/>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C6E5CA7"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市政基础设施</w:t>
            </w:r>
          </w:p>
        </w:tc>
        <w:tc>
          <w:tcPr>
            <w:tcW w:w="1418" w:type="dxa"/>
            <w:tcBorders>
              <w:top w:val="single" w:sz="4" w:space="0" w:color="auto"/>
              <w:left w:val="nil"/>
              <w:bottom w:val="single" w:sz="4" w:space="0" w:color="auto"/>
              <w:right w:val="single" w:sz="4" w:space="0" w:color="auto"/>
            </w:tcBorders>
            <w:shd w:val="clear" w:color="auto" w:fill="auto"/>
            <w:vAlign w:val="center"/>
          </w:tcPr>
          <w:p w14:paraId="50E53235"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较齐备</w:t>
            </w:r>
          </w:p>
        </w:tc>
        <w:tc>
          <w:tcPr>
            <w:tcW w:w="567" w:type="dxa"/>
            <w:tcBorders>
              <w:top w:val="single" w:sz="4" w:space="0" w:color="auto"/>
              <w:left w:val="nil"/>
              <w:bottom w:val="single" w:sz="4" w:space="0" w:color="auto"/>
              <w:right w:val="single" w:sz="4" w:space="0" w:color="auto"/>
            </w:tcBorders>
            <w:shd w:val="clear" w:color="auto" w:fill="auto"/>
            <w:vAlign w:val="center"/>
          </w:tcPr>
          <w:p w14:paraId="03C3F64C"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0FCC6953"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较齐备</w:t>
            </w:r>
          </w:p>
        </w:tc>
        <w:tc>
          <w:tcPr>
            <w:tcW w:w="757" w:type="dxa"/>
            <w:tcBorders>
              <w:top w:val="single" w:sz="4" w:space="0" w:color="auto"/>
              <w:left w:val="nil"/>
              <w:bottom w:val="single" w:sz="4" w:space="0" w:color="auto"/>
              <w:right w:val="single" w:sz="4" w:space="0" w:color="auto"/>
            </w:tcBorders>
            <w:shd w:val="clear" w:color="auto" w:fill="auto"/>
            <w:vAlign w:val="center"/>
          </w:tcPr>
          <w:p w14:paraId="2FF152F8"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14:paraId="5808C850"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较齐备</w:t>
            </w:r>
          </w:p>
        </w:tc>
        <w:tc>
          <w:tcPr>
            <w:tcW w:w="551" w:type="dxa"/>
            <w:tcBorders>
              <w:top w:val="single" w:sz="4" w:space="0" w:color="auto"/>
              <w:left w:val="nil"/>
              <w:bottom w:val="single" w:sz="4" w:space="0" w:color="auto"/>
              <w:right w:val="single" w:sz="4" w:space="0" w:color="auto"/>
            </w:tcBorders>
            <w:shd w:val="clear" w:color="auto" w:fill="auto"/>
            <w:vAlign w:val="center"/>
          </w:tcPr>
          <w:p w14:paraId="63F98532"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02" w:type="dxa"/>
            <w:tcBorders>
              <w:top w:val="single" w:sz="4" w:space="0" w:color="auto"/>
              <w:left w:val="nil"/>
              <w:bottom w:val="single" w:sz="4" w:space="0" w:color="auto"/>
              <w:right w:val="single" w:sz="4" w:space="0" w:color="auto"/>
            </w:tcBorders>
            <w:shd w:val="clear" w:color="auto" w:fill="auto"/>
            <w:vAlign w:val="center"/>
          </w:tcPr>
          <w:p w14:paraId="7677AAB9"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较齐备</w:t>
            </w:r>
          </w:p>
        </w:tc>
        <w:tc>
          <w:tcPr>
            <w:tcW w:w="551" w:type="dxa"/>
            <w:tcBorders>
              <w:top w:val="single" w:sz="4" w:space="0" w:color="auto"/>
              <w:left w:val="nil"/>
              <w:bottom w:val="single" w:sz="4" w:space="0" w:color="auto"/>
              <w:right w:val="single" w:sz="4" w:space="0" w:color="auto"/>
            </w:tcBorders>
            <w:shd w:val="clear" w:color="auto" w:fill="auto"/>
            <w:noWrap/>
            <w:vAlign w:val="center"/>
          </w:tcPr>
          <w:p w14:paraId="67DD7A0F"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r>
      <w:tr w:rsidR="0062768B" w14:paraId="6031D1D8" w14:textId="77777777">
        <w:trPr>
          <w:cantSplit/>
          <w:jc w:val="center"/>
        </w:trPr>
        <w:tc>
          <w:tcPr>
            <w:tcW w:w="285" w:type="dxa"/>
            <w:vMerge/>
            <w:tcBorders>
              <w:left w:val="single" w:sz="4" w:space="0" w:color="auto"/>
              <w:bottom w:val="single" w:sz="4" w:space="0" w:color="auto"/>
              <w:right w:val="single" w:sz="4" w:space="0" w:color="auto"/>
            </w:tcBorders>
            <w:shd w:val="clear" w:color="auto" w:fill="auto"/>
            <w:vAlign w:val="center"/>
          </w:tcPr>
          <w:p w14:paraId="463D6527" w14:textId="77777777" w:rsidR="0062768B" w:rsidRDefault="0062768B">
            <w:pPr>
              <w:widowControl/>
              <w:adjustRightInd/>
              <w:spacing w:line="240" w:lineRule="exact"/>
              <w:textAlignment w:val="auto"/>
              <w:rPr>
                <w:rFonts w:ascii="Arial" w:eastAsia="仿宋_GB2312" w:hAnsi="Arial" w:cs="Arial"/>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C5E72E4"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内部</w:t>
            </w:r>
            <w:r>
              <w:rPr>
                <w:rFonts w:ascii="Arial" w:eastAsia="仿宋_GB2312" w:hAnsi="Arial" w:cs="Arial"/>
                <w:sz w:val="18"/>
                <w:szCs w:val="18"/>
              </w:rPr>
              <w:t>装修</w:t>
            </w:r>
          </w:p>
        </w:tc>
        <w:tc>
          <w:tcPr>
            <w:tcW w:w="1418" w:type="dxa"/>
            <w:tcBorders>
              <w:top w:val="single" w:sz="4" w:space="0" w:color="auto"/>
              <w:left w:val="nil"/>
              <w:bottom w:val="single" w:sz="4" w:space="0" w:color="auto"/>
              <w:right w:val="single" w:sz="4" w:space="0" w:color="auto"/>
            </w:tcBorders>
            <w:shd w:val="clear" w:color="auto" w:fill="auto"/>
            <w:vAlign w:val="center"/>
          </w:tcPr>
          <w:p w14:paraId="0E6A79FC"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567" w:type="dxa"/>
            <w:tcBorders>
              <w:top w:val="single" w:sz="4" w:space="0" w:color="auto"/>
              <w:left w:val="nil"/>
              <w:bottom w:val="single" w:sz="4" w:space="0" w:color="auto"/>
              <w:right w:val="single" w:sz="4" w:space="0" w:color="auto"/>
            </w:tcBorders>
            <w:shd w:val="clear" w:color="auto" w:fill="auto"/>
            <w:vAlign w:val="center"/>
          </w:tcPr>
          <w:p w14:paraId="25D67444"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2F3725A1"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757" w:type="dxa"/>
            <w:tcBorders>
              <w:top w:val="single" w:sz="4" w:space="0" w:color="auto"/>
              <w:left w:val="nil"/>
              <w:bottom w:val="single" w:sz="4" w:space="0" w:color="auto"/>
              <w:right w:val="single" w:sz="4" w:space="0" w:color="auto"/>
            </w:tcBorders>
            <w:shd w:val="clear" w:color="auto" w:fill="auto"/>
            <w:vAlign w:val="center"/>
          </w:tcPr>
          <w:p w14:paraId="71AB4B8E"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14:paraId="537E7E05"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551" w:type="dxa"/>
            <w:tcBorders>
              <w:top w:val="single" w:sz="4" w:space="0" w:color="auto"/>
              <w:left w:val="nil"/>
              <w:bottom w:val="single" w:sz="4" w:space="0" w:color="auto"/>
              <w:right w:val="single" w:sz="4" w:space="0" w:color="auto"/>
            </w:tcBorders>
            <w:shd w:val="clear" w:color="auto" w:fill="auto"/>
            <w:vAlign w:val="center"/>
          </w:tcPr>
          <w:p w14:paraId="36B57456"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1302" w:type="dxa"/>
            <w:tcBorders>
              <w:top w:val="single" w:sz="4" w:space="0" w:color="auto"/>
              <w:left w:val="nil"/>
              <w:bottom w:val="single" w:sz="4" w:space="0" w:color="auto"/>
              <w:right w:val="single" w:sz="4" w:space="0" w:color="auto"/>
            </w:tcBorders>
            <w:shd w:val="clear" w:color="auto" w:fill="auto"/>
            <w:vAlign w:val="center"/>
          </w:tcPr>
          <w:p w14:paraId="6A3CDE02"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551" w:type="dxa"/>
            <w:tcBorders>
              <w:top w:val="single" w:sz="4" w:space="0" w:color="auto"/>
              <w:left w:val="nil"/>
              <w:bottom w:val="single" w:sz="4" w:space="0" w:color="auto"/>
              <w:right w:val="single" w:sz="4" w:space="0" w:color="auto"/>
            </w:tcBorders>
            <w:shd w:val="clear" w:color="auto" w:fill="auto"/>
            <w:noWrap/>
            <w:vAlign w:val="center"/>
          </w:tcPr>
          <w:p w14:paraId="3C1DD99B"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bl>
    <w:p w14:paraId="724C30B2" w14:textId="77777777" w:rsidR="0062768B" w:rsidRDefault="00136729">
      <w:pPr>
        <w:spacing w:after="26" w:line="300" w:lineRule="auto"/>
        <w:ind w:firstLineChars="200" w:firstLine="562"/>
        <w:jc w:val="center"/>
        <w:rPr>
          <w:rFonts w:ascii="Arial" w:eastAsia="仿宋_GB2312" w:hAnsi="Arial" w:cs="Arial"/>
          <w:b/>
          <w:bCs/>
        </w:rPr>
      </w:pPr>
      <w:r>
        <w:rPr>
          <w:rFonts w:ascii="Arial" w:eastAsia="仿宋_GB2312" w:hAnsi="Arial" w:cs="Arial"/>
          <w:b/>
          <w:bCs/>
          <w:sz w:val="28"/>
        </w:rPr>
        <w:br w:type="page"/>
      </w:r>
      <w:r>
        <w:rPr>
          <w:rFonts w:ascii="Arial" w:eastAsia="仿宋_GB2312" w:hAnsi="Arial" w:cs="Arial"/>
          <w:b/>
          <w:bCs/>
        </w:rPr>
        <w:lastRenderedPageBreak/>
        <w:t>表</w:t>
      </w:r>
      <w:r>
        <w:rPr>
          <w:rFonts w:ascii="Arial" w:eastAsia="仿宋_GB2312" w:hAnsi="Arial" w:cs="Arial"/>
          <w:b/>
          <w:bCs/>
        </w:rPr>
        <w:t>2</w:t>
      </w:r>
      <w:r>
        <w:rPr>
          <w:rFonts w:ascii="Arial" w:eastAsia="仿宋_GB2312" w:hAnsi="Arial" w:cs="Arial"/>
          <w:b/>
          <w:bCs/>
        </w:rPr>
        <w:t>：因素修正和调整系数表</w:t>
      </w:r>
    </w:p>
    <w:tbl>
      <w:tblPr>
        <w:tblW w:w="9072" w:type="dxa"/>
        <w:jc w:val="center"/>
        <w:tblLayout w:type="fixed"/>
        <w:tblCellMar>
          <w:top w:w="57" w:type="dxa"/>
          <w:left w:w="57" w:type="dxa"/>
          <w:bottom w:w="57" w:type="dxa"/>
          <w:right w:w="57" w:type="dxa"/>
        </w:tblCellMar>
        <w:tblLook w:val="04A0" w:firstRow="1" w:lastRow="0" w:firstColumn="1" w:lastColumn="0" w:noHBand="0" w:noVBand="1"/>
      </w:tblPr>
      <w:tblGrid>
        <w:gridCol w:w="1277"/>
        <w:gridCol w:w="1902"/>
        <w:gridCol w:w="961"/>
        <w:gridCol w:w="971"/>
        <w:gridCol w:w="921"/>
        <w:gridCol w:w="1046"/>
        <w:gridCol w:w="845"/>
        <w:gridCol w:w="1149"/>
      </w:tblGrid>
      <w:tr w:rsidR="0062768B" w14:paraId="7589475D" w14:textId="77777777">
        <w:trPr>
          <w:cantSplit/>
          <w:jc w:val="center"/>
        </w:trPr>
        <w:tc>
          <w:tcPr>
            <w:tcW w:w="317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6FF505B6"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比较因素</w:t>
            </w:r>
          </w:p>
        </w:tc>
        <w:tc>
          <w:tcPr>
            <w:tcW w:w="1932" w:type="dxa"/>
            <w:gridSpan w:val="2"/>
            <w:tcBorders>
              <w:top w:val="single" w:sz="4" w:space="0" w:color="auto"/>
              <w:left w:val="single" w:sz="4" w:space="0" w:color="auto"/>
              <w:bottom w:val="single" w:sz="4" w:space="0" w:color="000000"/>
              <w:right w:val="single" w:sz="4" w:space="0" w:color="auto"/>
            </w:tcBorders>
          </w:tcPr>
          <w:p w14:paraId="25E90A6F" w14:textId="77777777" w:rsidR="0062768B" w:rsidRDefault="00136729">
            <w:pPr>
              <w:widowControl/>
              <w:spacing w:line="240" w:lineRule="exact"/>
              <w:jc w:val="center"/>
              <w:rPr>
                <w:rFonts w:ascii="Arial" w:eastAsia="仿宋_GB2312" w:hAnsi="Arial" w:cs="Arial"/>
                <w:sz w:val="20"/>
              </w:rPr>
            </w:pPr>
            <w:r>
              <w:rPr>
                <w:rFonts w:ascii="Arial" w:eastAsia="仿宋_GB2312" w:hAnsi="Arial" w:cs="Arial"/>
                <w:sz w:val="20"/>
              </w:rPr>
              <w:t>案例：</w:t>
            </w:r>
            <w:r>
              <w:rPr>
                <w:rFonts w:ascii="Arial" w:eastAsia="仿宋_GB2312" w:hAnsi="Arial" w:cs="Arial"/>
                <w:sz w:val="20"/>
              </w:rPr>
              <w:t>A</w:t>
            </w:r>
          </w:p>
        </w:tc>
        <w:tc>
          <w:tcPr>
            <w:tcW w:w="1967" w:type="dxa"/>
            <w:gridSpan w:val="2"/>
            <w:tcBorders>
              <w:top w:val="single" w:sz="4" w:space="0" w:color="auto"/>
              <w:left w:val="single" w:sz="4" w:space="0" w:color="auto"/>
              <w:bottom w:val="single" w:sz="4" w:space="0" w:color="000000"/>
              <w:right w:val="single" w:sz="4" w:space="0" w:color="auto"/>
            </w:tcBorders>
          </w:tcPr>
          <w:p w14:paraId="78420CC7" w14:textId="77777777" w:rsidR="0062768B" w:rsidRDefault="00136729">
            <w:pPr>
              <w:widowControl/>
              <w:spacing w:line="240" w:lineRule="exact"/>
              <w:jc w:val="center"/>
              <w:rPr>
                <w:rFonts w:ascii="Arial" w:eastAsia="仿宋_GB2312" w:hAnsi="Arial" w:cs="Arial"/>
                <w:sz w:val="20"/>
              </w:rPr>
            </w:pPr>
            <w:r>
              <w:rPr>
                <w:rFonts w:ascii="Arial" w:eastAsia="仿宋_GB2312" w:hAnsi="Arial" w:cs="Arial"/>
                <w:sz w:val="20"/>
              </w:rPr>
              <w:t>案例：</w:t>
            </w:r>
            <w:r>
              <w:rPr>
                <w:rFonts w:ascii="Arial" w:eastAsia="仿宋_GB2312" w:hAnsi="Arial" w:cs="Arial"/>
                <w:sz w:val="20"/>
              </w:rPr>
              <w:t>B</w:t>
            </w:r>
          </w:p>
        </w:tc>
        <w:tc>
          <w:tcPr>
            <w:tcW w:w="1994" w:type="dxa"/>
            <w:gridSpan w:val="2"/>
            <w:tcBorders>
              <w:top w:val="single" w:sz="4" w:space="0" w:color="auto"/>
              <w:left w:val="single" w:sz="4" w:space="0" w:color="auto"/>
              <w:bottom w:val="single" w:sz="4" w:space="0" w:color="000000"/>
              <w:right w:val="single" w:sz="4" w:space="0" w:color="000000"/>
            </w:tcBorders>
          </w:tcPr>
          <w:p w14:paraId="18F120F0" w14:textId="77777777" w:rsidR="0062768B" w:rsidRDefault="00136729">
            <w:pPr>
              <w:widowControl/>
              <w:spacing w:line="240" w:lineRule="exact"/>
              <w:jc w:val="center"/>
              <w:rPr>
                <w:rFonts w:ascii="Arial" w:eastAsia="仿宋_GB2312" w:hAnsi="Arial" w:cs="Arial"/>
                <w:sz w:val="20"/>
              </w:rPr>
            </w:pPr>
            <w:r>
              <w:rPr>
                <w:rFonts w:ascii="Arial" w:eastAsia="仿宋_GB2312" w:hAnsi="Arial" w:cs="Arial"/>
                <w:sz w:val="20"/>
              </w:rPr>
              <w:t>案例：</w:t>
            </w:r>
            <w:r>
              <w:rPr>
                <w:rFonts w:ascii="Arial" w:eastAsia="仿宋_GB2312" w:hAnsi="Arial" w:cs="Arial"/>
                <w:sz w:val="20"/>
              </w:rPr>
              <w:t>C</w:t>
            </w:r>
          </w:p>
        </w:tc>
      </w:tr>
      <w:tr w:rsidR="0062768B" w14:paraId="7EDC0CE8" w14:textId="77777777">
        <w:trPr>
          <w:cantSplit/>
          <w:jc w:val="center"/>
        </w:trPr>
        <w:tc>
          <w:tcPr>
            <w:tcW w:w="3179" w:type="dxa"/>
            <w:gridSpan w:val="2"/>
            <w:vMerge/>
            <w:tcBorders>
              <w:top w:val="single" w:sz="4" w:space="0" w:color="auto"/>
              <w:left w:val="single" w:sz="4" w:space="0" w:color="auto"/>
              <w:bottom w:val="single" w:sz="4" w:space="0" w:color="000000"/>
              <w:right w:val="single" w:sz="4" w:space="0" w:color="000000"/>
            </w:tcBorders>
            <w:vAlign w:val="center"/>
          </w:tcPr>
          <w:p w14:paraId="2E83B31F" w14:textId="77777777" w:rsidR="0062768B" w:rsidRDefault="0062768B">
            <w:pPr>
              <w:widowControl/>
              <w:spacing w:line="240" w:lineRule="exact"/>
              <w:rPr>
                <w:rFonts w:ascii="Arial" w:eastAsia="仿宋_GB2312" w:hAnsi="Arial" w:cs="Arial"/>
                <w:sz w:val="20"/>
              </w:rPr>
            </w:pPr>
          </w:p>
        </w:tc>
        <w:tc>
          <w:tcPr>
            <w:tcW w:w="1932" w:type="dxa"/>
            <w:gridSpan w:val="2"/>
            <w:tcBorders>
              <w:top w:val="single" w:sz="4" w:space="0" w:color="auto"/>
              <w:left w:val="single" w:sz="4" w:space="0" w:color="auto"/>
              <w:bottom w:val="single" w:sz="4" w:space="0" w:color="auto"/>
              <w:right w:val="single" w:sz="4" w:space="0" w:color="auto"/>
            </w:tcBorders>
          </w:tcPr>
          <w:p w14:paraId="0D7B7B51" w14:textId="77777777" w:rsidR="0062768B" w:rsidRDefault="00136729">
            <w:pPr>
              <w:widowControl/>
              <w:spacing w:line="240" w:lineRule="exact"/>
              <w:jc w:val="center"/>
              <w:rPr>
                <w:rFonts w:ascii="Arial" w:eastAsia="仿宋_GB2312" w:hAnsi="Arial" w:cs="Arial"/>
                <w:sz w:val="20"/>
              </w:rPr>
            </w:pPr>
            <w:r>
              <w:rPr>
                <w:rFonts w:ascii="Arial" w:eastAsia="仿宋_GB2312" w:hAnsi="Arial" w:cs="Arial" w:hint="eastAsia"/>
                <w:sz w:val="18"/>
                <w:szCs w:val="18"/>
              </w:rPr>
              <w:t>观承望溪</w:t>
            </w:r>
            <w:r>
              <w:rPr>
                <w:rFonts w:ascii="Arial" w:eastAsia="仿宋_GB2312" w:hAnsi="Arial" w:cs="Arial" w:hint="eastAsia"/>
                <w:sz w:val="18"/>
                <w:szCs w:val="18"/>
              </w:rPr>
              <w:tab/>
            </w:r>
          </w:p>
        </w:tc>
        <w:tc>
          <w:tcPr>
            <w:tcW w:w="1967" w:type="dxa"/>
            <w:gridSpan w:val="2"/>
            <w:tcBorders>
              <w:top w:val="single" w:sz="4" w:space="0" w:color="auto"/>
              <w:left w:val="single" w:sz="4" w:space="0" w:color="auto"/>
              <w:bottom w:val="single" w:sz="4" w:space="0" w:color="auto"/>
              <w:right w:val="single" w:sz="4" w:space="0" w:color="auto"/>
            </w:tcBorders>
          </w:tcPr>
          <w:p w14:paraId="553677BD" w14:textId="77777777" w:rsidR="0062768B" w:rsidRDefault="00136729">
            <w:pPr>
              <w:widowControl/>
              <w:spacing w:line="240" w:lineRule="exact"/>
              <w:jc w:val="center"/>
              <w:rPr>
                <w:rFonts w:ascii="Arial" w:eastAsia="仿宋_GB2312" w:hAnsi="Arial" w:cs="Arial"/>
                <w:sz w:val="20"/>
              </w:rPr>
            </w:pPr>
            <w:r>
              <w:rPr>
                <w:rFonts w:ascii="Arial" w:eastAsia="仿宋_GB2312" w:hAnsi="Arial" w:cs="Arial" w:hint="eastAsia"/>
                <w:sz w:val="18"/>
                <w:szCs w:val="18"/>
              </w:rPr>
              <w:t>富力首开·金禧璞</w:t>
            </w:r>
            <w:r>
              <w:rPr>
                <w:rFonts w:ascii="微软雅黑" w:eastAsia="微软雅黑" w:hAnsi="微软雅黑" w:cs="微软雅黑" w:hint="eastAsia"/>
                <w:sz w:val="18"/>
                <w:szCs w:val="18"/>
              </w:rPr>
              <w:t>瑅</w:t>
            </w:r>
            <w:r>
              <w:rPr>
                <w:rFonts w:ascii="Arial" w:eastAsia="仿宋_GB2312" w:hAnsi="Arial" w:cs="Arial" w:hint="eastAsia"/>
                <w:sz w:val="18"/>
                <w:szCs w:val="18"/>
              </w:rPr>
              <w:tab/>
            </w:r>
          </w:p>
        </w:tc>
        <w:tc>
          <w:tcPr>
            <w:tcW w:w="1994" w:type="dxa"/>
            <w:gridSpan w:val="2"/>
            <w:tcBorders>
              <w:top w:val="single" w:sz="4" w:space="0" w:color="auto"/>
              <w:left w:val="single" w:sz="4" w:space="0" w:color="auto"/>
              <w:bottom w:val="single" w:sz="4" w:space="0" w:color="auto"/>
              <w:right w:val="single" w:sz="4" w:space="0" w:color="000000"/>
            </w:tcBorders>
          </w:tcPr>
          <w:p w14:paraId="259C7909" w14:textId="77777777" w:rsidR="0062768B" w:rsidRDefault="00136729">
            <w:pPr>
              <w:widowControl/>
              <w:spacing w:line="240" w:lineRule="exact"/>
              <w:jc w:val="center"/>
              <w:rPr>
                <w:rFonts w:ascii="Arial" w:eastAsia="仿宋_GB2312" w:hAnsi="Arial" w:cs="Arial"/>
                <w:sz w:val="20"/>
              </w:rPr>
            </w:pPr>
            <w:r>
              <w:rPr>
                <w:rFonts w:ascii="Arial" w:eastAsia="仿宋_GB2312" w:hAnsi="Arial" w:cs="Arial" w:hint="eastAsia"/>
                <w:sz w:val="18"/>
                <w:szCs w:val="18"/>
              </w:rPr>
              <w:t>招商中建·顺义</w:t>
            </w:r>
            <w:proofErr w:type="gramStart"/>
            <w:r>
              <w:rPr>
                <w:rFonts w:ascii="Arial" w:eastAsia="仿宋_GB2312" w:hAnsi="Arial" w:cs="Arial" w:hint="eastAsia"/>
                <w:sz w:val="18"/>
                <w:szCs w:val="18"/>
              </w:rPr>
              <w:t>臻珑</w:t>
            </w:r>
            <w:proofErr w:type="gramEnd"/>
            <w:r>
              <w:rPr>
                <w:rFonts w:ascii="Arial" w:eastAsia="仿宋_GB2312" w:hAnsi="Arial" w:cs="Arial" w:hint="eastAsia"/>
                <w:sz w:val="18"/>
                <w:szCs w:val="18"/>
              </w:rPr>
              <w:t>府</w:t>
            </w:r>
          </w:p>
        </w:tc>
      </w:tr>
      <w:tr w:rsidR="0062768B" w14:paraId="6A25EBE6" w14:textId="77777777">
        <w:trPr>
          <w:cantSplit/>
          <w:jc w:val="center"/>
        </w:trPr>
        <w:tc>
          <w:tcPr>
            <w:tcW w:w="31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AE81ACA"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交易时间</w:t>
            </w:r>
          </w:p>
        </w:tc>
        <w:tc>
          <w:tcPr>
            <w:tcW w:w="961" w:type="dxa"/>
            <w:tcBorders>
              <w:top w:val="single" w:sz="4" w:space="0" w:color="auto"/>
              <w:left w:val="single" w:sz="4" w:space="0" w:color="auto"/>
              <w:bottom w:val="single" w:sz="4" w:space="0" w:color="auto"/>
            </w:tcBorders>
            <w:vAlign w:val="center"/>
          </w:tcPr>
          <w:p w14:paraId="155890A0"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single" w:sz="4" w:space="0" w:color="auto"/>
              <w:bottom w:val="single" w:sz="4" w:space="0" w:color="auto"/>
              <w:right w:val="single" w:sz="4" w:space="0" w:color="auto"/>
            </w:tcBorders>
            <w:vAlign w:val="center"/>
          </w:tcPr>
          <w:p w14:paraId="01B10A6B"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hint="eastAsia"/>
                <w:sz w:val="20"/>
              </w:rPr>
              <w:t>100</w:t>
            </w:r>
          </w:p>
        </w:tc>
        <w:tc>
          <w:tcPr>
            <w:tcW w:w="921" w:type="dxa"/>
            <w:tcBorders>
              <w:top w:val="single" w:sz="4" w:space="0" w:color="auto"/>
              <w:left w:val="single" w:sz="4" w:space="0" w:color="auto"/>
              <w:bottom w:val="single" w:sz="4" w:space="0" w:color="auto"/>
            </w:tcBorders>
            <w:vAlign w:val="center"/>
          </w:tcPr>
          <w:p w14:paraId="7FE95880"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046" w:type="dxa"/>
            <w:tcBorders>
              <w:top w:val="single" w:sz="4" w:space="0" w:color="auto"/>
              <w:bottom w:val="single" w:sz="4" w:space="0" w:color="auto"/>
              <w:right w:val="single" w:sz="4" w:space="0" w:color="auto"/>
            </w:tcBorders>
            <w:vAlign w:val="center"/>
          </w:tcPr>
          <w:p w14:paraId="35F51818"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hint="eastAsia"/>
                <w:sz w:val="20"/>
              </w:rPr>
              <w:t>100</w:t>
            </w:r>
          </w:p>
        </w:tc>
        <w:tc>
          <w:tcPr>
            <w:tcW w:w="845" w:type="dxa"/>
            <w:tcBorders>
              <w:top w:val="single" w:sz="4" w:space="0" w:color="auto"/>
              <w:left w:val="single" w:sz="4" w:space="0" w:color="auto"/>
              <w:bottom w:val="single" w:sz="4" w:space="0" w:color="auto"/>
            </w:tcBorders>
            <w:vAlign w:val="center"/>
          </w:tcPr>
          <w:p w14:paraId="16AA295D"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single" w:sz="4" w:space="0" w:color="auto"/>
              <w:bottom w:val="single" w:sz="4" w:space="0" w:color="auto"/>
              <w:right w:val="single" w:sz="4" w:space="0" w:color="auto"/>
            </w:tcBorders>
            <w:vAlign w:val="center"/>
          </w:tcPr>
          <w:p w14:paraId="190183B1"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hint="eastAsia"/>
                <w:sz w:val="20"/>
              </w:rPr>
              <w:t>100</w:t>
            </w:r>
          </w:p>
        </w:tc>
      </w:tr>
      <w:tr w:rsidR="0062768B" w14:paraId="3986EC64" w14:textId="77777777">
        <w:trPr>
          <w:cantSplit/>
          <w:jc w:val="center"/>
        </w:trPr>
        <w:tc>
          <w:tcPr>
            <w:tcW w:w="31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BD7C526"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交易情况</w:t>
            </w:r>
          </w:p>
        </w:tc>
        <w:tc>
          <w:tcPr>
            <w:tcW w:w="961" w:type="dxa"/>
            <w:tcBorders>
              <w:top w:val="single" w:sz="4" w:space="0" w:color="auto"/>
              <w:left w:val="single" w:sz="4" w:space="0" w:color="auto"/>
              <w:bottom w:val="single" w:sz="4" w:space="0" w:color="auto"/>
            </w:tcBorders>
            <w:vAlign w:val="center"/>
          </w:tcPr>
          <w:p w14:paraId="2FB3208B"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single" w:sz="4" w:space="0" w:color="auto"/>
              <w:bottom w:val="single" w:sz="4" w:space="0" w:color="auto"/>
              <w:right w:val="single" w:sz="4" w:space="0" w:color="auto"/>
            </w:tcBorders>
            <w:vAlign w:val="center"/>
          </w:tcPr>
          <w:p w14:paraId="05F430E4"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100</w:t>
            </w:r>
          </w:p>
        </w:tc>
        <w:tc>
          <w:tcPr>
            <w:tcW w:w="921" w:type="dxa"/>
            <w:tcBorders>
              <w:top w:val="single" w:sz="4" w:space="0" w:color="auto"/>
              <w:left w:val="single" w:sz="4" w:space="0" w:color="auto"/>
              <w:bottom w:val="single" w:sz="4" w:space="0" w:color="auto"/>
            </w:tcBorders>
            <w:vAlign w:val="center"/>
          </w:tcPr>
          <w:p w14:paraId="04045DBE"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046" w:type="dxa"/>
            <w:tcBorders>
              <w:top w:val="single" w:sz="4" w:space="0" w:color="auto"/>
              <w:bottom w:val="single" w:sz="4" w:space="0" w:color="auto"/>
              <w:right w:val="single" w:sz="4" w:space="0" w:color="auto"/>
            </w:tcBorders>
            <w:vAlign w:val="center"/>
          </w:tcPr>
          <w:p w14:paraId="368CFD5E"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c>
          <w:tcPr>
            <w:tcW w:w="845" w:type="dxa"/>
            <w:tcBorders>
              <w:top w:val="single" w:sz="4" w:space="0" w:color="auto"/>
              <w:left w:val="single" w:sz="4" w:space="0" w:color="auto"/>
              <w:bottom w:val="single" w:sz="4" w:space="0" w:color="auto"/>
            </w:tcBorders>
            <w:vAlign w:val="center"/>
          </w:tcPr>
          <w:p w14:paraId="59E0D397"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single" w:sz="4" w:space="0" w:color="auto"/>
              <w:bottom w:val="single" w:sz="4" w:space="0" w:color="auto"/>
              <w:right w:val="single" w:sz="4" w:space="0" w:color="auto"/>
            </w:tcBorders>
            <w:vAlign w:val="center"/>
          </w:tcPr>
          <w:p w14:paraId="21223CE5"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r>
      <w:tr w:rsidR="0062768B" w14:paraId="5FDD17E6" w14:textId="77777777">
        <w:trPr>
          <w:cantSplit/>
          <w:jc w:val="center"/>
        </w:trPr>
        <w:tc>
          <w:tcPr>
            <w:tcW w:w="3179" w:type="dxa"/>
            <w:gridSpan w:val="2"/>
            <w:tcBorders>
              <w:top w:val="nil"/>
              <w:left w:val="single" w:sz="4" w:space="0" w:color="auto"/>
              <w:bottom w:val="single" w:sz="4" w:space="0" w:color="auto"/>
              <w:right w:val="single" w:sz="4" w:space="0" w:color="auto"/>
            </w:tcBorders>
            <w:shd w:val="clear" w:color="auto" w:fill="auto"/>
            <w:vAlign w:val="bottom"/>
          </w:tcPr>
          <w:p w14:paraId="082791F2"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用途</w:t>
            </w:r>
          </w:p>
        </w:tc>
        <w:tc>
          <w:tcPr>
            <w:tcW w:w="961" w:type="dxa"/>
            <w:tcBorders>
              <w:top w:val="nil"/>
              <w:left w:val="nil"/>
              <w:bottom w:val="single" w:sz="4" w:space="0" w:color="auto"/>
            </w:tcBorders>
            <w:vAlign w:val="center"/>
          </w:tcPr>
          <w:p w14:paraId="7116ADAE"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0E11D1F8"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100</w:t>
            </w:r>
          </w:p>
        </w:tc>
        <w:tc>
          <w:tcPr>
            <w:tcW w:w="921" w:type="dxa"/>
            <w:tcBorders>
              <w:top w:val="nil"/>
              <w:left w:val="single" w:sz="4" w:space="0" w:color="auto"/>
              <w:bottom w:val="single" w:sz="4" w:space="0" w:color="auto"/>
            </w:tcBorders>
            <w:vAlign w:val="center"/>
          </w:tcPr>
          <w:p w14:paraId="5CB0BDFB"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vAlign w:val="center"/>
          </w:tcPr>
          <w:p w14:paraId="03752A71"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c>
          <w:tcPr>
            <w:tcW w:w="845" w:type="dxa"/>
            <w:tcBorders>
              <w:top w:val="nil"/>
              <w:left w:val="single" w:sz="4" w:space="0" w:color="auto"/>
              <w:bottom w:val="single" w:sz="4" w:space="0" w:color="auto"/>
            </w:tcBorders>
            <w:vAlign w:val="center"/>
          </w:tcPr>
          <w:p w14:paraId="40E9E5E0"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vAlign w:val="center"/>
          </w:tcPr>
          <w:p w14:paraId="68249E63"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r>
      <w:tr w:rsidR="0062768B" w14:paraId="7A00D9D7" w14:textId="77777777">
        <w:trPr>
          <w:cantSplit/>
          <w:jc w:val="center"/>
        </w:trPr>
        <w:tc>
          <w:tcPr>
            <w:tcW w:w="3179" w:type="dxa"/>
            <w:gridSpan w:val="2"/>
            <w:tcBorders>
              <w:top w:val="nil"/>
              <w:left w:val="single" w:sz="4" w:space="0" w:color="auto"/>
              <w:bottom w:val="single" w:sz="4" w:space="0" w:color="auto"/>
              <w:right w:val="single" w:sz="4" w:space="0" w:color="auto"/>
            </w:tcBorders>
            <w:shd w:val="clear" w:color="auto" w:fill="auto"/>
            <w:vAlign w:val="center"/>
          </w:tcPr>
          <w:p w14:paraId="3FEACDE3"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土地使用年限</w:t>
            </w:r>
          </w:p>
        </w:tc>
        <w:tc>
          <w:tcPr>
            <w:tcW w:w="961" w:type="dxa"/>
            <w:tcBorders>
              <w:top w:val="nil"/>
              <w:left w:val="nil"/>
              <w:bottom w:val="single" w:sz="4" w:space="0" w:color="auto"/>
            </w:tcBorders>
            <w:vAlign w:val="center"/>
          </w:tcPr>
          <w:p w14:paraId="2DE9568E"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6BAA5E4C"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100</w:t>
            </w:r>
          </w:p>
        </w:tc>
        <w:tc>
          <w:tcPr>
            <w:tcW w:w="921" w:type="dxa"/>
            <w:tcBorders>
              <w:top w:val="nil"/>
              <w:left w:val="single" w:sz="4" w:space="0" w:color="auto"/>
              <w:bottom w:val="single" w:sz="4" w:space="0" w:color="auto"/>
            </w:tcBorders>
            <w:vAlign w:val="center"/>
          </w:tcPr>
          <w:p w14:paraId="01F08C37"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vAlign w:val="center"/>
          </w:tcPr>
          <w:p w14:paraId="043FBE2D"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c>
          <w:tcPr>
            <w:tcW w:w="845" w:type="dxa"/>
            <w:tcBorders>
              <w:top w:val="nil"/>
              <w:left w:val="single" w:sz="4" w:space="0" w:color="auto"/>
              <w:bottom w:val="single" w:sz="4" w:space="0" w:color="auto"/>
            </w:tcBorders>
            <w:vAlign w:val="center"/>
          </w:tcPr>
          <w:p w14:paraId="1C6F6D90"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vAlign w:val="center"/>
          </w:tcPr>
          <w:p w14:paraId="79CAF408"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r>
      <w:tr w:rsidR="0062768B" w14:paraId="592D3585" w14:textId="77777777">
        <w:trPr>
          <w:cantSplit/>
          <w:jc w:val="center"/>
        </w:trPr>
        <w:tc>
          <w:tcPr>
            <w:tcW w:w="3179" w:type="dxa"/>
            <w:gridSpan w:val="2"/>
            <w:tcBorders>
              <w:top w:val="nil"/>
              <w:left w:val="single" w:sz="4" w:space="0" w:color="auto"/>
              <w:bottom w:val="single" w:sz="4" w:space="0" w:color="auto"/>
              <w:right w:val="single" w:sz="4" w:space="0" w:color="auto"/>
            </w:tcBorders>
            <w:shd w:val="clear" w:color="auto" w:fill="auto"/>
            <w:vAlign w:val="center"/>
          </w:tcPr>
          <w:p w14:paraId="0DB20A2A" w14:textId="77777777" w:rsidR="0062768B" w:rsidRDefault="00136729">
            <w:pPr>
              <w:widowControl/>
              <w:spacing w:line="240" w:lineRule="exact"/>
              <w:rPr>
                <w:rFonts w:ascii="Arial" w:eastAsia="仿宋_GB2312" w:hAnsi="Arial" w:cs="Arial"/>
                <w:sz w:val="20"/>
              </w:rPr>
            </w:pPr>
            <w:r>
              <w:rPr>
                <w:rFonts w:ascii="Arial" w:eastAsia="仿宋_GB2312" w:hAnsi="Arial" w:cs="Arial" w:hint="eastAsia"/>
                <w:sz w:val="20"/>
              </w:rPr>
              <w:t>容积率</w:t>
            </w:r>
          </w:p>
        </w:tc>
        <w:tc>
          <w:tcPr>
            <w:tcW w:w="961" w:type="dxa"/>
            <w:tcBorders>
              <w:top w:val="nil"/>
              <w:left w:val="nil"/>
              <w:bottom w:val="single" w:sz="4" w:space="0" w:color="auto"/>
            </w:tcBorders>
            <w:vAlign w:val="center"/>
          </w:tcPr>
          <w:p w14:paraId="023CA6E2"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6BDAD35D"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100</w:t>
            </w:r>
          </w:p>
        </w:tc>
        <w:tc>
          <w:tcPr>
            <w:tcW w:w="921" w:type="dxa"/>
            <w:tcBorders>
              <w:top w:val="nil"/>
              <w:left w:val="single" w:sz="4" w:space="0" w:color="auto"/>
              <w:bottom w:val="single" w:sz="4" w:space="0" w:color="auto"/>
            </w:tcBorders>
            <w:vAlign w:val="center"/>
          </w:tcPr>
          <w:p w14:paraId="44EB7785"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vAlign w:val="center"/>
          </w:tcPr>
          <w:p w14:paraId="185506E8"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c>
          <w:tcPr>
            <w:tcW w:w="845" w:type="dxa"/>
            <w:tcBorders>
              <w:top w:val="nil"/>
              <w:left w:val="single" w:sz="4" w:space="0" w:color="auto"/>
              <w:bottom w:val="single" w:sz="4" w:space="0" w:color="auto"/>
            </w:tcBorders>
            <w:vAlign w:val="center"/>
          </w:tcPr>
          <w:p w14:paraId="10F6A0BD"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vAlign w:val="center"/>
          </w:tcPr>
          <w:p w14:paraId="60813DD0"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99</w:t>
            </w:r>
          </w:p>
        </w:tc>
      </w:tr>
      <w:tr w:rsidR="0062768B" w14:paraId="15FBE602" w14:textId="77777777">
        <w:trPr>
          <w:cantSplit/>
          <w:jc w:val="center"/>
        </w:trPr>
        <w:tc>
          <w:tcPr>
            <w:tcW w:w="1277" w:type="dxa"/>
            <w:vMerge w:val="restart"/>
            <w:tcBorders>
              <w:top w:val="nil"/>
              <w:left w:val="single" w:sz="4" w:space="0" w:color="auto"/>
              <w:right w:val="single" w:sz="4" w:space="0" w:color="auto"/>
            </w:tcBorders>
            <w:shd w:val="clear" w:color="auto" w:fill="auto"/>
            <w:vAlign w:val="center"/>
          </w:tcPr>
          <w:p w14:paraId="366B0ACE"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区域因素</w:t>
            </w:r>
          </w:p>
        </w:tc>
        <w:tc>
          <w:tcPr>
            <w:tcW w:w="1902" w:type="dxa"/>
            <w:tcBorders>
              <w:top w:val="nil"/>
              <w:left w:val="nil"/>
              <w:bottom w:val="single" w:sz="4" w:space="0" w:color="auto"/>
              <w:right w:val="single" w:sz="4" w:space="0" w:color="auto"/>
            </w:tcBorders>
            <w:shd w:val="clear" w:color="auto" w:fill="auto"/>
            <w:noWrap/>
          </w:tcPr>
          <w:p w14:paraId="438A525C"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住宅社区成熟度</w:t>
            </w:r>
          </w:p>
        </w:tc>
        <w:tc>
          <w:tcPr>
            <w:tcW w:w="961" w:type="dxa"/>
            <w:tcBorders>
              <w:top w:val="nil"/>
              <w:left w:val="nil"/>
              <w:bottom w:val="single" w:sz="4" w:space="0" w:color="auto"/>
            </w:tcBorders>
            <w:vAlign w:val="center"/>
          </w:tcPr>
          <w:p w14:paraId="2C865EE0"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39F28DD8"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102</w:t>
            </w:r>
          </w:p>
        </w:tc>
        <w:tc>
          <w:tcPr>
            <w:tcW w:w="921" w:type="dxa"/>
            <w:tcBorders>
              <w:top w:val="nil"/>
              <w:left w:val="single" w:sz="4" w:space="0" w:color="auto"/>
              <w:bottom w:val="single" w:sz="4" w:space="0" w:color="auto"/>
            </w:tcBorders>
            <w:vAlign w:val="center"/>
          </w:tcPr>
          <w:p w14:paraId="29386279" w14:textId="77777777" w:rsidR="0062768B" w:rsidRDefault="00136729">
            <w:pPr>
              <w:widowControl/>
              <w:spacing w:line="240" w:lineRule="exact"/>
              <w:ind w:firstLineChars="63" w:firstLine="126"/>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vAlign w:val="center"/>
          </w:tcPr>
          <w:p w14:paraId="73268EFA"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c>
          <w:tcPr>
            <w:tcW w:w="845" w:type="dxa"/>
            <w:tcBorders>
              <w:top w:val="nil"/>
              <w:left w:val="single" w:sz="4" w:space="0" w:color="auto"/>
              <w:bottom w:val="single" w:sz="4" w:space="0" w:color="auto"/>
            </w:tcBorders>
            <w:vAlign w:val="center"/>
          </w:tcPr>
          <w:p w14:paraId="2947F08D"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vAlign w:val="center"/>
          </w:tcPr>
          <w:p w14:paraId="47E42212"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102</w:t>
            </w:r>
          </w:p>
        </w:tc>
      </w:tr>
      <w:tr w:rsidR="0062768B" w14:paraId="203B92B4" w14:textId="77777777">
        <w:trPr>
          <w:cantSplit/>
          <w:jc w:val="center"/>
        </w:trPr>
        <w:tc>
          <w:tcPr>
            <w:tcW w:w="1277" w:type="dxa"/>
            <w:vMerge/>
            <w:tcBorders>
              <w:left w:val="single" w:sz="4" w:space="0" w:color="auto"/>
              <w:right w:val="single" w:sz="4" w:space="0" w:color="auto"/>
            </w:tcBorders>
            <w:vAlign w:val="center"/>
          </w:tcPr>
          <w:p w14:paraId="7BB3898E" w14:textId="77777777" w:rsidR="0062768B" w:rsidRDefault="0062768B">
            <w:pPr>
              <w:widowControl/>
              <w:spacing w:line="240" w:lineRule="exact"/>
              <w:rPr>
                <w:rFonts w:ascii="Arial" w:eastAsia="仿宋_GB2312" w:hAnsi="Arial" w:cs="Arial"/>
                <w:sz w:val="20"/>
              </w:rPr>
            </w:pPr>
          </w:p>
        </w:tc>
        <w:tc>
          <w:tcPr>
            <w:tcW w:w="1902" w:type="dxa"/>
            <w:tcBorders>
              <w:top w:val="nil"/>
              <w:left w:val="nil"/>
              <w:bottom w:val="single" w:sz="4" w:space="0" w:color="auto"/>
              <w:right w:val="single" w:sz="4" w:space="0" w:color="auto"/>
            </w:tcBorders>
            <w:shd w:val="clear" w:color="auto" w:fill="auto"/>
            <w:noWrap/>
          </w:tcPr>
          <w:p w14:paraId="31B0FA95"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交通便捷度</w:t>
            </w:r>
          </w:p>
        </w:tc>
        <w:tc>
          <w:tcPr>
            <w:tcW w:w="961" w:type="dxa"/>
            <w:tcBorders>
              <w:top w:val="nil"/>
              <w:left w:val="nil"/>
              <w:bottom w:val="single" w:sz="4" w:space="0" w:color="auto"/>
            </w:tcBorders>
            <w:vAlign w:val="center"/>
          </w:tcPr>
          <w:p w14:paraId="6D89F27A"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6028360B"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102</w:t>
            </w:r>
          </w:p>
        </w:tc>
        <w:tc>
          <w:tcPr>
            <w:tcW w:w="921" w:type="dxa"/>
            <w:tcBorders>
              <w:top w:val="nil"/>
              <w:left w:val="single" w:sz="4" w:space="0" w:color="auto"/>
              <w:bottom w:val="single" w:sz="4" w:space="0" w:color="auto"/>
            </w:tcBorders>
            <w:vAlign w:val="center"/>
          </w:tcPr>
          <w:p w14:paraId="01AE2A6D" w14:textId="77777777" w:rsidR="0062768B" w:rsidRDefault="00136729">
            <w:pPr>
              <w:widowControl/>
              <w:spacing w:line="240" w:lineRule="exact"/>
              <w:ind w:firstLineChars="63" w:firstLine="126"/>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tcPr>
          <w:p w14:paraId="119E56B1" w14:textId="77777777" w:rsidR="0062768B" w:rsidRDefault="00136729">
            <w:pPr>
              <w:widowControl/>
              <w:spacing w:line="240" w:lineRule="exact"/>
              <w:ind w:leftChars="-45" w:left="-108" w:firstLineChars="44" w:firstLine="88"/>
              <w:rPr>
                <w:rFonts w:ascii="Arial" w:eastAsia="仿宋_GB2312" w:hAnsi="Arial" w:cs="Arial"/>
                <w:sz w:val="20"/>
              </w:rPr>
            </w:pPr>
            <w:r>
              <w:rPr>
                <w:rFonts w:ascii="Arial" w:eastAsia="仿宋_GB2312" w:hAnsi="Arial" w:cs="Arial"/>
                <w:sz w:val="20"/>
              </w:rPr>
              <w:t>102</w:t>
            </w:r>
          </w:p>
        </w:tc>
        <w:tc>
          <w:tcPr>
            <w:tcW w:w="845" w:type="dxa"/>
            <w:tcBorders>
              <w:top w:val="nil"/>
              <w:left w:val="single" w:sz="4" w:space="0" w:color="auto"/>
              <w:bottom w:val="single" w:sz="4" w:space="0" w:color="auto"/>
            </w:tcBorders>
            <w:vAlign w:val="center"/>
          </w:tcPr>
          <w:p w14:paraId="02707589"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tcPr>
          <w:p w14:paraId="2F59B9D9" w14:textId="77777777" w:rsidR="0062768B" w:rsidRDefault="00136729">
            <w:pPr>
              <w:widowControl/>
              <w:spacing w:line="240" w:lineRule="exact"/>
              <w:ind w:leftChars="-45" w:left="-108" w:firstLineChars="42" w:firstLine="84"/>
              <w:rPr>
                <w:rFonts w:ascii="Arial" w:eastAsia="仿宋_GB2312" w:hAnsi="Arial" w:cs="Arial"/>
                <w:sz w:val="20"/>
              </w:rPr>
            </w:pPr>
            <w:r>
              <w:rPr>
                <w:rFonts w:ascii="Arial" w:eastAsia="仿宋_GB2312" w:hAnsi="Arial" w:cs="Arial"/>
                <w:sz w:val="20"/>
              </w:rPr>
              <w:t>102</w:t>
            </w:r>
          </w:p>
        </w:tc>
      </w:tr>
      <w:tr w:rsidR="0062768B" w14:paraId="1585C16B" w14:textId="77777777">
        <w:trPr>
          <w:cantSplit/>
          <w:jc w:val="center"/>
        </w:trPr>
        <w:tc>
          <w:tcPr>
            <w:tcW w:w="1277" w:type="dxa"/>
            <w:vMerge/>
            <w:tcBorders>
              <w:left w:val="single" w:sz="4" w:space="0" w:color="auto"/>
              <w:right w:val="single" w:sz="4" w:space="0" w:color="auto"/>
            </w:tcBorders>
            <w:vAlign w:val="center"/>
          </w:tcPr>
          <w:p w14:paraId="2877B7D8" w14:textId="77777777" w:rsidR="0062768B" w:rsidRDefault="0062768B">
            <w:pPr>
              <w:widowControl/>
              <w:spacing w:line="240" w:lineRule="exact"/>
              <w:rPr>
                <w:rFonts w:ascii="Arial" w:eastAsia="仿宋_GB2312" w:hAnsi="Arial" w:cs="Arial"/>
                <w:sz w:val="20"/>
              </w:rPr>
            </w:pPr>
          </w:p>
        </w:tc>
        <w:tc>
          <w:tcPr>
            <w:tcW w:w="1902" w:type="dxa"/>
            <w:tcBorders>
              <w:top w:val="nil"/>
              <w:left w:val="nil"/>
              <w:bottom w:val="single" w:sz="4" w:space="0" w:color="auto"/>
              <w:right w:val="single" w:sz="4" w:space="0" w:color="auto"/>
            </w:tcBorders>
            <w:shd w:val="clear" w:color="auto" w:fill="auto"/>
            <w:noWrap/>
          </w:tcPr>
          <w:p w14:paraId="13D492A4"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公共配套设施</w:t>
            </w:r>
          </w:p>
        </w:tc>
        <w:tc>
          <w:tcPr>
            <w:tcW w:w="961" w:type="dxa"/>
            <w:tcBorders>
              <w:top w:val="nil"/>
              <w:left w:val="nil"/>
              <w:bottom w:val="single" w:sz="4" w:space="0" w:color="auto"/>
            </w:tcBorders>
            <w:vAlign w:val="center"/>
          </w:tcPr>
          <w:p w14:paraId="5D0A67C1"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733B5092"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100</w:t>
            </w:r>
          </w:p>
        </w:tc>
        <w:tc>
          <w:tcPr>
            <w:tcW w:w="921" w:type="dxa"/>
            <w:tcBorders>
              <w:top w:val="nil"/>
              <w:left w:val="single" w:sz="4" w:space="0" w:color="auto"/>
              <w:bottom w:val="single" w:sz="4" w:space="0" w:color="auto"/>
            </w:tcBorders>
            <w:vAlign w:val="center"/>
          </w:tcPr>
          <w:p w14:paraId="458EDBBD" w14:textId="77777777" w:rsidR="0062768B" w:rsidRDefault="00136729">
            <w:pPr>
              <w:widowControl/>
              <w:spacing w:line="240" w:lineRule="exact"/>
              <w:ind w:firstLineChars="63" w:firstLine="126"/>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tcPr>
          <w:p w14:paraId="1490AE51" w14:textId="77777777" w:rsidR="0062768B" w:rsidRDefault="00136729">
            <w:pPr>
              <w:widowControl/>
              <w:spacing w:line="240" w:lineRule="exact"/>
              <w:ind w:leftChars="-45" w:left="-108" w:firstLineChars="44" w:firstLine="88"/>
              <w:rPr>
                <w:rFonts w:ascii="Arial" w:eastAsia="仿宋_GB2312" w:hAnsi="Arial" w:cs="Arial"/>
                <w:sz w:val="20"/>
              </w:rPr>
            </w:pPr>
            <w:r>
              <w:rPr>
                <w:rFonts w:ascii="Arial" w:eastAsia="仿宋_GB2312" w:hAnsi="Arial" w:cs="Arial"/>
                <w:sz w:val="20"/>
              </w:rPr>
              <w:t>100</w:t>
            </w:r>
          </w:p>
        </w:tc>
        <w:tc>
          <w:tcPr>
            <w:tcW w:w="845" w:type="dxa"/>
            <w:tcBorders>
              <w:top w:val="nil"/>
              <w:left w:val="single" w:sz="4" w:space="0" w:color="auto"/>
              <w:bottom w:val="single" w:sz="4" w:space="0" w:color="auto"/>
            </w:tcBorders>
            <w:vAlign w:val="center"/>
          </w:tcPr>
          <w:p w14:paraId="0D7C05F0"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tcPr>
          <w:p w14:paraId="69FC779D" w14:textId="77777777" w:rsidR="0062768B" w:rsidRDefault="00136729">
            <w:pPr>
              <w:widowControl/>
              <w:spacing w:line="240" w:lineRule="exact"/>
              <w:ind w:leftChars="-45" w:left="-108" w:firstLineChars="42" w:firstLine="84"/>
              <w:rPr>
                <w:rFonts w:ascii="Arial" w:eastAsia="仿宋_GB2312" w:hAnsi="Arial" w:cs="Arial"/>
                <w:sz w:val="20"/>
              </w:rPr>
            </w:pPr>
            <w:r>
              <w:rPr>
                <w:rFonts w:ascii="Arial" w:eastAsia="仿宋_GB2312" w:hAnsi="Arial" w:cs="Arial"/>
                <w:sz w:val="20"/>
              </w:rPr>
              <w:t>10</w:t>
            </w:r>
            <w:r>
              <w:rPr>
                <w:rFonts w:ascii="Arial" w:eastAsia="仿宋_GB2312" w:hAnsi="Arial" w:cs="Arial" w:hint="eastAsia"/>
                <w:sz w:val="20"/>
              </w:rPr>
              <w:t>2</w:t>
            </w:r>
          </w:p>
        </w:tc>
      </w:tr>
      <w:tr w:rsidR="0062768B" w14:paraId="093C6F04" w14:textId="77777777">
        <w:trPr>
          <w:cantSplit/>
          <w:jc w:val="center"/>
        </w:trPr>
        <w:tc>
          <w:tcPr>
            <w:tcW w:w="1277" w:type="dxa"/>
            <w:vMerge/>
            <w:tcBorders>
              <w:left w:val="single" w:sz="4" w:space="0" w:color="auto"/>
              <w:right w:val="single" w:sz="4" w:space="0" w:color="auto"/>
            </w:tcBorders>
            <w:vAlign w:val="center"/>
          </w:tcPr>
          <w:p w14:paraId="4759D141" w14:textId="77777777" w:rsidR="0062768B" w:rsidRDefault="0062768B">
            <w:pPr>
              <w:widowControl/>
              <w:spacing w:line="240" w:lineRule="exact"/>
              <w:rPr>
                <w:rFonts w:ascii="Arial" w:eastAsia="仿宋_GB2312" w:hAnsi="Arial" w:cs="Arial"/>
                <w:sz w:val="20"/>
              </w:rPr>
            </w:pPr>
          </w:p>
        </w:tc>
        <w:tc>
          <w:tcPr>
            <w:tcW w:w="1902" w:type="dxa"/>
            <w:tcBorders>
              <w:top w:val="nil"/>
              <w:left w:val="nil"/>
              <w:bottom w:val="single" w:sz="4" w:space="0" w:color="auto"/>
              <w:right w:val="single" w:sz="4" w:space="0" w:color="auto"/>
            </w:tcBorders>
            <w:shd w:val="clear" w:color="auto" w:fill="auto"/>
            <w:noWrap/>
            <w:vAlign w:val="center"/>
          </w:tcPr>
          <w:p w14:paraId="5BBD8AF8"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红线外基础设施水平</w:t>
            </w:r>
          </w:p>
        </w:tc>
        <w:tc>
          <w:tcPr>
            <w:tcW w:w="961" w:type="dxa"/>
            <w:tcBorders>
              <w:top w:val="nil"/>
              <w:left w:val="nil"/>
              <w:bottom w:val="single" w:sz="4" w:space="0" w:color="auto"/>
            </w:tcBorders>
            <w:vAlign w:val="center"/>
          </w:tcPr>
          <w:p w14:paraId="11893C90"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58E52C70"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w:t>
            </w:r>
            <w:r>
              <w:rPr>
                <w:rFonts w:ascii="Arial" w:eastAsia="仿宋_GB2312" w:hAnsi="Arial" w:cs="Arial" w:hint="eastAsia"/>
                <w:sz w:val="20"/>
              </w:rPr>
              <w:t>0</w:t>
            </w:r>
          </w:p>
        </w:tc>
        <w:tc>
          <w:tcPr>
            <w:tcW w:w="921" w:type="dxa"/>
            <w:tcBorders>
              <w:top w:val="nil"/>
              <w:left w:val="single" w:sz="4" w:space="0" w:color="auto"/>
              <w:bottom w:val="single" w:sz="4" w:space="0" w:color="auto"/>
            </w:tcBorders>
            <w:vAlign w:val="center"/>
          </w:tcPr>
          <w:p w14:paraId="6AE6B381" w14:textId="77777777" w:rsidR="0062768B" w:rsidRDefault="00136729">
            <w:pPr>
              <w:widowControl/>
              <w:spacing w:line="240" w:lineRule="exact"/>
              <w:ind w:firstLineChars="63" w:firstLine="126"/>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vAlign w:val="center"/>
          </w:tcPr>
          <w:p w14:paraId="2F814E81"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w:t>
            </w:r>
            <w:r>
              <w:rPr>
                <w:rFonts w:ascii="Arial" w:eastAsia="仿宋_GB2312" w:hAnsi="Arial" w:cs="Arial" w:hint="eastAsia"/>
                <w:sz w:val="20"/>
              </w:rPr>
              <w:t>0</w:t>
            </w:r>
          </w:p>
        </w:tc>
        <w:tc>
          <w:tcPr>
            <w:tcW w:w="845" w:type="dxa"/>
            <w:tcBorders>
              <w:top w:val="nil"/>
              <w:left w:val="single" w:sz="4" w:space="0" w:color="auto"/>
              <w:bottom w:val="single" w:sz="4" w:space="0" w:color="auto"/>
            </w:tcBorders>
            <w:vAlign w:val="center"/>
          </w:tcPr>
          <w:p w14:paraId="0EAD8169"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vAlign w:val="center"/>
          </w:tcPr>
          <w:p w14:paraId="314A44C1"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w:t>
            </w:r>
            <w:r>
              <w:rPr>
                <w:rFonts w:ascii="Arial" w:eastAsia="仿宋_GB2312" w:hAnsi="Arial" w:cs="Arial" w:hint="eastAsia"/>
                <w:sz w:val="20"/>
              </w:rPr>
              <w:t>0</w:t>
            </w:r>
          </w:p>
        </w:tc>
      </w:tr>
      <w:tr w:rsidR="0062768B" w14:paraId="2944E390" w14:textId="77777777">
        <w:trPr>
          <w:cantSplit/>
          <w:jc w:val="center"/>
        </w:trPr>
        <w:tc>
          <w:tcPr>
            <w:tcW w:w="1277" w:type="dxa"/>
            <w:vMerge/>
            <w:tcBorders>
              <w:left w:val="single" w:sz="4" w:space="0" w:color="auto"/>
              <w:right w:val="single" w:sz="4" w:space="0" w:color="auto"/>
            </w:tcBorders>
            <w:vAlign w:val="center"/>
          </w:tcPr>
          <w:p w14:paraId="6E7BAA31" w14:textId="77777777" w:rsidR="0062768B" w:rsidRDefault="0062768B">
            <w:pPr>
              <w:widowControl/>
              <w:spacing w:line="240" w:lineRule="exact"/>
              <w:rPr>
                <w:rFonts w:ascii="Arial" w:eastAsia="仿宋_GB2312" w:hAnsi="Arial" w:cs="Arial"/>
                <w:sz w:val="20"/>
              </w:rPr>
            </w:pPr>
          </w:p>
        </w:tc>
        <w:tc>
          <w:tcPr>
            <w:tcW w:w="1902" w:type="dxa"/>
            <w:tcBorders>
              <w:top w:val="nil"/>
              <w:left w:val="nil"/>
              <w:bottom w:val="single" w:sz="4" w:space="0" w:color="auto"/>
              <w:right w:val="single" w:sz="4" w:space="0" w:color="auto"/>
            </w:tcBorders>
            <w:shd w:val="clear" w:color="auto" w:fill="auto"/>
            <w:noWrap/>
            <w:vAlign w:val="center"/>
          </w:tcPr>
          <w:p w14:paraId="193D0D6B"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环境质量</w:t>
            </w:r>
          </w:p>
        </w:tc>
        <w:tc>
          <w:tcPr>
            <w:tcW w:w="961" w:type="dxa"/>
            <w:tcBorders>
              <w:top w:val="nil"/>
              <w:left w:val="nil"/>
              <w:bottom w:val="single" w:sz="4" w:space="0" w:color="auto"/>
            </w:tcBorders>
            <w:vAlign w:val="center"/>
          </w:tcPr>
          <w:p w14:paraId="56387FD6"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508D16E6"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102</w:t>
            </w:r>
          </w:p>
        </w:tc>
        <w:tc>
          <w:tcPr>
            <w:tcW w:w="921" w:type="dxa"/>
            <w:tcBorders>
              <w:top w:val="nil"/>
              <w:left w:val="single" w:sz="4" w:space="0" w:color="auto"/>
              <w:bottom w:val="single" w:sz="4" w:space="0" w:color="auto"/>
            </w:tcBorders>
            <w:vAlign w:val="center"/>
          </w:tcPr>
          <w:p w14:paraId="4FB44D72"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vAlign w:val="center"/>
          </w:tcPr>
          <w:p w14:paraId="530BEABA"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98</w:t>
            </w:r>
          </w:p>
        </w:tc>
        <w:tc>
          <w:tcPr>
            <w:tcW w:w="845" w:type="dxa"/>
            <w:tcBorders>
              <w:top w:val="nil"/>
              <w:left w:val="single" w:sz="4" w:space="0" w:color="auto"/>
              <w:bottom w:val="single" w:sz="4" w:space="0" w:color="auto"/>
            </w:tcBorders>
            <w:vAlign w:val="center"/>
          </w:tcPr>
          <w:p w14:paraId="0B38B305"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vAlign w:val="center"/>
          </w:tcPr>
          <w:p w14:paraId="19388B4E"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104</w:t>
            </w:r>
          </w:p>
        </w:tc>
      </w:tr>
      <w:tr w:rsidR="0062768B" w14:paraId="3B38FAE2" w14:textId="77777777">
        <w:trPr>
          <w:cantSplit/>
          <w:jc w:val="center"/>
        </w:trPr>
        <w:tc>
          <w:tcPr>
            <w:tcW w:w="1277" w:type="dxa"/>
            <w:vMerge/>
            <w:tcBorders>
              <w:left w:val="single" w:sz="4" w:space="0" w:color="auto"/>
              <w:right w:val="single" w:sz="4" w:space="0" w:color="auto"/>
            </w:tcBorders>
            <w:vAlign w:val="center"/>
          </w:tcPr>
          <w:p w14:paraId="52DAD5F1" w14:textId="77777777" w:rsidR="0062768B" w:rsidRDefault="0062768B">
            <w:pPr>
              <w:widowControl/>
              <w:spacing w:line="240" w:lineRule="exact"/>
              <w:rPr>
                <w:rFonts w:ascii="Arial" w:eastAsia="仿宋_GB2312" w:hAnsi="Arial" w:cs="Arial"/>
                <w:sz w:val="20"/>
              </w:rPr>
            </w:pPr>
          </w:p>
        </w:tc>
        <w:tc>
          <w:tcPr>
            <w:tcW w:w="1902" w:type="dxa"/>
            <w:tcBorders>
              <w:top w:val="nil"/>
              <w:left w:val="nil"/>
              <w:bottom w:val="single" w:sz="4" w:space="0" w:color="auto"/>
              <w:right w:val="single" w:sz="4" w:space="0" w:color="auto"/>
            </w:tcBorders>
            <w:shd w:val="clear" w:color="auto" w:fill="auto"/>
            <w:noWrap/>
            <w:vAlign w:val="center"/>
          </w:tcPr>
          <w:p w14:paraId="304E5518"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道路级别</w:t>
            </w:r>
          </w:p>
        </w:tc>
        <w:tc>
          <w:tcPr>
            <w:tcW w:w="961" w:type="dxa"/>
            <w:tcBorders>
              <w:top w:val="nil"/>
              <w:left w:val="nil"/>
              <w:bottom w:val="single" w:sz="4" w:space="0" w:color="auto"/>
            </w:tcBorders>
            <w:vAlign w:val="center"/>
          </w:tcPr>
          <w:p w14:paraId="48234BB1"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0D1B9434"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9</w:t>
            </w:r>
            <w:r>
              <w:rPr>
                <w:rFonts w:ascii="Arial" w:eastAsia="仿宋_GB2312" w:hAnsi="Arial" w:cs="Arial" w:hint="eastAsia"/>
                <w:sz w:val="20"/>
              </w:rPr>
              <w:t>8.5</w:t>
            </w:r>
          </w:p>
        </w:tc>
        <w:tc>
          <w:tcPr>
            <w:tcW w:w="921" w:type="dxa"/>
            <w:tcBorders>
              <w:top w:val="nil"/>
              <w:left w:val="single" w:sz="4" w:space="0" w:color="auto"/>
              <w:bottom w:val="single" w:sz="4" w:space="0" w:color="auto"/>
            </w:tcBorders>
            <w:vAlign w:val="center"/>
          </w:tcPr>
          <w:p w14:paraId="76114CA1" w14:textId="77777777" w:rsidR="0062768B" w:rsidRDefault="00136729">
            <w:pPr>
              <w:widowControl/>
              <w:spacing w:line="240" w:lineRule="exact"/>
              <w:ind w:firstLineChars="63" w:firstLine="126"/>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vAlign w:val="center"/>
          </w:tcPr>
          <w:p w14:paraId="10B5B01B"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9</w:t>
            </w:r>
            <w:r>
              <w:rPr>
                <w:rFonts w:ascii="Arial" w:eastAsia="仿宋_GB2312" w:hAnsi="Arial" w:cs="Arial" w:hint="eastAsia"/>
                <w:sz w:val="20"/>
              </w:rPr>
              <w:t>8.5</w:t>
            </w:r>
          </w:p>
        </w:tc>
        <w:tc>
          <w:tcPr>
            <w:tcW w:w="845" w:type="dxa"/>
            <w:tcBorders>
              <w:top w:val="nil"/>
              <w:left w:val="single" w:sz="4" w:space="0" w:color="auto"/>
              <w:bottom w:val="single" w:sz="4" w:space="0" w:color="auto"/>
            </w:tcBorders>
            <w:vAlign w:val="center"/>
          </w:tcPr>
          <w:p w14:paraId="2531B9C7"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vAlign w:val="center"/>
          </w:tcPr>
          <w:p w14:paraId="7FB0C315"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r>
      <w:tr w:rsidR="0062768B" w14:paraId="49C2F0F1" w14:textId="77777777">
        <w:trPr>
          <w:cantSplit/>
          <w:jc w:val="center"/>
        </w:trPr>
        <w:tc>
          <w:tcPr>
            <w:tcW w:w="1277" w:type="dxa"/>
            <w:vMerge w:val="restart"/>
            <w:tcBorders>
              <w:top w:val="nil"/>
              <w:left w:val="single" w:sz="4" w:space="0" w:color="auto"/>
              <w:right w:val="single" w:sz="4" w:space="0" w:color="auto"/>
            </w:tcBorders>
            <w:shd w:val="clear" w:color="auto" w:fill="auto"/>
            <w:vAlign w:val="center"/>
          </w:tcPr>
          <w:p w14:paraId="13FD8C7E" w14:textId="77777777" w:rsidR="0062768B" w:rsidRDefault="00136729">
            <w:pPr>
              <w:spacing w:line="240" w:lineRule="exact"/>
              <w:rPr>
                <w:rFonts w:ascii="Arial" w:eastAsia="仿宋_GB2312" w:hAnsi="Arial" w:cs="Arial"/>
                <w:sz w:val="20"/>
              </w:rPr>
            </w:pPr>
            <w:r>
              <w:rPr>
                <w:rFonts w:ascii="Arial" w:eastAsia="仿宋_GB2312" w:hAnsi="Arial" w:cs="Arial"/>
                <w:sz w:val="20"/>
              </w:rPr>
              <w:t>个别因素</w:t>
            </w:r>
          </w:p>
        </w:tc>
        <w:tc>
          <w:tcPr>
            <w:tcW w:w="1902" w:type="dxa"/>
            <w:tcBorders>
              <w:top w:val="nil"/>
              <w:left w:val="nil"/>
              <w:bottom w:val="single" w:sz="4" w:space="0" w:color="auto"/>
              <w:right w:val="single" w:sz="4" w:space="0" w:color="auto"/>
            </w:tcBorders>
            <w:shd w:val="clear" w:color="auto" w:fill="auto"/>
            <w:noWrap/>
            <w:vAlign w:val="center"/>
          </w:tcPr>
          <w:p w14:paraId="01036FD4"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建筑类型</w:t>
            </w:r>
          </w:p>
        </w:tc>
        <w:tc>
          <w:tcPr>
            <w:tcW w:w="961" w:type="dxa"/>
            <w:tcBorders>
              <w:top w:val="nil"/>
              <w:left w:val="nil"/>
              <w:bottom w:val="single" w:sz="4" w:space="0" w:color="auto"/>
            </w:tcBorders>
            <w:vAlign w:val="center"/>
          </w:tcPr>
          <w:p w14:paraId="7BE5D860"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3BAADC34"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99</w:t>
            </w:r>
          </w:p>
        </w:tc>
        <w:tc>
          <w:tcPr>
            <w:tcW w:w="921" w:type="dxa"/>
            <w:tcBorders>
              <w:top w:val="nil"/>
              <w:left w:val="single" w:sz="4" w:space="0" w:color="auto"/>
              <w:bottom w:val="single" w:sz="4" w:space="0" w:color="auto"/>
            </w:tcBorders>
            <w:vAlign w:val="center"/>
          </w:tcPr>
          <w:p w14:paraId="24CE898A" w14:textId="77777777" w:rsidR="0062768B" w:rsidRDefault="00136729">
            <w:pPr>
              <w:widowControl/>
              <w:spacing w:line="240" w:lineRule="exact"/>
              <w:ind w:firstLineChars="63" w:firstLine="126"/>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vAlign w:val="center"/>
          </w:tcPr>
          <w:p w14:paraId="227F3406"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99</w:t>
            </w:r>
          </w:p>
        </w:tc>
        <w:tc>
          <w:tcPr>
            <w:tcW w:w="845" w:type="dxa"/>
            <w:tcBorders>
              <w:top w:val="nil"/>
              <w:left w:val="single" w:sz="4" w:space="0" w:color="auto"/>
              <w:bottom w:val="single" w:sz="4" w:space="0" w:color="auto"/>
            </w:tcBorders>
            <w:vAlign w:val="center"/>
          </w:tcPr>
          <w:p w14:paraId="04FB8933"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vAlign w:val="center"/>
          </w:tcPr>
          <w:p w14:paraId="40CB13CA"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99</w:t>
            </w:r>
          </w:p>
        </w:tc>
      </w:tr>
      <w:tr w:rsidR="0062768B" w14:paraId="56665F7D" w14:textId="77777777">
        <w:trPr>
          <w:cantSplit/>
          <w:jc w:val="center"/>
        </w:trPr>
        <w:tc>
          <w:tcPr>
            <w:tcW w:w="1277" w:type="dxa"/>
            <w:vMerge/>
            <w:tcBorders>
              <w:left w:val="single" w:sz="4" w:space="0" w:color="auto"/>
              <w:right w:val="single" w:sz="4" w:space="0" w:color="auto"/>
            </w:tcBorders>
            <w:shd w:val="clear" w:color="auto" w:fill="auto"/>
            <w:vAlign w:val="center"/>
          </w:tcPr>
          <w:p w14:paraId="56A22F1B" w14:textId="77777777" w:rsidR="0062768B" w:rsidRDefault="0062768B">
            <w:pPr>
              <w:widowControl/>
              <w:spacing w:line="240" w:lineRule="exact"/>
              <w:rPr>
                <w:rFonts w:ascii="Arial" w:eastAsia="仿宋_GB2312" w:hAnsi="Arial" w:cs="Arial"/>
                <w:sz w:val="20"/>
              </w:rPr>
            </w:pPr>
          </w:p>
        </w:tc>
        <w:tc>
          <w:tcPr>
            <w:tcW w:w="1902" w:type="dxa"/>
            <w:tcBorders>
              <w:top w:val="nil"/>
              <w:left w:val="nil"/>
              <w:bottom w:val="single" w:sz="4" w:space="0" w:color="auto"/>
              <w:right w:val="single" w:sz="4" w:space="0" w:color="auto"/>
            </w:tcBorders>
            <w:shd w:val="clear" w:color="auto" w:fill="auto"/>
            <w:noWrap/>
            <w:vAlign w:val="center"/>
          </w:tcPr>
          <w:p w14:paraId="26F60BAE"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建筑结构</w:t>
            </w:r>
          </w:p>
        </w:tc>
        <w:tc>
          <w:tcPr>
            <w:tcW w:w="961" w:type="dxa"/>
            <w:tcBorders>
              <w:top w:val="nil"/>
              <w:left w:val="nil"/>
              <w:bottom w:val="single" w:sz="4" w:space="0" w:color="auto"/>
            </w:tcBorders>
            <w:vAlign w:val="center"/>
          </w:tcPr>
          <w:p w14:paraId="482AE921"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313E6570"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100</w:t>
            </w:r>
          </w:p>
        </w:tc>
        <w:tc>
          <w:tcPr>
            <w:tcW w:w="921" w:type="dxa"/>
            <w:tcBorders>
              <w:top w:val="nil"/>
              <w:left w:val="single" w:sz="4" w:space="0" w:color="auto"/>
              <w:bottom w:val="single" w:sz="4" w:space="0" w:color="auto"/>
            </w:tcBorders>
            <w:vAlign w:val="center"/>
          </w:tcPr>
          <w:p w14:paraId="41C65A58" w14:textId="77777777" w:rsidR="0062768B" w:rsidRDefault="00136729">
            <w:pPr>
              <w:widowControl/>
              <w:spacing w:line="240" w:lineRule="exact"/>
              <w:ind w:firstLineChars="63" w:firstLine="126"/>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vAlign w:val="center"/>
          </w:tcPr>
          <w:p w14:paraId="7184C7F2"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c>
          <w:tcPr>
            <w:tcW w:w="845" w:type="dxa"/>
            <w:tcBorders>
              <w:top w:val="nil"/>
              <w:left w:val="single" w:sz="4" w:space="0" w:color="auto"/>
              <w:bottom w:val="single" w:sz="4" w:space="0" w:color="auto"/>
            </w:tcBorders>
            <w:vAlign w:val="center"/>
          </w:tcPr>
          <w:p w14:paraId="0DF770EC"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vAlign w:val="center"/>
          </w:tcPr>
          <w:p w14:paraId="68B3D7B0"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r>
      <w:tr w:rsidR="0062768B" w14:paraId="79665CBB" w14:textId="77777777">
        <w:trPr>
          <w:cantSplit/>
          <w:jc w:val="center"/>
        </w:trPr>
        <w:tc>
          <w:tcPr>
            <w:tcW w:w="1277" w:type="dxa"/>
            <w:vMerge/>
            <w:tcBorders>
              <w:left w:val="single" w:sz="4" w:space="0" w:color="auto"/>
              <w:right w:val="single" w:sz="4" w:space="0" w:color="auto"/>
            </w:tcBorders>
            <w:vAlign w:val="center"/>
          </w:tcPr>
          <w:p w14:paraId="306A3579" w14:textId="77777777" w:rsidR="0062768B" w:rsidRDefault="0062768B">
            <w:pPr>
              <w:widowControl/>
              <w:spacing w:line="240" w:lineRule="exact"/>
              <w:rPr>
                <w:rFonts w:ascii="Arial" w:eastAsia="仿宋_GB2312" w:hAnsi="Arial" w:cs="Arial"/>
                <w:sz w:val="20"/>
              </w:rPr>
            </w:pPr>
          </w:p>
        </w:tc>
        <w:tc>
          <w:tcPr>
            <w:tcW w:w="1902" w:type="dxa"/>
            <w:tcBorders>
              <w:top w:val="nil"/>
              <w:left w:val="nil"/>
              <w:bottom w:val="single" w:sz="4" w:space="0" w:color="auto"/>
              <w:right w:val="single" w:sz="4" w:space="0" w:color="auto"/>
            </w:tcBorders>
            <w:shd w:val="clear" w:color="auto" w:fill="auto"/>
            <w:noWrap/>
            <w:vAlign w:val="center"/>
          </w:tcPr>
          <w:p w14:paraId="75922E7B"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公共部分装修</w:t>
            </w:r>
          </w:p>
        </w:tc>
        <w:tc>
          <w:tcPr>
            <w:tcW w:w="961" w:type="dxa"/>
            <w:tcBorders>
              <w:top w:val="nil"/>
              <w:left w:val="nil"/>
              <w:bottom w:val="single" w:sz="4" w:space="0" w:color="auto"/>
            </w:tcBorders>
            <w:vAlign w:val="center"/>
          </w:tcPr>
          <w:p w14:paraId="040E287D"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2E33E401"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100</w:t>
            </w:r>
          </w:p>
        </w:tc>
        <w:tc>
          <w:tcPr>
            <w:tcW w:w="921" w:type="dxa"/>
            <w:tcBorders>
              <w:top w:val="nil"/>
              <w:left w:val="single" w:sz="4" w:space="0" w:color="auto"/>
              <w:bottom w:val="single" w:sz="4" w:space="0" w:color="auto"/>
            </w:tcBorders>
            <w:vAlign w:val="center"/>
          </w:tcPr>
          <w:p w14:paraId="17BED4BB" w14:textId="77777777" w:rsidR="0062768B" w:rsidRDefault="00136729">
            <w:pPr>
              <w:widowControl/>
              <w:spacing w:line="240" w:lineRule="exact"/>
              <w:ind w:firstLineChars="63" w:firstLine="126"/>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vAlign w:val="center"/>
          </w:tcPr>
          <w:p w14:paraId="0EF3BFA9"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c>
          <w:tcPr>
            <w:tcW w:w="845" w:type="dxa"/>
            <w:tcBorders>
              <w:top w:val="nil"/>
              <w:left w:val="single" w:sz="4" w:space="0" w:color="auto"/>
              <w:bottom w:val="single" w:sz="4" w:space="0" w:color="auto"/>
            </w:tcBorders>
            <w:vAlign w:val="center"/>
          </w:tcPr>
          <w:p w14:paraId="380C72F0"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vAlign w:val="center"/>
          </w:tcPr>
          <w:p w14:paraId="50A23209"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r>
      <w:tr w:rsidR="0062768B" w14:paraId="53A18F3F" w14:textId="77777777">
        <w:trPr>
          <w:cantSplit/>
          <w:jc w:val="center"/>
        </w:trPr>
        <w:tc>
          <w:tcPr>
            <w:tcW w:w="1277" w:type="dxa"/>
            <w:vMerge/>
            <w:tcBorders>
              <w:left w:val="single" w:sz="4" w:space="0" w:color="auto"/>
              <w:right w:val="single" w:sz="4" w:space="0" w:color="auto"/>
            </w:tcBorders>
            <w:vAlign w:val="center"/>
          </w:tcPr>
          <w:p w14:paraId="67006D7D" w14:textId="77777777" w:rsidR="0062768B" w:rsidRDefault="0062768B">
            <w:pPr>
              <w:widowControl/>
              <w:spacing w:line="240" w:lineRule="exact"/>
              <w:rPr>
                <w:rFonts w:ascii="Arial" w:eastAsia="仿宋_GB2312" w:hAnsi="Arial" w:cs="Arial"/>
                <w:sz w:val="20"/>
              </w:rPr>
            </w:pPr>
          </w:p>
        </w:tc>
        <w:tc>
          <w:tcPr>
            <w:tcW w:w="1902" w:type="dxa"/>
            <w:tcBorders>
              <w:top w:val="nil"/>
              <w:left w:val="nil"/>
              <w:bottom w:val="single" w:sz="4" w:space="0" w:color="auto"/>
              <w:right w:val="single" w:sz="4" w:space="0" w:color="auto"/>
            </w:tcBorders>
            <w:shd w:val="clear" w:color="auto" w:fill="auto"/>
            <w:noWrap/>
            <w:vAlign w:val="center"/>
          </w:tcPr>
          <w:p w14:paraId="1675427C"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层高</w:t>
            </w:r>
          </w:p>
        </w:tc>
        <w:tc>
          <w:tcPr>
            <w:tcW w:w="961" w:type="dxa"/>
            <w:tcBorders>
              <w:top w:val="nil"/>
              <w:left w:val="nil"/>
              <w:bottom w:val="single" w:sz="4" w:space="0" w:color="auto"/>
            </w:tcBorders>
            <w:vAlign w:val="center"/>
          </w:tcPr>
          <w:p w14:paraId="2B843C01"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0AFECB9B"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100</w:t>
            </w:r>
          </w:p>
        </w:tc>
        <w:tc>
          <w:tcPr>
            <w:tcW w:w="921" w:type="dxa"/>
            <w:tcBorders>
              <w:top w:val="nil"/>
              <w:left w:val="single" w:sz="4" w:space="0" w:color="auto"/>
              <w:bottom w:val="single" w:sz="4" w:space="0" w:color="auto"/>
            </w:tcBorders>
            <w:vAlign w:val="center"/>
          </w:tcPr>
          <w:p w14:paraId="6BD5B998" w14:textId="77777777" w:rsidR="0062768B" w:rsidRDefault="00136729">
            <w:pPr>
              <w:widowControl/>
              <w:spacing w:line="240" w:lineRule="exact"/>
              <w:ind w:firstLineChars="63" w:firstLine="126"/>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vAlign w:val="center"/>
          </w:tcPr>
          <w:p w14:paraId="013DF695"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c>
          <w:tcPr>
            <w:tcW w:w="845" w:type="dxa"/>
            <w:tcBorders>
              <w:top w:val="nil"/>
              <w:left w:val="single" w:sz="4" w:space="0" w:color="auto"/>
              <w:bottom w:val="single" w:sz="4" w:space="0" w:color="auto"/>
            </w:tcBorders>
            <w:vAlign w:val="center"/>
          </w:tcPr>
          <w:p w14:paraId="41295712"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vAlign w:val="center"/>
          </w:tcPr>
          <w:p w14:paraId="69FE1612"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r>
      <w:tr w:rsidR="0062768B" w14:paraId="530BE940" w14:textId="77777777">
        <w:trPr>
          <w:cantSplit/>
          <w:jc w:val="center"/>
        </w:trPr>
        <w:tc>
          <w:tcPr>
            <w:tcW w:w="1277" w:type="dxa"/>
            <w:vMerge/>
            <w:tcBorders>
              <w:left w:val="single" w:sz="4" w:space="0" w:color="auto"/>
              <w:right w:val="single" w:sz="4" w:space="0" w:color="auto"/>
            </w:tcBorders>
            <w:vAlign w:val="center"/>
          </w:tcPr>
          <w:p w14:paraId="78015480" w14:textId="77777777" w:rsidR="0062768B" w:rsidRDefault="0062768B">
            <w:pPr>
              <w:widowControl/>
              <w:spacing w:line="240" w:lineRule="exact"/>
              <w:rPr>
                <w:rFonts w:ascii="Arial" w:eastAsia="仿宋_GB2312" w:hAnsi="Arial" w:cs="Arial"/>
                <w:sz w:val="20"/>
              </w:rPr>
            </w:pPr>
          </w:p>
        </w:tc>
        <w:tc>
          <w:tcPr>
            <w:tcW w:w="1902" w:type="dxa"/>
            <w:tcBorders>
              <w:top w:val="nil"/>
              <w:left w:val="nil"/>
              <w:bottom w:val="single" w:sz="4" w:space="0" w:color="auto"/>
              <w:right w:val="single" w:sz="4" w:space="0" w:color="auto"/>
            </w:tcBorders>
            <w:shd w:val="clear" w:color="auto" w:fill="auto"/>
            <w:noWrap/>
            <w:vAlign w:val="center"/>
          </w:tcPr>
          <w:p w14:paraId="6613B2ED"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物业管理</w:t>
            </w:r>
          </w:p>
        </w:tc>
        <w:tc>
          <w:tcPr>
            <w:tcW w:w="961" w:type="dxa"/>
            <w:tcBorders>
              <w:top w:val="nil"/>
              <w:left w:val="nil"/>
              <w:bottom w:val="single" w:sz="4" w:space="0" w:color="auto"/>
            </w:tcBorders>
            <w:vAlign w:val="center"/>
          </w:tcPr>
          <w:p w14:paraId="1CC414D4"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295FBD9E"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100</w:t>
            </w:r>
          </w:p>
        </w:tc>
        <w:tc>
          <w:tcPr>
            <w:tcW w:w="921" w:type="dxa"/>
            <w:tcBorders>
              <w:top w:val="nil"/>
              <w:left w:val="single" w:sz="4" w:space="0" w:color="auto"/>
              <w:bottom w:val="single" w:sz="4" w:space="0" w:color="auto"/>
            </w:tcBorders>
            <w:vAlign w:val="center"/>
          </w:tcPr>
          <w:p w14:paraId="58FA1D81" w14:textId="77777777" w:rsidR="0062768B" w:rsidRDefault="00136729">
            <w:pPr>
              <w:widowControl/>
              <w:spacing w:line="240" w:lineRule="exact"/>
              <w:ind w:firstLineChars="63" w:firstLine="126"/>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vAlign w:val="center"/>
          </w:tcPr>
          <w:p w14:paraId="0E4AC62B"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c>
          <w:tcPr>
            <w:tcW w:w="845" w:type="dxa"/>
            <w:tcBorders>
              <w:top w:val="nil"/>
              <w:left w:val="single" w:sz="4" w:space="0" w:color="auto"/>
              <w:bottom w:val="single" w:sz="4" w:space="0" w:color="auto"/>
            </w:tcBorders>
            <w:vAlign w:val="center"/>
          </w:tcPr>
          <w:p w14:paraId="65A10D1A"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vAlign w:val="center"/>
          </w:tcPr>
          <w:p w14:paraId="6E808219"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r>
      <w:tr w:rsidR="0062768B" w14:paraId="637D5D87" w14:textId="77777777">
        <w:trPr>
          <w:cantSplit/>
          <w:jc w:val="center"/>
        </w:trPr>
        <w:tc>
          <w:tcPr>
            <w:tcW w:w="1277" w:type="dxa"/>
            <w:vMerge/>
            <w:tcBorders>
              <w:left w:val="single" w:sz="4" w:space="0" w:color="auto"/>
              <w:right w:val="single" w:sz="4" w:space="0" w:color="auto"/>
            </w:tcBorders>
            <w:vAlign w:val="center"/>
          </w:tcPr>
          <w:p w14:paraId="0B0012F2" w14:textId="77777777" w:rsidR="0062768B" w:rsidRDefault="0062768B">
            <w:pPr>
              <w:widowControl/>
              <w:spacing w:line="240" w:lineRule="exact"/>
              <w:rPr>
                <w:rFonts w:ascii="Arial" w:eastAsia="仿宋_GB2312" w:hAnsi="Arial" w:cs="Arial"/>
                <w:sz w:val="20"/>
              </w:rPr>
            </w:pPr>
          </w:p>
        </w:tc>
        <w:tc>
          <w:tcPr>
            <w:tcW w:w="1902" w:type="dxa"/>
            <w:tcBorders>
              <w:top w:val="nil"/>
              <w:left w:val="nil"/>
              <w:bottom w:val="single" w:sz="4" w:space="0" w:color="auto"/>
              <w:right w:val="single" w:sz="4" w:space="0" w:color="auto"/>
            </w:tcBorders>
            <w:shd w:val="clear" w:color="auto" w:fill="auto"/>
            <w:noWrap/>
            <w:vAlign w:val="center"/>
          </w:tcPr>
          <w:p w14:paraId="1CE38776"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项目</w:t>
            </w:r>
            <w:r>
              <w:rPr>
                <w:rFonts w:ascii="Arial" w:eastAsia="仿宋_GB2312" w:hAnsi="Arial" w:cs="Arial"/>
                <w:sz w:val="18"/>
                <w:szCs w:val="18"/>
              </w:rPr>
              <w:t>建筑</w:t>
            </w:r>
            <w:r>
              <w:rPr>
                <w:rFonts w:ascii="Arial" w:eastAsia="仿宋_GB2312" w:hAnsi="Arial" w:cs="Arial" w:hint="eastAsia"/>
                <w:sz w:val="18"/>
                <w:szCs w:val="18"/>
              </w:rPr>
              <w:t>规模</w:t>
            </w:r>
          </w:p>
        </w:tc>
        <w:tc>
          <w:tcPr>
            <w:tcW w:w="961" w:type="dxa"/>
            <w:tcBorders>
              <w:top w:val="nil"/>
              <w:left w:val="nil"/>
              <w:bottom w:val="single" w:sz="4" w:space="0" w:color="auto"/>
            </w:tcBorders>
            <w:vAlign w:val="center"/>
          </w:tcPr>
          <w:p w14:paraId="5FD08086"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5CDF7988"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102</w:t>
            </w:r>
          </w:p>
        </w:tc>
        <w:tc>
          <w:tcPr>
            <w:tcW w:w="921" w:type="dxa"/>
            <w:tcBorders>
              <w:top w:val="nil"/>
              <w:left w:val="single" w:sz="4" w:space="0" w:color="auto"/>
              <w:bottom w:val="single" w:sz="4" w:space="0" w:color="auto"/>
            </w:tcBorders>
            <w:vAlign w:val="center"/>
          </w:tcPr>
          <w:p w14:paraId="044642FB" w14:textId="77777777" w:rsidR="0062768B" w:rsidRDefault="00136729">
            <w:pPr>
              <w:widowControl/>
              <w:spacing w:line="240" w:lineRule="exact"/>
              <w:ind w:firstLineChars="63" w:firstLine="126"/>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vAlign w:val="center"/>
          </w:tcPr>
          <w:p w14:paraId="1684523B"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104</w:t>
            </w:r>
          </w:p>
        </w:tc>
        <w:tc>
          <w:tcPr>
            <w:tcW w:w="845" w:type="dxa"/>
            <w:tcBorders>
              <w:top w:val="nil"/>
              <w:left w:val="single" w:sz="4" w:space="0" w:color="auto"/>
              <w:bottom w:val="single" w:sz="4" w:space="0" w:color="auto"/>
            </w:tcBorders>
            <w:vAlign w:val="center"/>
          </w:tcPr>
          <w:p w14:paraId="6D535A01"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vAlign w:val="center"/>
          </w:tcPr>
          <w:p w14:paraId="31B0B786"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101</w:t>
            </w:r>
          </w:p>
        </w:tc>
      </w:tr>
      <w:tr w:rsidR="0062768B" w14:paraId="1919068E" w14:textId="77777777">
        <w:trPr>
          <w:cantSplit/>
          <w:jc w:val="center"/>
        </w:trPr>
        <w:tc>
          <w:tcPr>
            <w:tcW w:w="1277" w:type="dxa"/>
            <w:vMerge/>
            <w:tcBorders>
              <w:left w:val="single" w:sz="4" w:space="0" w:color="auto"/>
              <w:right w:val="single" w:sz="4" w:space="0" w:color="auto"/>
            </w:tcBorders>
            <w:vAlign w:val="center"/>
          </w:tcPr>
          <w:p w14:paraId="5B79F9AE" w14:textId="77777777" w:rsidR="0062768B" w:rsidRDefault="0062768B">
            <w:pPr>
              <w:widowControl/>
              <w:spacing w:line="240" w:lineRule="exact"/>
              <w:rPr>
                <w:rFonts w:ascii="Arial" w:eastAsia="仿宋_GB2312" w:hAnsi="Arial" w:cs="Arial"/>
                <w:sz w:val="20"/>
              </w:rPr>
            </w:pPr>
          </w:p>
        </w:tc>
        <w:tc>
          <w:tcPr>
            <w:tcW w:w="1902" w:type="dxa"/>
            <w:tcBorders>
              <w:top w:val="nil"/>
              <w:left w:val="nil"/>
              <w:bottom w:val="single" w:sz="4" w:space="0" w:color="auto"/>
              <w:right w:val="single" w:sz="4" w:space="0" w:color="auto"/>
            </w:tcBorders>
            <w:shd w:val="clear" w:color="auto" w:fill="auto"/>
            <w:noWrap/>
            <w:vAlign w:val="center"/>
          </w:tcPr>
          <w:p w14:paraId="716C68CA"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市政基础设施</w:t>
            </w:r>
          </w:p>
        </w:tc>
        <w:tc>
          <w:tcPr>
            <w:tcW w:w="961" w:type="dxa"/>
            <w:tcBorders>
              <w:top w:val="nil"/>
              <w:left w:val="nil"/>
              <w:bottom w:val="single" w:sz="4" w:space="0" w:color="auto"/>
            </w:tcBorders>
            <w:vAlign w:val="center"/>
          </w:tcPr>
          <w:p w14:paraId="66FD12C1"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15C55C3E"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100</w:t>
            </w:r>
          </w:p>
        </w:tc>
        <w:tc>
          <w:tcPr>
            <w:tcW w:w="921" w:type="dxa"/>
            <w:tcBorders>
              <w:top w:val="nil"/>
              <w:left w:val="single" w:sz="4" w:space="0" w:color="auto"/>
              <w:bottom w:val="single" w:sz="4" w:space="0" w:color="auto"/>
            </w:tcBorders>
            <w:vAlign w:val="center"/>
          </w:tcPr>
          <w:p w14:paraId="4F70801A" w14:textId="77777777" w:rsidR="0062768B" w:rsidRDefault="00136729">
            <w:pPr>
              <w:widowControl/>
              <w:spacing w:line="240" w:lineRule="exact"/>
              <w:ind w:firstLineChars="63" w:firstLine="126"/>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vAlign w:val="center"/>
          </w:tcPr>
          <w:p w14:paraId="29EF4D86"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c>
          <w:tcPr>
            <w:tcW w:w="845" w:type="dxa"/>
            <w:tcBorders>
              <w:top w:val="nil"/>
              <w:left w:val="single" w:sz="4" w:space="0" w:color="auto"/>
              <w:bottom w:val="single" w:sz="4" w:space="0" w:color="auto"/>
            </w:tcBorders>
            <w:vAlign w:val="center"/>
          </w:tcPr>
          <w:p w14:paraId="5C7DCC9E"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vAlign w:val="center"/>
          </w:tcPr>
          <w:p w14:paraId="611FB96A"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r>
      <w:tr w:rsidR="0062768B" w14:paraId="15270FAE" w14:textId="77777777">
        <w:trPr>
          <w:cantSplit/>
          <w:jc w:val="center"/>
        </w:trPr>
        <w:tc>
          <w:tcPr>
            <w:tcW w:w="1277" w:type="dxa"/>
            <w:vMerge/>
            <w:tcBorders>
              <w:left w:val="single" w:sz="4" w:space="0" w:color="auto"/>
              <w:bottom w:val="single" w:sz="4" w:space="0" w:color="auto"/>
              <w:right w:val="single" w:sz="4" w:space="0" w:color="auto"/>
            </w:tcBorders>
            <w:vAlign w:val="center"/>
          </w:tcPr>
          <w:p w14:paraId="701D3067" w14:textId="77777777" w:rsidR="0062768B" w:rsidRDefault="0062768B">
            <w:pPr>
              <w:widowControl/>
              <w:spacing w:line="240" w:lineRule="exact"/>
              <w:rPr>
                <w:rFonts w:ascii="Arial" w:eastAsia="仿宋_GB2312" w:hAnsi="Arial" w:cs="Arial"/>
                <w:sz w:val="20"/>
              </w:rPr>
            </w:pPr>
          </w:p>
        </w:tc>
        <w:tc>
          <w:tcPr>
            <w:tcW w:w="1902" w:type="dxa"/>
            <w:tcBorders>
              <w:top w:val="nil"/>
              <w:left w:val="nil"/>
              <w:bottom w:val="single" w:sz="4" w:space="0" w:color="auto"/>
              <w:right w:val="single" w:sz="4" w:space="0" w:color="auto"/>
            </w:tcBorders>
            <w:shd w:val="clear" w:color="auto" w:fill="auto"/>
            <w:noWrap/>
            <w:vAlign w:val="center"/>
          </w:tcPr>
          <w:p w14:paraId="2AD6CFD0"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内部</w:t>
            </w:r>
            <w:r>
              <w:rPr>
                <w:rFonts w:ascii="Arial" w:eastAsia="仿宋_GB2312" w:hAnsi="Arial" w:cs="Arial"/>
                <w:sz w:val="18"/>
                <w:szCs w:val="18"/>
              </w:rPr>
              <w:t>装修</w:t>
            </w:r>
          </w:p>
        </w:tc>
        <w:tc>
          <w:tcPr>
            <w:tcW w:w="961" w:type="dxa"/>
            <w:tcBorders>
              <w:top w:val="nil"/>
              <w:left w:val="nil"/>
              <w:bottom w:val="single" w:sz="4" w:space="0" w:color="auto"/>
            </w:tcBorders>
            <w:vAlign w:val="center"/>
          </w:tcPr>
          <w:p w14:paraId="0DEF23BA"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2A3A3CC9"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100</w:t>
            </w:r>
          </w:p>
        </w:tc>
        <w:tc>
          <w:tcPr>
            <w:tcW w:w="921" w:type="dxa"/>
            <w:tcBorders>
              <w:top w:val="nil"/>
              <w:left w:val="single" w:sz="4" w:space="0" w:color="auto"/>
              <w:bottom w:val="single" w:sz="4" w:space="0" w:color="auto"/>
            </w:tcBorders>
            <w:vAlign w:val="center"/>
          </w:tcPr>
          <w:p w14:paraId="173AB6ED" w14:textId="77777777" w:rsidR="0062768B" w:rsidRDefault="00136729">
            <w:pPr>
              <w:widowControl/>
              <w:spacing w:line="240" w:lineRule="exact"/>
              <w:ind w:firstLineChars="63" w:firstLine="126"/>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vAlign w:val="center"/>
          </w:tcPr>
          <w:p w14:paraId="428855A6"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c>
          <w:tcPr>
            <w:tcW w:w="845" w:type="dxa"/>
            <w:tcBorders>
              <w:top w:val="nil"/>
              <w:left w:val="single" w:sz="4" w:space="0" w:color="auto"/>
              <w:bottom w:val="single" w:sz="4" w:space="0" w:color="auto"/>
            </w:tcBorders>
            <w:vAlign w:val="center"/>
          </w:tcPr>
          <w:p w14:paraId="034A99F3"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vAlign w:val="center"/>
          </w:tcPr>
          <w:p w14:paraId="6000AE2E"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r>
      <w:tr w:rsidR="0062768B" w14:paraId="6656C9F3" w14:textId="77777777">
        <w:trPr>
          <w:cantSplit/>
          <w:jc w:val="center"/>
        </w:trPr>
        <w:tc>
          <w:tcPr>
            <w:tcW w:w="3179" w:type="dxa"/>
            <w:gridSpan w:val="2"/>
            <w:tcBorders>
              <w:top w:val="single" w:sz="4" w:space="0" w:color="auto"/>
              <w:left w:val="single" w:sz="4" w:space="0" w:color="auto"/>
              <w:bottom w:val="single" w:sz="4" w:space="0" w:color="auto"/>
              <w:right w:val="single" w:sz="4" w:space="0" w:color="auto"/>
            </w:tcBorders>
            <w:vAlign w:val="center"/>
          </w:tcPr>
          <w:p w14:paraId="16913F16"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销售价格（元</w:t>
            </w:r>
            <w:r>
              <w:rPr>
                <w:rFonts w:ascii="Arial" w:eastAsia="仿宋_GB2312" w:hAnsi="Arial" w:cs="Arial"/>
                <w:sz w:val="20"/>
              </w:rPr>
              <w:t>/</w:t>
            </w:r>
            <w:r>
              <w:rPr>
                <w:rFonts w:ascii="Arial" w:eastAsia="仿宋_GB2312" w:hAnsi="Arial" w:cs="Arial"/>
                <w:sz w:val="20"/>
              </w:rPr>
              <w:t>平方米）</w:t>
            </w:r>
          </w:p>
        </w:tc>
        <w:tc>
          <w:tcPr>
            <w:tcW w:w="1932" w:type="dxa"/>
            <w:gridSpan w:val="2"/>
            <w:tcBorders>
              <w:top w:val="single" w:sz="4" w:space="0" w:color="auto"/>
              <w:left w:val="nil"/>
              <w:bottom w:val="single" w:sz="4" w:space="0" w:color="auto"/>
              <w:right w:val="single" w:sz="4" w:space="0" w:color="auto"/>
            </w:tcBorders>
          </w:tcPr>
          <w:p w14:paraId="5D2DDD4C" w14:textId="77777777" w:rsidR="0062768B" w:rsidRDefault="00136729">
            <w:pPr>
              <w:widowControl/>
              <w:spacing w:line="240" w:lineRule="exact"/>
              <w:jc w:val="center"/>
              <w:rPr>
                <w:rFonts w:ascii="Arial" w:eastAsia="仿宋_GB2312" w:hAnsi="Arial" w:cs="Arial"/>
                <w:sz w:val="20"/>
              </w:rPr>
            </w:pPr>
            <w:r>
              <w:rPr>
                <w:rFonts w:ascii="Arial" w:eastAsia="仿宋_GB2312" w:hAnsi="Arial" w:cs="Arial"/>
                <w:sz w:val="20"/>
              </w:rPr>
              <w:t>42492</w:t>
            </w:r>
          </w:p>
        </w:tc>
        <w:tc>
          <w:tcPr>
            <w:tcW w:w="1967" w:type="dxa"/>
            <w:gridSpan w:val="2"/>
            <w:tcBorders>
              <w:top w:val="single" w:sz="4" w:space="0" w:color="auto"/>
              <w:left w:val="single" w:sz="4" w:space="0" w:color="auto"/>
              <w:bottom w:val="single" w:sz="4" w:space="0" w:color="auto"/>
              <w:right w:val="single" w:sz="4" w:space="0" w:color="auto"/>
            </w:tcBorders>
          </w:tcPr>
          <w:p w14:paraId="438F9030" w14:textId="77777777" w:rsidR="0062768B" w:rsidRDefault="00136729">
            <w:pPr>
              <w:widowControl/>
              <w:spacing w:line="240" w:lineRule="exact"/>
              <w:jc w:val="center"/>
              <w:rPr>
                <w:rFonts w:ascii="Arial" w:eastAsia="仿宋_GB2312" w:hAnsi="Arial" w:cs="Arial"/>
                <w:sz w:val="20"/>
              </w:rPr>
            </w:pPr>
            <w:r>
              <w:rPr>
                <w:rFonts w:ascii="Arial" w:eastAsia="仿宋_GB2312" w:hAnsi="Arial" w:cs="Arial"/>
                <w:sz w:val="20"/>
              </w:rPr>
              <w:t>42462</w:t>
            </w:r>
          </w:p>
        </w:tc>
        <w:tc>
          <w:tcPr>
            <w:tcW w:w="1994" w:type="dxa"/>
            <w:gridSpan w:val="2"/>
            <w:tcBorders>
              <w:top w:val="single" w:sz="4" w:space="0" w:color="auto"/>
              <w:left w:val="single" w:sz="4" w:space="0" w:color="auto"/>
              <w:bottom w:val="single" w:sz="4" w:space="0" w:color="auto"/>
              <w:right w:val="single" w:sz="4" w:space="0" w:color="auto"/>
            </w:tcBorders>
          </w:tcPr>
          <w:p w14:paraId="759B6AA2" w14:textId="77777777" w:rsidR="0062768B" w:rsidRDefault="00136729">
            <w:pPr>
              <w:widowControl/>
              <w:spacing w:line="240" w:lineRule="exact"/>
              <w:jc w:val="center"/>
              <w:rPr>
                <w:rFonts w:ascii="Arial" w:eastAsia="仿宋_GB2312" w:hAnsi="Arial" w:cs="Arial"/>
                <w:sz w:val="20"/>
              </w:rPr>
            </w:pPr>
            <w:r>
              <w:rPr>
                <w:rFonts w:ascii="Arial" w:eastAsia="仿宋_GB2312" w:hAnsi="Arial" w:cs="Arial"/>
                <w:sz w:val="20"/>
              </w:rPr>
              <w:t>38937</w:t>
            </w:r>
          </w:p>
        </w:tc>
      </w:tr>
      <w:tr w:rsidR="0062768B" w14:paraId="784A5935" w14:textId="77777777">
        <w:trPr>
          <w:cantSplit/>
          <w:jc w:val="center"/>
        </w:trPr>
        <w:tc>
          <w:tcPr>
            <w:tcW w:w="3179" w:type="dxa"/>
            <w:gridSpan w:val="2"/>
            <w:tcBorders>
              <w:top w:val="single" w:sz="4" w:space="0" w:color="auto"/>
              <w:left w:val="single" w:sz="4" w:space="0" w:color="auto"/>
              <w:bottom w:val="single" w:sz="4" w:space="0" w:color="auto"/>
              <w:right w:val="single" w:sz="4" w:space="0" w:color="auto"/>
            </w:tcBorders>
            <w:vAlign w:val="center"/>
          </w:tcPr>
          <w:p w14:paraId="2A8E6E48"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比较价格（元</w:t>
            </w:r>
            <w:r>
              <w:rPr>
                <w:rFonts w:ascii="Arial" w:eastAsia="仿宋_GB2312" w:hAnsi="Arial" w:cs="Arial"/>
                <w:sz w:val="20"/>
              </w:rPr>
              <w:t>/</w:t>
            </w:r>
            <w:r>
              <w:rPr>
                <w:rFonts w:ascii="Arial" w:eastAsia="仿宋_GB2312" w:hAnsi="Arial" w:cs="Arial"/>
                <w:sz w:val="20"/>
              </w:rPr>
              <w:t>平方米）</w:t>
            </w:r>
          </w:p>
        </w:tc>
        <w:tc>
          <w:tcPr>
            <w:tcW w:w="1932" w:type="dxa"/>
            <w:gridSpan w:val="2"/>
            <w:tcBorders>
              <w:top w:val="single" w:sz="4" w:space="0" w:color="auto"/>
              <w:left w:val="single" w:sz="4" w:space="0" w:color="auto"/>
              <w:bottom w:val="single" w:sz="4" w:space="0" w:color="auto"/>
              <w:right w:val="single" w:sz="4" w:space="0" w:color="auto"/>
            </w:tcBorders>
          </w:tcPr>
          <w:p w14:paraId="3529956D" w14:textId="77777777" w:rsidR="0062768B" w:rsidRDefault="00136729">
            <w:pPr>
              <w:widowControl/>
              <w:spacing w:line="240" w:lineRule="exact"/>
              <w:jc w:val="center"/>
              <w:rPr>
                <w:rFonts w:ascii="Arial" w:eastAsia="仿宋_GB2312" w:hAnsi="Arial" w:cs="Arial"/>
                <w:sz w:val="20"/>
              </w:rPr>
            </w:pPr>
            <w:r>
              <w:rPr>
                <w:rFonts w:ascii="Arial" w:eastAsia="仿宋_GB2312" w:hAnsi="Arial" w:cs="Arial"/>
                <w:sz w:val="20"/>
              </w:rPr>
              <w:t>40</w:t>
            </w:r>
            <w:r>
              <w:rPr>
                <w:rFonts w:ascii="Arial" w:eastAsia="仿宋_GB2312" w:hAnsi="Arial" w:cs="Arial" w:hint="eastAsia"/>
                <w:sz w:val="20"/>
              </w:rPr>
              <w:t>256</w:t>
            </w:r>
          </w:p>
        </w:tc>
        <w:tc>
          <w:tcPr>
            <w:tcW w:w="1967" w:type="dxa"/>
            <w:gridSpan w:val="2"/>
            <w:tcBorders>
              <w:top w:val="single" w:sz="4" w:space="0" w:color="auto"/>
              <w:left w:val="single" w:sz="4" w:space="0" w:color="auto"/>
              <w:bottom w:val="single" w:sz="4" w:space="0" w:color="auto"/>
              <w:right w:val="single" w:sz="4" w:space="0" w:color="auto"/>
            </w:tcBorders>
          </w:tcPr>
          <w:p w14:paraId="17564533" w14:textId="77777777" w:rsidR="0062768B" w:rsidRDefault="00136729">
            <w:pPr>
              <w:widowControl/>
              <w:spacing w:line="240" w:lineRule="exact"/>
              <w:jc w:val="center"/>
              <w:rPr>
                <w:rFonts w:ascii="Arial" w:eastAsia="仿宋_GB2312" w:hAnsi="Arial" w:cs="Arial"/>
                <w:sz w:val="20"/>
              </w:rPr>
            </w:pPr>
            <w:r>
              <w:rPr>
                <w:rFonts w:ascii="Arial" w:eastAsia="仿宋_GB2312" w:hAnsi="Arial" w:cs="Arial"/>
                <w:sz w:val="20"/>
              </w:rPr>
              <w:t>41</w:t>
            </w:r>
            <w:r>
              <w:rPr>
                <w:rFonts w:ascii="Arial" w:eastAsia="仿宋_GB2312" w:hAnsi="Arial" w:cs="Arial" w:hint="eastAsia"/>
                <w:sz w:val="20"/>
              </w:rPr>
              <w:t>886</w:t>
            </w:r>
          </w:p>
        </w:tc>
        <w:tc>
          <w:tcPr>
            <w:tcW w:w="1994" w:type="dxa"/>
            <w:gridSpan w:val="2"/>
            <w:tcBorders>
              <w:top w:val="single" w:sz="4" w:space="0" w:color="auto"/>
              <w:left w:val="single" w:sz="4" w:space="0" w:color="auto"/>
              <w:bottom w:val="single" w:sz="4" w:space="0" w:color="auto"/>
              <w:right w:val="single" w:sz="4" w:space="0" w:color="auto"/>
            </w:tcBorders>
          </w:tcPr>
          <w:p w14:paraId="63A97DC2" w14:textId="77777777" w:rsidR="0062768B" w:rsidRDefault="00136729">
            <w:pPr>
              <w:widowControl/>
              <w:spacing w:line="240" w:lineRule="exact"/>
              <w:jc w:val="center"/>
              <w:rPr>
                <w:rFonts w:ascii="Arial" w:eastAsia="仿宋_GB2312" w:hAnsi="Arial" w:cs="Arial"/>
                <w:sz w:val="20"/>
              </w:rPr>
            </w:pPr>
            <w:r>
              <w:rPr>
                <w:rFonts w:ascii="Arial" w:eastAsia="仿宋_GB2312" w:hAnsi="Arial" w:cs="Arial"/>
                <w:sz w:val="20"/>
              </w:rPr>
              <w:t>35</w:t>
            </w:r>
            <w:r>
              <w:rPr>
                <w:rFonts w:ascii="Arial" w:eastAsia="仿宋_GB2312" w:hAnsi="Arial" w:cs="Arial" w:hint="eastAsia"/>
                <w:sz w:val="20"/>
              </w:rPr>
              <w:t>640</w:t>
            </w:r>
          </w:p>
        </w:tc>
      </w:tr>
    </w:tbl>
    <w:p w14:paraId="574D4F5F" w14:textId="77777777" w:rsidR="0062768B" w:rsidRDefault="00136729">
      <w:pPr>
        <w:spacing w:before="50" w:after="50" w:line="300" w:lineRule="auto"/>
        <w:ind w:firstLineChars="200" w:firstLine="560"/>
        <w:jc w:val="both"/>
        <w:rPr>
          <w:rFonts w:ascii="Arial" w:eastAsia="仿宋_GB2312" w:hAnsi="Arial" w:cs="Arial"/>
          <w:sz w:val="28"/>
        </w:rPr>
      </w:pPr>
      <w:r>
        <w:rPr>
          <w:rFonts w:ascii="Arial" w:eastAsia="仿宋_GB2312" w:hAnsi="Arial" w:cs="Arial"/>
          <w:snapToGrid w:val="0"/>
          <w:sz w:val="28"/>
        </w:rPr>
        <w:t>注：</w:t>
      </w:r>
      <w:r>
        <w:rPr>
          <w:rFonts w:ascii="Arial" w:eastAsia="仿宋_GB2312" w:hAnsi="Arial" w:cs="Arial"/>
          <w:sz w:val="28"/>
        </w:rPr>
        <w:t>三个案例的销售价格为销售均价。</w:t>
      </w:r>
    </w:p>
    <w:p w14:paraId="4BEAD8EF" w14:textId="77777777" w:rsidR="0062768B" w:rsidRDefault="00136729">
      <w:pPr>
        <w:spacing w:before="50" w:after="50" w:line="300" w:lineRule="auto"/>
        <w:ind w:firstLineChars="200" w:firstLine="560"/>
        <w:jc w:val="both"/>
        <w:rPr>
          <w:rFonts w:ascii="Arial" w:eastAsia="仿宋_GB2312" w:hAnsi="Arial" w:cs="Arial"/>
          <w:sz w:val="28"/>
        </w:rPr>
      </w:pPr>
      <w:r>
        <w:rPr>
          <w:rFonts w:ascii="Arial" w:eastAsia="仿宋_GB2312" w:hAnsi="Arial" w:cs="Arial"/>
          <w:sz w:val="28"/>
        </w:rPr>
        <w:t>经过比较分析，以上三个案例修正后的比准价格差异在合理范围之内，能够真实的反应估价对象的价格水平。故取其简单算术平均值作为估价对象</w:t>
      </w:r>
      <w:r>
        <w:rPr>
          <w:rFonts w:ascii="Arial" w:eastAsia="仿宋_GB2312" w:hAnsi="Arial" w:cs="Arial" w:hint="eastAsia"/>
          <w:sz w:val="28"/>
        </w:rPr>
        <w:t>住宅</w:t>
      </w:r>
      <w:r>
        <w:rPr>
          <w:rFonts w:ascii="Arial" w:eastAsia="仿宋_GB2312" w:hAnsi="Arial" w:cs="Arial"/>
          <w:sz w:val="28"/>
        </w:rPr>
        <w:t>用途房地产的市场价格。</w:t>
      </w:r>
    </w:p>
    <w:p w14:paraId="0B913879" w14:textId="77777777" w:rsidR="0062768B" w:rsidRDefault="00136729">
      <w:pPr>
        <w:spacing w:before="50" w:after="50" w:line="300" w:lineRule="auto"/>
        <w:ind w:firstLineChars="200" w:firstLine="560"/>
        <w:jc w:val="both"/>
        <w:rPr>
          <w:rFonts w:ascii="Arial" w:eastAsia="仿宋_GB2312" w:hAnsi="Arial" w:cs="Arial"/>
          <w:sz w:val="28"/>
        </w:rPr>
      </w:pPr>
      <w:r>
        <w:rPr>
          <w:rFonts w:ascii="Arial" w:eastAsia="仿宋_GB2312" w:hAnsi="Arial" w:cs="Arial" w:hint="eastAsia"/>
          <w:sz w:val="28"/>
        </w:rPr>
        <w:t>住宅</w:t>
      </w:r>
      <w:r>
        <w:rPr>
          <w:rFonts w:ascii="Arial" w:eastAsia="仿宋_GB2312" w:hAnsi="Arial" w:cs="Arial"/>
          <w:sz w:val="28"/>
        </w:rPr>
        <w:t>用途比准价格</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40</w:t>
      </w:r>
      <w:r>
        <w:rPr>
          <w:rFonts w:ascii="Arial" w:eastAsia="仿宋_GB2312" w:hAnsi="Arial" w:cs="Arial" w:hint="eastAsia"/>
          <w:sz w:val="28"/>
        </w:rPr>
        <w:t>256</w:t>
      </w:r>
      <w:r>
        <w:rPr>
          <w:rFonts w:ascii="Arial" w:eastAsia="仿宋_GB2312" w:hAnsi="Arial" w:cs="Arial"/>
          <w:sz w:val="28"/>
        </w:rPr>
        <w:t>+41</w:t>
      </w:r>
      <w:r>
        <w:rPr>
          <w:rFonts w:ascii="Arial" w:eastAsia="仿宋_GB2312" w:hAnsi="Arial" w:cs="Arial" w:hint="eastAsia"/>
          <w:sz w:val="28"/>
        </w:rPr>
        <w:t>886</w:t>
      </w:r>
      <w:r>
        <w:rPr>
          <w:rFonts w:ascii="Arial" w:eastAsia="仿宋_GB2312" w:hAnsi="Arial" w:cs="Arial"/>
          <w:sz w:val="28"/>
        </w:rPr>
        <w:t>+35</w:t>
      </w:r>
      <w:r>
        <w:rPr>
          <w:rFonts w:ascii="Arial" w:eastAsia="仿宋_GB2312" w:hAnsi="Arial" w:cs="Arial" w:hint="eastAsia"/>
          <w:sz w:val="28"/>
        </w:rPr>
        <w:t>640</w:t>
      </w:r>
      <w:r>
        <w:rPr>
          <w:rFonts w:ascii="Arial" w:eastAsia="仿宋_GB2312" w:hAnsi="Arial" w:cs="Arial"/>
          <w:sz w:val="28"/>
        </w:rPr>
        <w:t>）</w:t>
      </w:r>
      <w:r>
        <w:rPr>
          <w:rFonts w:ascii="Arial" w:eastAsia="仿宋_GB2312" w:hAnsi="Arial" w:cs="Arial"/>
          <w:sz w:val="28"/>
        </w:rPr>
        <w:t>÷3</w:t>
      </w:r>
    </w:p>
    <w:p w14:paraId="5D301FCB" w14:textId="77777777" w:rsidR="0062768B" w:rsidRDefault="00136729">
      <w:pPr>
        <w:spacing w:before="50" w:after="50" w:line="300" w:lineRule="auto"/>
        <w:ind w:firstLineChars="200" w:firstLine="560"/>
        <w:jc w:val="both"/>
        <w:rPr>
          <w:rFonts w:ascii="Arial" w:eastAsia="仿宋_GB2312" w:hAnsi="Arial" w:cs="Arial"/>
          <w:sz w:val="28"/>
        </w:rPr>
      </w:pPr>
      <w:r>
        <w:rPr>
          <w:rFonts w:ascii="Arial" w:eastAsia="仿宋_GB2312" w:hAnsi="Arial" w:cs="Arial" w:hint="eastAsia"/>
          <w:sz w:val="28"/>
        </w:rPr>
        <w:t xml:space="preserve">                </w:t>
      </w:r>
      <w:r>
        <w:rPr>
          <w:rFonts w:ascii="Arial" w:eastAsia="仿宋_GB2312" w:hAnsi="Arial" w:cs="Arial"/>
          <w:sz w:val="28"/>
        </w:rPr>
        <w:t>=392</w:t>
      </w:r>
      <w:r>
        <w:rPr>
          <w:rFonts w:ascii="Arial" w:eastAsia="仿宋_GB2312" w:hAnsi="Arial" w:cs="Arial" w:hint="eastAsia"/>
          <w:sz w:val="28"/>
        </w:rPr>
        <w:t>61</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14:paraId="1A40A489" w14:textId="77777777" w:rsidR="0062768B" w:rsidRDefault="00136729">
      <w:pPr>
        <w:spacing w:before="50" w:after="50" w:line="300" w:lineRule="auto"/>
        <w:ind w:firstLineChars="200" w:firstLine="560"/>
        <w:jc w:val="both"/>
        <w:rPr>
          <w:rFonts w:ascii="Arial" w:eastAsia="仿宋_GB2312" w:hAnsi="Arial" w:cs="Arial"/>
          <w:sz w:val="28"/>
        </w:rPr>
      </w:pPr>
      <w:r>
        <w:rPr>
          <w:rFonts w:ascii="Arial" w:eastAsia="仿宋_GB2312" w:hAnsi="Arial" w:cs="Arial"/>
          <w:sz w:val="28"/>
          <w:szCs w:val="28"/>
        </w:rPr>
        <w:t>根据</w:t>
      </w:r>
      <w:r>
        <w:rPr>
          <w:rFonts w:ascii="Arial" w:eastAsia="仿宋_GB2312" w:hAnsi="Arial" w:cs="Arial"/>
          <w:sz w:val="28"/>
        </w:rPr>
        <w:t>《北京市规划和自然资源委员会顺义分局关于顺义区高丽营镇夏县营村棚户区改造土地开发项目</w:t>
      </w:r>
      <w:r>
        <w:rPr>
          <w:rFonts w:ascii="Arial" w:eastAsia="仿宋_GB2312" w:hAnsi="Arial" w:cs="Arial"/>
          <w:sz w:val="28"/>
        </w:rPr>
        <w:t>01-008</w:t>
      </w:r>
      <w:r>
        <w:rPr>
          <w:rFonts w:ascii="Arial" w:eastAsia="仿宋_GB2312" w:hAnsi="Arial" w:cs="Arial"/>
          <w:sz w:val="28"/>
        </w:rPr>
        <w:t>、</w:t>
      </w:r>
      <w:r>
        <w:rPr>
          <w:rFonts w:ascii="Arial" w:eastAsia="仿宋_GB2312" w:hAnsi="Arial" w:cs="Arial"/>
          <w:sz w:val="28"/>
        </w:rPr>
        <w:t>01-015-1</w:t>
      </w:r>
      <w:r>
        <w:rPr>
          <w:rFonts w:ascii="Arial" w:eastAsia="仿宋_GB2312" w:hAnsi="Arial" w:cs="Arial"/>
          <w:sz w:val="28"/>
        </w:rPr>
        <w:t>、</w:t>
      </w:r>
      <w:r>
        <w:rPr>
          <w:rFonts w:ascii="Arial" w:eastAsia="仿宋_GB2312" w:hAnsi="Arial" w:cs="Arial"/>
          <w:sz w:val="28"/>
        </w:rPr>
        <w:t>01-015-2</w:t>
      </w:r>
      <w:r>
        <w:rPr>
          <w:rFonts w:ascii="Arial" w:eastAsia="仿宋_GB2312" w:hAnsi="Arial" w:cs="Arial"/>
          <w:sz w:val="28"/>
        </w:rPr>
        <w:t>、</w:t>
      </w:r>
      <w:r>
        <w:rPr>
          <w:rFonts w:ascii="Arial" w:eastAsia="仿宋_GB2312" w:hAnsi="Arial" w:cs="Arial"/>
          <w:sz w:val="28"/>
        </w:rPr>
        <w:t>01-016</w:t>
      </w:r>
      <w:r>
        <w:rPr>
          <w:rFonts w:ascii="Arial" w:eastAsia="仿宋_GB2312" w:hAnsi="Arial" w:cs="Arial"/>
          <w:sz w:val="28"/>
        </w:rPr>
        <w:t>、</w:t>
      </w:r>
      <w:r>
        <w:rPr>
          <w:rFonts w:ascii="Arial" w:eastAsia="仿宋_GB2312" w:hAnsi="Arial" w:cs="Arial"/>
          <w:sz w:val="28"/>
        </w:rPr>
        <w:t>01-020</w:t>
      </w:r>
      <w:r>
        <w:rPr>
          <w:rFonts w:ascii="Arial" w:eastAsia="仿宋_GB2312" w:hAnsi="Arial" w:cs="Arial"/>
          <w:sz w:val="28"/>
        </w:rPr>
        <w:t>、</w:t>
      </w:r>
      <w:r>
        <w:rPr>
          <w:rFonts w:ascii="Arial" w:eastAsia="仿宋_GB2312" w:hAnsi="Arial" w:cs="Arial"/>
          <w:sz w:val="28"/>
        </w:rPr>
        <w:t>01-025</w:t>
      </w:r>
      <w:r>
        <w:rPr>
          <w:rFonts w:ascii="Arial" w:eastAsia="仿宋_GB2312" w:hAnsi="Arial" w:cs="Arial"/>
          <w:sz w:val="28"/>
        </w:rPr>
        <w:t>、</w:t>
      </w:r>
      <w:r>
        <w:rPr>
          <w:rFonts w:ascii="Arial" w:eastAsia="仿宋_GB2312" w:hAnsi="Arial" w:cs="Arial"/>
          <w:sz w:val="28"/>
        </w:rPr>
        <w:t>01-026-1</w:t>
      </w:r>
      <w:r>
        <w:rPr>
          <w:rFonts w:ascii="Arial" w:eastAsia="仿宋_GB2312" w:hAnsi="Arial" w:cs="Arial"/>
          <w:sz w:val="28"/>
        </w:rPr>
        <w:t>等二类居住用地、托幼用地、商业用地地块</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协同平台供地审核意见的函》（京</w:t>
      </w:r>
      <w:proofErr w:type="gramStart"/>
      <w:r>
        <w:rPr>
          <w:rFonts w:ascii="Arial" w:eastAsia="仿宋_GB2312" w:hAnsi="Arial" w:cs="Arial"/>
          <w:sz w:val="28"/>
        </w:rPr>
        <w:t>规</w:t>
      </w:r>
      <w:proofErr w:type="gramEnd"/>
      <w:r>
        <w:rPr>
          <w:rFonts w:ascii="Arial" w:eastAsia="仿宋_GB2312" w:hAnsi="Arial" w:cs="Arial"/>
          <w:sz w:val="28"/>
        </w:rPr>
        <w:t>自（顺）</w:t>
      </w:r>
      <w:proofErr w:type="gramStart"/>
      <w:r>
        <w:rPr>
          <w:rFonts w:ascii="Arial" w:eastAsia="仿宋_GB2312" w:hAnsi="Arial" w:cs="Arial"/>
          <w:sz w:val="28"/>
        </w:rPr>
        <w:t>供审函</w:t>
      </w:r>
      <w:proofErr w:type="gramEnd"/>
      <w:r>
        <w:rPr>
          <w:rFonts w:ascii="Arial" w:eastAsia="仿宋_GB2312" w:hAnsi="Arial" w:cs="Arial"/>
          <w:sz w:val="28"/>
        </w:rPr>
        <w:t>【</w:t>
      </w:r>
      <w:r>
        <w:rPr>
          <w:rFonts w:ascii="Arial" w:eastAsia="仿宋_GB2312" w:hAnsi="Arial" w:cs="Arial"/>
          <w:sz w:val="28"/>
        </w:rPr>
        <w:t>2023</w:t>
      </w:r>
      <w:r>
        <w:rPr>
          <w:rFonts w:ascii="Arial" w:eastAsia="仿宋_GB2312" w:hAnsi="Arial" w:cs="Arial"/>
          <w:sz w:val="28"/>
        </w:rPr>
        <w:t>】</w:t>
      </w:r>
      <w:r>
        <w:rPr>
          <w:rFonts w:ascii="Arial" w:eastAsia="仿宋_GB2312" w:hAnsi="Arial" w:cs="Arial"/>
          <w:sz w:val="28"/>
        </w:rPr>
        <w:t>0004</w:t>
      </w:r>
      <w:r>
        <w:rPr>
          <w:rFonts w:ascii="Arial" w:eastAsia="仿宋_GB2312" w:hAnsi="Arial" w:cs="Arial"/>
          <w:sz w:val="28"/>
        </w:rPr>
        <w:t>号）</w:t>
      </w:r>
      <w:r>
        <w:rPr>
          <w:rFonts w:ascii="Arial" w:eastAsia="仿宋_GB2312" w:hAnsi="Arial" w:cs="Arial" w:hint="eastAsia"/>
          <w:sz w:val="28"/>
        </w:rPr>
        <w:t>，</w:t>
      </w:r>
      <w:r>
        <w:rPr>
          <w:rFonts w:ascii="Arial" w:eastAsia="仿宋_GB2312" w:hAnsi="Arial" w:cs="Arial"/>
          <w:sz w:val="28"/>
        </w:rPr>
        <w:t>估价对象</w:t>
      </w:r>
      <w:r>
        <w:rPr>
          <w:rFonts w:ascii="Arial" w:eastAsia="仿宋_GB2312" w:hAnsi="Arial" w:cs="Arial" w:hint="eastAsia"/>
          <w:sz w:val="28"/>
        </w:rPr>
        <w:t>住宅</w:t>
      </w:r>
      <w:r>
        <w:rPr>
          <w:rFonts w:ascii="Arial" w:eastAsia="仿宋_GB2312" w:hAnsi="Arial" w:cs="Arial"/>
          <w:sz w:val="28"/>
        </w:rPr>
        <w:t>用途总建筑规模为</w:t>
      </w:r>
      <w:r>
        <w:rPr>
          <w:rFonts w:ascii="Arial" w:eastAsia="仿宋_GB2312" w:hAnsi="Arial" w:cs="Arial"/>
          <w:sz w:val="28"/>
        </w:rPr>
        <w:t>68148.54</w:t>
      </w:r>
      <w:r>
        <w:rPr>
          <w:rFonts w:ascii="Arial" w:eastAsia="仿宋_GB2312" w:hAnsi="Arial" w:cs="Arial"/>
          <w:sz w:val="28"/>
        </w:rPr>
        <w:t>平方米。则：</w:t>
      </w:r>
    </w:p>
    <w:p w14:paraId="3CF4E3ED" w14:textId="77777777" w:rsidR="0062768B" w:rsidRDefault="00136729">
      <w:pPr>
        <w:spacing w:before="50" w:after="50"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住宅用途</w:t>
      </w:r>
      <w:r>
        <w:rPr>
          <w:rFonts w:ascii="Arial" w:eastAsia="仿宋_GB2312" w:hAnsi="Arial" w:cs="Arial"/>
          <w:sz w:val="28"/>
        </w:rPr>
        <w:t>开发价值总价</w:t>
      </w:r>
    </w:p>
    <w:p w14:paraId="19D8D1DE" w14:textId="77777777" w:rsidR="0062768B" w:rsidRDefault="00136729">
      <w:pPr>
        <w:spacing w:before="50" w:after="50" w:line="300" w:lineRule="auto"/>
        <w:ind w:firstLineChars="200" w:firstLine="560"/>
        <w:jc w:val="both"/>
        <w:rPr>
          <w:rFonts w:ascii="Arial" w:eastAsia="仿宋_GB2312" w:hAnsi="Arial" w:cs="Arial"/>
          <w:sz w:val="28"/>
        </w:rPr>
      </w:pPr>
      <w:r>
        <w:rPr>
          <w:rFonts w:ascii="Arial" w:eastAsia="仿宋_GB2312" w:hAnsi="Arial" w:cs="Arial"/>
          <w:sz w:val="28"/>
        </w:rPr>
        <w:t>=392</w:t>
      </w:r>
      <w:r>
        <w:rPr>
          <w:rFonts w:ascii="Arial" w:eastAsia="仿宋_GB2312" w:hAnsi="Arial" w:cs="Arial" w:hint="eastAsia"/>
          <w:sz w:val="28"/>
        </w:rPr>
        <w:t>61</w:t>
      </w:r>
      <w:r>
        <w:rPr>
          <w:rFonts w:ascii="Arial" w:eastAsia="仿宋_GB2312" w:hAnsi="Arial" w:cs="Arial"/>
          <w:sz w:val="28"/>
        </w:rPr>
        <w:t>×68148.54÷10000</w:t>
      </w:r>
    </w:p>
    <w:p w14:paraId="2DF7F22A" w14:textId="77777777" w:rsidR="0062768B" w:rsidRDefault="00136729">
      <w:pPr>
        <w:spacing w:before="50" w:after="50" w:line="300" w:lineRule="auto"/>
        <w:ind w:firstLineChars="200" w:firstLine="560"/>
        <w:jc w:val="both"/>
        <w:rPr>
          <w:rFonts w:ascii="Arial" w:eastAsia="仿宋_GB2312" w:hAnsi="Arial" w:cs="Arial"/>
          <w:sz w:val="28"/>
        </w:rPr>
      </w:pPr>
      <w:r>
        <w:rPr>
          <w:rFonts w:ascii="Arial" w:eastAsia="仿宋_GB2312" w:hAnsi="Arial" w:cs="Arial"/>
          <w:sz w:val="28"/>
        </w:rPr>
        <w:t>=267557.9829</w:t>
      </w:r>
      <w:r>
        <w:rPr>
          <w:rFonts w:ascii="Arial" w:eastAsia="仿宋_GB2312" w:hAnsi="Arial" w:cs="Arial"/>
          <w:sz w:val="28"/>
        </w:rPr>
        <w:t>（万元）</w:t>
      </w:r>
    </w:p>
    <w:p w14:paraId="1C11F7CC" w14:textId="77777777" w:rsidR="0062768B" w:rsidRDefault="00136729">
      <w:pPr>
        <w:spacing w:beforeLines="50" w:before="120" w:afterLines="50" w:after="120" w:line="300" w:lineRule="auto"/>
        <w:ind w:firstLineChars="200" w:firstLine="560"/>
        <w:rPr>
          <w:rFonts w:ascii="Arial" w:eastAsia="仿宋_GB2312" w:hAnsi="Arial" w:cs="Arial"/>
          <w:sz w:val="28"/>
        </w:rPr>
      </w:pPr>
      <w:r>
        <w:rPr>
          <w:rFonts w:ascii="Arial" w:eastAsia="仿宋_GB2312" w:hAnsi="Arial" w:cs="Arial" w:hint="eastAsia"/>
          <w:sz w:val="28"/>
        </w:rPr>
        <w:t>C.</w:t>
      </w:r>
      <w:r>
        <w:rPr>
          <w:rFonts w:ascii="Arial" w:eastAsia="仿宋_GB2312" w:hAnsi="Arial" w:cs="Arial"/>
          <w:sz w:val="28"/>
        </w:rPr>
        <w:t>开发成本</w:t>
      </w:r>
    </w:p>
    <w:p w14:paraId="785C0BF9" w14:textId="77777777" w:rsidR="0062768B" w:rsidRDefault="00136729">
      <w:pPr>
        <w:spacing w:line="300" w:lineRule="auto"/>
        <w:ind w:firstLineChars="200" w:firstLine="560"/>
        <w:jc w:val="both"/>
        <w:rPr>
          <w:rFonts w:ascii="仿宋_GB2312" w:eastAsia="仿宋_GB2312"/>
          <w:sz w:val="28"/>
        </w:rPr>
      </w:pPr>
      <w:r>
        <w:rPr>
          <w:rFonts w:ascii="Arial" w:eastAsia="仿宋_GB2312" w:hAnsi="Arial" w:hint="eastAsia"/>
          <w:sz w:val="28"/>
        </w:rPr>
        <w:t>a.</w:t>
      </w:r>
      <w:r>
        <w:rPr>
          <w:rFonts w:ascii="仿宋_GB2312" w:eastAsia="仿宋_GB2312" w:hint="eastAsia"/>
          <w:sz w:val="28"/>
        </w:rPr>
        <w:t>建造成本</w:t>
      </w:r>
    </w:p>
    <w:p w14:paraId="7E443881" w14:textId="77777777" w:rsidR="0062768B" w:rsidRDefault="00136729">
      <w:pPr>
        <w:spacing w:line="300" w:lineRule="auto"/>
        <w:ind w:firstLineChars="200" w:firstLine="560"/>
        <w:jc w:val="both"/>
        <w:rPr>
          <w:rFonts w:ascii="仿宋_GB2312" w:eastAsia="仿宋_GB2312"/>
          <w:sz w:val="28"/>
        </w:rPr>
      </w:pPr>
      <w:r>
        <w:rPr>
          <w:rFonts w:ascii="Arial" w:eastAsia="仿宋_GB2312" w:hAnsi="Arial" w:hint="eastAsia"/>
          <w:sz w:val="28"/>
        </w:rPr>
        <w:t>a</w:t>
      </w:r>
      <w:r>
        <w:rPr>
          <w:rFonts w:ascii="Arial" w:eastAsia="仿宋_GB2312" w:hAnsi="Arial" w:hint="eastAsia"/>
          <w:sz w:val="28"/>
        </w:rPr>
        <w:t>）</w:t>
      </w:r>
      <w:r>
        <w:rPr>
          <w:rFonts w:ascii="仿宋_GB2312" w:eastAsia="仿宋_GB2312" w:hint="eastAsia"/>
          <w:sz w:val="28"/>
        </w:rPr>
        <w:t>建安费用</w:t>
      </w:r>
    </w:p>
    <w:p w14:paraId="1A38A02E"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本次评估参考该地区现行工程概预算定额以及同类建筑的建安水平，同时考虑估价对象建筑结构、设备与装修标准等，综合确定建安费用为</w:t>
      </w:r>
      <w:r>
        <w:rPr>
          <w:rFonts w:ascii="Arial" w:eastAsia="仿宋_GB2312" w:hAnsi="Arial"/>
          <w:sz w:val="28"/>
        </w:rPr>
        <w:t>4500</w:t>
      </w:r>
      <w:r>
        <w:rPr>
          <w:rFonts w:ascii="仿宋_GB2312" w:eastAsia="仿宋_GB2312" w:hint="eastAsia"/>
          <w:sz w:val="28"/>
        </w:rPr>
        <w:t>元/平方米，则有：</w:t>
      </w:r>
    </w:p>
    <w:p w14:paraId="0965CD2C"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建安费用＝单方造价×建筑面积＝</w:t>
      </w:r>
      <w:r>
        <w:rPr>
          <w:rFonts w:ascii="Arial" w:eastAsia="仿宋_GB2312" w:hAnsi="Arial"/>
          <w:sz w:val="28"/>
        </w:rPr>
        <w:t>4500</w:t>
      </w:r>
      <w:r>
        <w:rPr>
          <w:rFonts w:ascii="仿宋_GB2312" w:eastAsia="仿宋_GB2312" w:hint="eastAsia"/>
          <w:sz w:val="28"/>
        </w:rPr>
        <w:t>×</w:t>
      </w:r>
      <w:r>
        <w:rPr>
          <w:rFonts w:ascii="Arial" w:eastAsia="仿宋_GB2312" w:hAnsi="Arial" w:cs="Arial"/>
          <w:sz w:val="28"/>
        </w:rPr>
        <w:t>68148.54</w:t>
      </w:r>
      <w:commentRangeStart w:id="367"/>
      <w:r>
        <w:rPr>
          <w:rFonts w:ascii="仿宋_GB2312" w:eastAsia="仿宋_GB2312" w:hint="eastAsia"/>
          <w:sz w:val="28"/>
        </w:rPr>
        <w:t>＝</w:t>
      </w:r>
      <w:commentRangeEnd w:id="367"/>
      <w:r w:rsidR="00BA64ED">
        <w:rPr>
          <w:rStyle w:val="af6"/>
          <w:lang w:val="zh-CN"/>
        </w:rPr>
        <w:commentReference w:id="367"/>
      </w:r>
      <w:r>
        <w:rPr>
          <w:rFonts w:ascii="Arial" w:eastAsia="仿宋_GB2312" w:hAnsi="Arial"/>
          <w:sz w:val="28"/>
        </w:rPr>
        <w:t>30666.8430</w:t>
      </w:r>
      <w:r>
        <w:rPr>
          <w:rFonts w:ascii="Arial" w:eastAsia="仿宋_GB2312" w:hAnsi="Arial" w:hint="eastAsia"/>
          <w:sz w:val="28"/>
        </w:rPr>
        <w:t>（</w:t>
      </w:r>
      <w:r>
        <w:rPr>
          <w:rFonts w:ascii="仿宋_GB2312" w:eastAsia="仿宋_GB2312" w:hint="eastAsia"/>
          <w:sz w:val="28"/>
        </w:rPr>
        <w:t>万元）</w:t>
      </w:r>
    </w:p>
    <w:p w14:paraId="217CB6E6" w14:textId="77777777" w:rsidR="0062768B" w:rsidRDefault="00136729">
      <w:pPr>
        <w:spacing w:line="300" w:lineRule="auto"/>
        <w:ind w:firstLineChars="200" w:firstLine="560"/>
        <w:jc w:val="both"/>
        <w:rPr>
          <w:rFonts w:ascii="仿宋_GB2312" w:eastAsia="仿宋_GB2312"/>
          <w:sz w:val="28"/>
        </w:rPr>
      </w:pPr>
      <w:r>
        <w:rPr>
          <w:rFonts w:ascii="Arial" w:eastAsia="仿宋_GB2312" w:hAnsi="Arial" w:hint="eastAsia"/>
          <w:sz w:val="28"/>
        </w:rPr>
        <w:t>b</w:t>
      </w:r>
      <w:r>
        <w:rPr>
          <w:rFonts w:ascii="Arial" w:eastAsia="仿宋_GB2312" w:hAnsi="Arial" w:hint="eastAsia"/>
          <w:sz w:val="28"/>
        </w:rPr>
        <w:t>）</w:t>
      </w:r>
      <w:r>
        <w:rPr>
          <w:rFonts w:ascii="仿宋_GB2312" w:eastAsia="仿宋_GB2312" w:hint="eastAsia"/>
          <w:sz w:val="28"/>
        </w:rPr>
        <w:t>勘查设计和前期工程费</w:t>
      </w:r>
    </w:p>
    <w:p w14:paraId="48816BF2"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Pr>
          <w:rFonts w:ascii="Arial" w:eastAsia="仿宋_GB2312" w:hAnsi="Arial" w:hint="eastAsia"/>
          <w:sz w:val="28"/>
        </w:rPr>
        <w:t>5</w:t>
      </w:r>
      <w:r>
        <w:rPr>
          <w:rFonts w:ascii="仿宋_GB2312" w:eastAsia="仿宋_GB2312" w:hint="eastAsia"/>
          <w:sz w:val="28"/>
        </w:rPr>
        <w:t>%取费，则有：</w:t>
      </w:r>
    </w:p>
    <w:p w14:paraId="28170D50"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勘查设计和前期工程费＝建安费用×取费标准＝</w:t>
      </w:r>
      <w:r>
        <w:rPr>
          <w:rFonts w:ascii="Arial" w:eastAsia="仿宋_GB2312" w:hAnsi="Arial"/>
          <w:sz w:val="28"/>
        </w:rPr>
        <w:t>30666.8430</w:t>
      </w:r>
      <w:r>
        <w:rPr>
          <w:rFonts w:ascii="仿宋_GB2312" w:eastAsia="仿宋_GB2312" w:hint="eastAsia"/>
          <w:sz w:val="28"/>
        </w:rPr>
        <w:t>×</w:t>
      </w:r>
      <w:r>
        <w:rPr>
          <w:rFonts w:ascii="Arial" w:eastAsia="仿宋_GB2312" w:hAnsi="Arial" w:hint="eastAsia"/>
          <w:sz w:val="28"/>
        </w:rPr>
        <w:t>5</w:t>
      </w:r>
      <w:r>
        <w:rPr>
          <w:rFonts w:ascii="Arial" w:eastAsia="仿宋_GB2312" w:hAnsi="Arial"/>
          <w:sz w:val="28"/>
        </w:rPr>
        <w:t>%</w:t>
      </w:r>
      <w:r>
        <w:rPr>
          <w:rFonts w:ascii="仿宋_GB2312" w:eastAsia="仿宋_GB2312" w:hint="eastAsia"/>
          <w:sz w:val="28"/>
        </w:rPr>
        <w:t>＝</w:t>
      </w:r>
      <w:r>
        <w:rPr>
          <w:rFonts w:ascii="Arial" w:eastAsia="仿宋_GB2312" w:hAnsi="Arial"/>
          <w:sz w:val="28"/>
        </w:rPr>
        <w:t>1533.3422</w:t>
      </w:r>
      <w:r>
        <w:rPr>
          <w:rFonts w:ascii="Arial" w:eastAsia="仿宋_GB2312" w:hAnsi="Arial" w:hint="eastAsia"/>
          <w:sz w:val="28"/>
        </w:rPr>
        <w:t>（</w:t>
      </w:r>
      <w:r>
        <w:rPr>
          <w:rFonts w:ascii="仿宋_GB2312" w:eastAsia="仿宋_GB2312" w:hint="eastAsia"/>
          <w:sz w:val="28"/>
        </w:rPr>
        <w:t>万元）</w:t>
      </w:r>
    </w:p>
    <w:p w14:paraId="17668D35" w14:textId="77777777" w:rsidR="0062768B" w:rsidRDefault="00136729">
      <w:pPr>
        <w:spacing w:line="300" w:lineRule="auto"/>
        <w:ind w:firstLineChars="200" w:firstLine="560"/>
        <w:jc w:val="both"/>
        <w:rPr>
          <w:rFonts w:ascii="仿宋_GB2312" w:eastAsia="仿宋_GB2312"/>
          <w:sz w:val="28"/>
        </w:rPr>
      </w:pPr>
      <w:r>
        <w:rPr>
          <w:rFonts w:ascii="Arial" w:eastAsia="仿宋_GB2312" w:hAnsi="Arial" w:hint="eastAsia"/>
          <w:sz w:val="28"/>
        </w:rPr>
        <w:t>c</w:t>
      </w:r>
      <w:r>
        <w:rPr>
          <w:rFonts w:ascii="Arial" w:eastAsia="仿宋_GB2312" w:hAnsi="Arial" w:hint="eastAsia"/>
          <w:sz w:val="28"/>
        </w:rPr>
        <w:t>）</w:t>
      </w:r>
      <w:r>
        <w:rPr>
          <w:rFonts w:ascii="仿宋_GB2312" w:eastAsia="仿宋_GB2312" w:hint="eastAsia"/>
          <w:sz w:val="28"/>
        </w:rPr>
        <w:t>公共配套设施费用</w:t>
      </w:r>
    </w:p>
    <w:p w14:paraId="5443E73F"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公共配套设施费用是指城市规划要求居住项目需配套建设的教育、医疗卫生、文化体育、社区服务、市政公用等非营利性设施的建设费用。估价对象地块内设置</w:t>
      </w:r>
      <w:r>
        <w:rPr>
          <w:rFonts w:ascii="Arial" w:eastAsia="仿宋" w:hAnsi="Arial" w:cs="Arial"/>
          <w:sz w:val="28"/>
          <w:szCs w:val="28"/>
        </w:rPr>
        <w:t>3359.98</w:t>
      </w:r>
      <w:r>
        <w:rPr>
          <w:rFonts w:ascii="Arial" w:eastAsia="仿宋" w:hAnsi="Arial" w:cs="Arial"/>
          <w:sz w:val="28"/>
          <w:szCs w:val="28"/>
        </w:rPr>
        <w:t>平方米</w:t>
      </w:r>
      <w:r>
        <w:rPr>
          <w:rFonts w:ascii="Arial" w:eastAsia="仿宋" w:hAnsi="Arial" w:cs="Arial" w:hint="eastAsia"/>
          <w:sz w:val="28"/>
          <w:szCs w:val="28"/>
        </w:rPr>
        <w:t>幼儿园</w:t>
      </w:r>
      <w:r>
        <w:rPr>
          <w:rFonts w:ascii="Arial" w:eastAsia="仿宋" w:hAnsi="Arial" w:cs="Arial"/>
          <w:sz w:val="28"/>
          <w:szCs w:val="28"/>
        </w:rPr>
        <w:t>，</w:t>
      </w:r>
      <w:r>
        <w:rPr>
          <w:rFonts w:ascii="Arial" w:eastAsia="仿宋" w:hAnsi="Arial" w:cs="Arial" w:hint="eastAsia"/>
          <w:sz w:val="28"/>
          <w:szCs w:val="28"/>
        </w:rPr>
        <w:t>建成后</w:t>
      </w:r>
      <w:r>
        <w:rPr>
          <w:rFonts w:ascii="Arial" w:eastAsia="仿宋" w:hAnsi="Arial" w:cs="Arial"/>
          <w:sz w:val="28"/>
          <w:szCs w:val="28"/>
        </w:rPr>
        <w:t>无偿移交。根据估价对象所处区域的一般情况，并结合估价对象实际情况，公共配套设施费用按</w:t>
      </w:r>
      <w:r>
        <w:rPr>
          <w:rFonts w:ascii="Arial" w:eastAsia="仿宋" w:hAnsi="Arial" w:cs="Arial" w:hint="eastAsia"/>
          <w:sz w:val="28"/>
          <w:szCs w:val="28"/>
        </w:rPr>
        <w:t>住宅用房建筑面积</w:t>
      </w:r>
      <w:r>
        <w:rPr>
          <w:rFonts w:ascii="Arial" w:eastAsia="仿宋" w:hAnsi="Arial" w:cs="Arial"/>
          <w:sz w:val="28"/>
          <w:szCs w:val="28"/>
        </w:rPr>
        <w:t>建安费用的</w:t>
      </w:r>
      <w:r>
        <w:rPr>
          <w:rFonts w:ascii="Arial" w:eastAsia="仿宋" w:hAnsi="Arial" w:cs="Arial"/>
          <w:sz w:val="28"/>
          <w:szCs w:val="28"/>
        </w:rPr>
        <w:t>7 %</w:t>
      </w:r>
      <w:r>
        <w:rPr>
          <w:rFonts w:ascii="Arial" w:eastAsia="仿宋" w:hAnsi="Arial" w:cs="Arial"/>
          <w:sz w:val="28"/>
          <w:szCs w:val="28"/>
        </w:rPr>
        <w:t>取费，则有：</w:t>
      </w:r>
    </w:p>
    <w:p w14:paraId="4C0B302E"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公共配套设施费用</w:t>
      </w:r>
    </w:p>
    <w:p w14:paraId="64443BCF"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建安费用</w:t>
      </w:r>
      <w:r>
        <w:rPr>
          <w:rFonts w:ascii="Arial" w:eastAsia="仿宋" w:hAnsi="Arial" w:cs="Arial"/>
          <w:sz w:val="28"/>
          <w:szCs w:val="28"/>
        </w:rPr>
        <w:t>×</w:t>
      </w:r>
      <w:r>
        <w:rPr>
          <w:rFonts w:ascii="Arial" w:eastAsia="仿宋" w:hAnsi="Arial" w:cs="Arial"/>
          <w:sz w:val="28"/>
          <w:szCs w:val="28"/>
        </w:rPr>
        <w:t>取费标准</w:t>
      </w:r>
    </w:p>
    <w:p w14:paraId="28B77201"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=4500×</w:t>
      </w:r>
      <w:r>
        <w:rPr>
          <w:rFonts w:ascii="Arial" w:eastAsia="仿宋_GB2312" w:hAnsi="Arial" w:cs="Arial"/>
          <w:sz w:val="28"/>
        </w:rPr>
        <w:t>68148.54</w:t>
      </w:r>
      <w:r>
        <w:rPr>
          <w:rFonts w:ascii="Arial" w:eastAsia="仿宋" w:hAnsi="Arial" w:cs="Arial"/>
          <w:sz w:val="28"/>
          <w:szCs w:val="28"/>
        </w:rPr>
        <w:t>×</w:t>
      </w:r>
      <w:commentRangeStart w:id="368"/>
      <w:r>
        <w:rPr>
          <w:rFonts w:ascii="Arial" w:eastAsia="仿宋" w:hAnsi="Arial" w:cs="Arial"/>
          <w:sz w:val="28"/>
          <w:szCs w:val="28"/>
        </w:rPr>
        <w:t>7</w:t>
      </w:r>
      <w:commentRangeEnd w:id="368"/>
      <w:r w:rsidR="00BA64ED">
        <w:rPr>
          <w:rStyle w:val="af6"/>
          <w:lang w:val="zh-CN"/>
        </w:rPr>
        <w:commentReference w:id="368"/>
      </w:r>
      <w:r>
        <w:rPr>
          <w:rFonts w:ascii="Arial" w:eastAsia="仿宋" w:hAnsi="Arial" w:cs="Arial"/>
          <w:sz w:val="28"/>
          <w:szCs w:val="28"/>
        </w:rPr>
        <w:t>%</w:t>
      </w:r>
    </w:p>
    <w:p w14:paraId="209D693B" w14:textId="77777777" w:rsidR="0062768B" w:rsidRDefault="00136729">
      <w:pPr>
        <w:spacing w:line="300" w:lineRule="auto"/>
        <w:ind w:firstLineChars="200" w:firstLine="560"/>
        <w:jc w:val="both"/>
        <w:rPr>
          <w:rFonts w:ascii="仿宋_GB2312" w:eastAsia="仿宋_GB2312"/>
          <w:sz w:val="28"/>
        </w:rPr>
      </w:pPr>
      <w:r>
        <w:rPr>
          <w:rFonts w:ascii="Arial" w:eastAsia="仿宋" w:hAnsi="Arial" w:cs="Arial"/>
          <w:sz w:val="28"/>
          <w:szCs w:val="28"/>
        </w:rPr>
        <w:t>=2146.6790 (</w:t>
      </w:r>
      <w:r>
        <w:rPr>
          <w:rFonts w:ascii="Arial" w:eastAsia="仿宋" w:hAnsi="Arial" w:cs="Arial"/>
          <w:sz w:val="28"/>
          <w:szCs w:val="28"/>
        </w:rPr>
        <w:t>万元</w:t>
      </w:r>
      <w:r>
        <w:rPr>
          <w:rFonts w:ascii="Arial" w:eastAsia="仿宋" w:hAnsi="Arial" w:cs="Arial"/>
          <w:sz w:val="28"/>
          <w:szCs w:val="28"/>
        </w:rPr>
        <w:t>)</w:t>
      </w:r>
    </w:p>
    <w:p w14:paraId="51DAC03E" w14:textId="77777777" w:rsidR="0062768B" w:rsidRDefault="00136729">
      <w:pPr>
        <w:spacing w:line="300" w:lineRule="auto"/>
        <w:ind w:firstLineChars="200" w:firstLine="560"/>
        <w:jc w:val="both"/>
        <w:rPr>
          <w:rFonts w:ascii="仿宋_GB2312" w:eastAsia="仿宋_GB2312"/>
          <w:sz w:val="28"/>
        </w:rPr>
      </w:pPr>
      <w:r>
        <w:rPr>
          <w:rFonts w:ascii="Arial" w:eastAsia="仿宋_GB2312" w:hAnsi="Arial" w:hint="eastAsia"/>
          <w:sz w:val="28"/>
        </w:rPr>
        <w:t>d</w:t>
      </w:r>
      <w:r>
        <w:rPr>
          <w:rFonts w:ascii="Arial" w:eastAsia="仿宋_GB2312" w:hAnsi="Arial" w:hint="eastAsia"/>
          <w:sz w:val="28"/>
        </w:rPr>
        <w:t>）</w:t>
      </w:r>
      <w:r>
        <w:rPr>
          <w:rFonts w:ascii="仿宋_GB2312" w:eastAsia="仿宋_GB2312" w:hint="eastAsia"/>
          <w:sz w:val="28"/>
        </w:rPr>
        <w:t>红线内市政基础设施费</w:t>
      </w:r>
    </w:p>
    <w:p w14:paraId="500DF31F" w14:textId="3FA63A1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lastRenderedPageBreak/>
        <w:t>红线内市政基础设施费是指包括城市规划要求配套的道路、给排水、电力、电信、燃气、热力等设施的建设费用；估价对象未来红线内基础设施建设将达到</w:t>
      </w:r>
      <w:r>
        <w:rPr>
          <w:rFonts w:ascii="Arial" w:eastAsia="仿宋_GB2312" w:hAnsi="Arial" w:cs="Arial"/>
          <w:sz w:val="28"/>
        </w:rPr>
        <w:t>“</w:t>
      </w:r>
      <w:r>
        <w:rPr>
          <w:rFonts w:ascii="Arial" w:eastAsia="仿宋_GB2312" w:hAnsi="Arial" w:cs="Arial"/>
          <w:sz w:val="28"/>
        </w:rPr>
        <w:t>六通</w:t>
      </w:r>
      <w:r>
        <w:rPr>
          <w:rFonts w:ascii="Arial" w:eastAsia="仿宋_GB2312" w:hAnsi="Arial" w:cs="Arial"/>
          <w:sz w:val="28"/>
        </w:rPr>
        <w:t>”</w:t>
      </w:r>
      <w:r w:rsidR="00835791">
        <w:rPr>
          <w:rFonts w:ascii="Arial" w:eastAsia="仿宋_GB2312" w:hAnsi="Arial" w:cs="Arial"/>
          <w:sz w:val="28"/>
        </w:rPr>
        <w:t>（通路、通上水（自来水、中水）、通下水（雨水、污水）、通电、通燃气、通热力）</w:t>
      </w:r>
      <w:r>
        <w:rPr>
          <w:rFonts w:ascii="仿宋_GB2312" w:eastAsia="仿宋_GB2312" w:hint="eastAsia"/>
          <w:sz w:val="28"/>
        </w:rPr>
        <w:t>，结合估价对象所在区域实际情况确定红线内市政基础设施费为</w:t>
      </w:r>
      <w:r>
        <w:rPr>
          <w:rFonts w:ascii="Arial" w:eastAsia="仿宋_GB2312" w:hAnsi="Arial"/>
          <w:sz w:val="28"/>
        </w:rPr>
        <w:t>300</w:t>
      </w:r>
      <w:r>
        <w:rPr>
          <w:rFonts w:ascii="仿宋_GB2312" w:eastAsia="仿宋_GB2312" w:hint="eastAsia"/>
          <w:sz w:val="28"/>
        </w:rPr>
        <w:t>元/平方米，则有：</w:t>
      </w:r>
    </w:p>
    <w:p w14:paraId="4234DBFB"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红线内市政基础设施费</w:t>
      </w:r>
    </w:p>
    <w:p w14:paraId="00E7FF5C"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＝建筑面积×取费标准</w:t>
      </w:r>
    </w:p>
    <w:p w14:paraId="5F3C115C" w14:textId="77777777" w:rsidR="0062768B" w:rsidRDefault="00136729">
      <w:pPr>
        <w:spacing w:line="300" w:lineRule="auto"/>
        <w:ind w:firstLineChars="200" w:firstLine="560"/>
        <w:jc w:val="both"/>
        <w:rPr>
          <w:rFonts w:ascii="Arial" w:eastAsia="仿宋_GB2312" w:hAnsi="Arial"/>
          <w:sz w:val="28"/>
        </w:rPr>
      </w:pPr>
      <w:r>
        <w:rPr>
          <w:rFonts w:ascii="仿宋_GB2312" w:eastAsia="仿宋_GB2312" w:hint="eastAsia"/>
          <w:sz w:val="28"/>
        </w:rPr>
        <w:t>＝</w:t>
      </w:r>
      <w:r>
        <w:rPr>
          <w:rFonts w:ascii="Arial" w:eastAsia="仿宋_GB2312" w:hAnsi="Arial" w:cs="Arial"/>
          <w:sz w:val="28"/>
        </w:rPr>
        <w:t>68148.54</w:t>
      </w:r>
      <w:r>
        <w:rPr>
          <w:rFonts w:ascii="仿宋_GB2312" w:eastAsia="仿宋_GB2312" w:hint="eastAsia"/>
          <w:sz w:val="28"/>
        </w:rPr>
        <w:t>×</w:t>
      </w:r>
      <w:r>
        <w:rPr>
          <w:rFonts w:ascii="Arial" w:eastAsia="仿宋_GB2312" w:hAnsi="Arial"/>
          <w:sz w:val="28"/>
        </w:rPr>
        <w:t xml:space="preserve">300 </w:t>
      </w:r>
    </w:p>
    <w:p w14:paraId="1E72E552"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w:t>
      </w:r>
      <w:r>
        <w:rPr>
          <w:rFonts w:ascii="Arial" w:eastAsia="仿宋_GB2312" w:hAnsi="Arial"/>
          <w:sz w:val="28"/>
        </w:rPr>
        <w:t>2044.4562</w:t>
      </w:r>
      <w:r>
        <w:rPr>
          <w:rFonts w:ascii="Arial" w:eastAsia="仿宋_GB2312" w:hAnsi="Arial" w:hint="eastAsia"/>
          <w:sz w:val="28"/>
        </w:rPr>
        <w:t>（</w:t>
      </w:r>
      <w:r>
        <w:rPr>
          <w:rFonts w:ascii="仿宋_GB2312" w:eastAsia="仿宋_GB2312" w:hint="eastAsia"/>
          <w:sz w:val="28"/>
        </w:rPr>
        <w:t>万元）</w:t>
      </w:r>
    </w:p>
    <w:p w14:paraId="38D43323" w14:textId="77777777" w:rsidR="0062768B" w:rsidRDefault="00136729">
      <w:pPr>
        <w:spacing w:line="300" w:lineRule="auto"/>
        <w:ind w:firstLineChars="200" w:firstLine="560"/>
        <w:jc w:val="both"/>
        <w:rPr>
          <w:rFonts w:ascii="仿宋_GB2312" w:eastAsia="仿宋_GB2312"/>
          <w:sz w:val="28"/>
        </w:rPr>
      </w:pPr>
      <w:r>
        <w:rPr>
          <w:rFonts w:ascii="Arial" w:eastAsia="仿宋_GB2312" w:hAnsi="Arial" w:hint="eastAsia"/>
          <w:sz w:val="28"/>
        </w:rPr>
        <w:t>e</w:t>
      </w:r>
      <w:r>
        <w:rPr>
          <w:rFonts w:ascii="Arial" w:eastAsia="仿宋_GB2312" w:hAnsi="Arial" w:hint="eastAsia"/>
          <w:sz w:val="28"/>
        </w:rPr>
        <w:t>）</w:t>
      </w:r>
      <w:r>
        <w:rPr>
          <w:rFonts w:ascii="仿宋_GB2312" w:eastAsia="仿宋_GB2312" w:hint="eastAsia"/>
          <w:sz w:val="28"/>
        </w:rPr>
        <w:t>相关税费</w:t>
      </w:r>
    </w:p>
    <w:p w14:paraId="3FBA8FF8"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Pr>
          <w:rFonts w:ascii="Arial" w:eastAsia="仿宋_GB2312" w:hAnsi="Arial"/>
          <w:sz w:val="28"/>
        </w:rPr>
        <w:t>1</w:t>
      </w:r>
      <w:r>
        <w:rPr>
          <w:rFonts w:ascii="仿宋_GB2312" w:eastAsia="仿宋_GB2312" w:hint="eastAsia"/>
          <w:sz w:val="28"/>
        </w:rPr>
        <w:t>.</w:t>
      </w:r>
      <w:r>
        <w:rPr>
          <w:rFonts w:ascii="Arial" w:eastAsia="仿宋_GB2312" w:hAnsi="Arial"/>
          <w:sz w:val="28"/>
        </w:rPr>
        <w:t>5</w:t>
      </w:r>
      <w:r>
        <w:rPr>
          <w:rFonts w:ascii="仿宋_GB2312" w:eastAsia="仿宋_GB2312" w:hint="eastAsia"/>
          <w:sz w:val="28"/>
        </w:rPr>
        <w:t>%取费，则有：</w:t>
      </w:r>
    </w:p>
    <w:p w14:paraId="7331F728"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相关税费＝建安费用×取费标准＝</w:t>
      </w:r>
      <w:r>
        <w:rPr>
          <w:rFonts w:ascii="Arial" w:eastAsia="仿宋_GB2312" w:hAnsi="Arial"/>
          <w:sz w:val="28"/>
        </w:rPr>
        <w:t>30666.8430</w:t>
      </w:r>
      <w:r>
        <w:rPr>
          <w:rFonts w:ascii="仿宋_GB2312" w:eastAsia="仿宋_GB2312" w:hint="eastAsia"/>
          <w:sz w:val="28"/>
        </w:rPr>
        <w:t>×</w:t>
      </w:r>
      <w:r>
        <w:rPr>
          <w:rFonts w:ascii="Arial" w:eastAsia="仿宋_GB2312" w:hAnsi="Arial"/>
          <w:sz w:val="28"/>
        </w:rPr>
        <w:t>1</w:t>
      </w:r>
      <w:r>
        <w:rPr>
          <w:rFonts w:ascii="仿宋_GB2312" w:eastAsia="仿宋_GB2312" w:hint="eastAsia"/>
          <w:sz w:val="28"/>
        </w:rPr>
        <w:t>.</w:t>
      </w:r>
      <w:r>
        <w:rPr>
          <w:rFonts w:ascii="Arial" w:eastAsia="仿宋_GB2312" w:hAnsi="Arial"/>
          <w:sz w:val="28"/>
        </w:rPr>
        <w:t>5</w:t>
      </w:r>
      <w:r>
        <w:rPr>
          <w:rFonts w:ascii="仿宋_GB2312" w:eastAsia="仿宋_GB2312" w:hint="eastAsia"/>
          <w:sz w:val="28"/>
        </w:rPr>
        <w:t>%＝</w:t>
      </w:r>
      <w:r>
        <w:rPr>
          <w:rFonts w:ascii="Arial" w:eastAsia="仿宋_GB2312" w:hAnsi="Arial"/>
          <w:sz w:val="28"/>
        </w:rPr>
        <w:t xml:space="preserve">460.0026  </w:t>
      </w:r>
      <w:r>
        <w:rPr>
          <w:rFonts w:ascii="仿宋_GB2312" w:eastAsia="仿宋_GB2312" w:hint="eastAsia"/>
          <w:sz w:val="28"/>
        </w:rPr>
        <w:t xml:space="preserve"> （万元）</w:t>
      </w:r>
    </w:p>
    <w:p w14:paraId="5EE3A01B" w14:textId="77777777" w:rsidR="0062768B" w:rsidRDefault="00136729">
      <w:pPr>
        <w:spacing w:line="300" w:lineRule="auto"/>
        <w:ind w:firstLineChars="200" w:firstLine="560"/>
        <w:jc w:val="both"/>
        <w:rPr>
          <w:rFonts w:ascii="仿宋_GB2312" w:eastAsia="仿宋_GB2312"/>
          <w:sz w:val="28"/>
        </w:rPr>
      </w:pPr>
      <w:r>
        <w:rPr>
          <w:rFonts w:ascii="Arial" w:eastAsia="仿宋_GB2312" w:hAnsi="Arial" w:hint="eastAsia"/>
          <w:sz w:val="28"/>
        </w:rPr>
        <w:t>f</w:t>
      </w:r>
      <w:r>
        <w:rPr>
          <w:rFonts w:ascii="Arial" w:eastAsia="仿宋_GB2312" w:hAnsi="Arial" w:hint="eastAsia"/>
          <w:sz w:val="28"/>
        </w:rPr>
        <w:t>）</w:t>
      </w:r>
      <w:r>
        <w:rPr>
          <w:rFonts w:ascii="仿宋_GB2312" w:eastAsia="仿宋_GB2312" w:hint="eastAsia"/>
          <w:sz w:val="28"/>
        </w:rPr>
        <w:t>建造成本</w:t>
      </w:r>
    </w:p>
    <w:p w14:paraId="5D821F46"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建造成本为上述</w:t>
      </w:r>
      <w:r>
        <w:rPr>
          <w:rFonts w:ascii="Arial" w:eastAsia="仿宋_GB2312" w:hAnsi="Arial"/>
          <w:sz w:val="28"/>
        </w:rPr>
        <w:t>5</w:t>
      </w:r>
      <w:r>
        <w:rPr>
          <w:rFonts w:ascii="仿宋_GB2312" w:eastAsia="仿宋_GB2312" w:hint="eastAsia"/>
          <w:sz w:val="28"/>
        </w:rPr>
        <w:t>项之和，则有：</w:t>
      </w:r>
    </w:p>
    <w:p w14:paraId="63F696BF" w14:textId="77777777" w:rsidR="0062768B" w:rsidRDefault="00136729">
      <w:pPr>
        <w:spacing w:line="300" w:lineRule="auto"/>
        <w:ind w:firstLineChars="201" w:firstLine="563"/>
        <w:jc w:val="both"/>
        <w:rPr>
          <w:rFonts w:ascii="仿宋_GB2312" w:eastAsia="仿宋_GB2312"/>
          <w:sz w:val="28"/>
        </w:rPr>
      </w:pPr>
      <w:r>
        <w:rPr>
          <w:rFonts w:ascii="仿宋_GB2312" w:eastAsia="仿宋_GB2312" w:hint="eastAsia"/>
          <w:sz w:val="28"/>
        </w:rPr>
        <w:t>建造成本=</w:t>
      </w:r>
      <w:r>
        <w:rPr>
          <w:rFonts w:ascii="Arial" w:eastAsia="仿宋_GB2312" w:hAnsi="Arial"/>
          <w:sz w:val="28"/>
        </w:rPr>
        <w:t>30666.8430</w:t>
      </w:r>
      <w:r>
        <w:rPr>
          <w:rFonts w:ascii="仿宋_GB2312" w:eastAsia="仿宋_GB2312" w:hint="eastAsia"/>
          <w:sz w:val="28"/>
        </w:rPr>
        <w:t>+</w:t>
      </w:r>
      <w:r>
        <w:rPr>
          <w:rFonts w:ascii="Arial" w:eastAsia="仿宋_GB2312" w:hAnsi="Arial"/>
          <w:sz w:val="28"/>
        </w:rPr>
        <w:t>1533.3422</w:t>
      </w:r>
      <w:r>
        <w:rPr>
          <w:rFonts w:ascii="仿宋_GB2312" w:eastAsia="仿宋_GB2312" w:hint="eastAsia"/>
          <w:sz w:val="28"/>
        </w:rPr>
        <w:t>+</w:t>
      </w:r>
      <w:r>
        <w:rPr>
          <w:rFonts w:ascii="Arial" w:eastAsia="仿宋" w:hAnsi="Arial" w:cs="Arial"/>
          <w:sz w:val="28"/>
          <w:szCs w:val="28"/>
        </w:rPr>
        <w:t>2146.6790</w:t>
      </w:r>
      <w:r>
        <w:rPr>
          <w:rFonts w:ascii="仿宋_GB2312" w:eastAsia="仿宋_GB2312" w:hint="eastAsia"/>
          <w:sz w:val="28"/>
        </w:rPr>
        <w:t>+</w:t>
      </w:r>
      <w:r>
        <w:rPr>
          <w:rFonts w:ascii="Arial" w:eastAsia="仿宋_GB2312" w:hAnsi="Arial"/>
          <w:sz w:val="28"/>
        </w:rPr>
        <w:t>2044.4562</w:t>
      </w:r>
      <w:r>
        <w:rPr>
          <w:rFonts w:ascii="仿宋_GB2312" w:eastAsia="仿宋_GB2312" w:hint="eastAsia"/>
          <w:sz w:val="28"/>
        </w:rPr>
        <w:t xml:space="preserve">+ </w:t>
      </w:r>
      <w:r>
        <w:rPr>
          <w:rFonts w:ascii="Arial" w:eastAsia="仿宋_GB2312" w:hAnsi="Arial"/>
          <w:sz w:val="28"/>
        </w:rPr>
        <w:t>460.0026</w:t>
      </w:r>
      <w:r>
        <w:rPr>
          <w:rFonts w:ascii="仿宋_GB2312" w:eastAsia="仿宋_GB2312" w:hint="eastAsia"/>
          <w:sz w:val="28"/>
        </w:rPr>
        <w:t xml:space="preserve">= </w:t>
      </w:r>
      <w:r>
        <w:rPr>
          <w:rFonts w:ascii="Arial" w:eastAsia="仿宋_GB2312" w:hAnsi="Arial"/>
          <w:sz w:val="28"/>
        </w:rPr>
        <w:t>36851.3230</w:t>
      </w:r>
      <w:r>
        <w:rPr>
          <w:rFonts w:ascii="仿宋_GB2312" w:eastAsia="仿宋_GB2312" w:hint="eastAsia"/>
          <w:sz w:val="28"/>
        </w:rPr>
        <w:t>（万元）</w:t>
      </w:r>
    </w:p>
    <w:p w14:paraId="060200D2"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b.</w:t>
      </w:r>
      <w:r>
        <w:rPr>
          <w:rFonts w:ascii="Arial" w:eastAsia="仿宋_GB2312" w:hAnsi="Arial" w:cs="Arial" w:hint="eastAsia"/>
          <w:sz w:val="28"/>
        </w:rPr>
        <w:t>红线外市政费用（土地开发费）</w:t>
      </w:r>
    </w:p>
    <w:p w14:paraId="15E62D31" w14:textId="2024F19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_GB2312" w:hAnsi="Arial" w:cs="Arial" w:hint="eastAsia"/>
          <w:sz w:val="28"/>
          <w:szCs w:val="28"/>
        </w:rPr>
        <w:t>根据</w:t>
      </w:r>
      <w:r w:rsidR="00791FE1">
        <w:rPr>
          <w:rFonts w:ascii="Arial" w:eastAsia="仿宋_GB2312" w:hAnsi="Arial" w:cs="Arial" w:hint="eastAsia"/>
          <w:sz w:val="28"/>
          <w:szCs w:val="28"/>
        </w:rPr>
        <w:t>《北京市顺义区人民政府关于顺义区高丽营镇夏县营村棚户区改造土地开发项目</w:t>
      </w:r>
      <w:r w:rsidR="00791FE1">
        <w:rPr>
          <w:rFonts w:ascii="Arial" w:eastAsia="仿宋_GB2312" w:hAnsi="Arial" w:cs="Arial" w:hint="eastAsia"/>
          <w:sz w:val="28"/>
          <w:szCs w:val="28"/>
        </w:rPr>
        <w:t>01-008</w:t>
      </w:r>
      <w:r w:rsidR="00791FE1">
        <w:rPr>
          <w:rFonts w:ascii="Arial" w:eastAsia="仿宋_GB2312" w:hAnsi="Arial" w:cs="Arial" w:hint="eastAsia"/>
          <w:sz w:val="28"/>
          <w:szCs w:val="28"/>
        </w:rPr>
        <w:t>、</w:t>
      </w:r>
      <w:r w:rsidR="00791FE1">
        <w:rPr>
          <w:rFonts w:ascii="Arial" w:eastAsia="仿宋_GB2312" w:hAnsi="Arial" w:cs="Arial" w:hint="eastAsia"/>
          <w:sz w:val="28"/>
          <w:szCs w:val="28"/>
        </w:rPr>
        <w:t>01-016</w:t>
      </w:r>
      <w:r w:rsidR="00791FE1">
        <w:rPr>
          <w:rFonts w:ascii="Arial" w:eastAsia="仿宋_GB2312" w:hAnsi="Arial" w:cs="Arial" w:hint="eastAsia"/>
          <w:sz w:val="28"/>
          <w:szCs w:val="28"/>
        </w:rPr>
        <w:t>、</w:t>
      </w:r>
      <w:r w:rsidR="00791FE1">
        <w:rPr>
          <w:rFonts w:ascii="Arial" w:eastAsia="仿宋_GB2312" w:hAnsi="Arial" w:cs="Arial" w:hint="eastAsia"/>
          <w:sz w:val="28"/>
          <w:szCs w:val="28"/>
        </w:rPr>
        <w:t>01-026-1</w:t>
      </w:r>
      <w:r w:rsidR="00791FE1">
        <w:rPr>
          <w:rFonts w:ascii="Arial" w:eastAsia="仿宋_GB2312" w:hAnsi="Arial" w:cs="Arial" w:hint="eastAsia"/>
          <w:sz w:val="28"/>
          <w:szCs w:val="28"/>
        </w:rPr>
        <w:t>、</w:t>
      </w:r>
      <w:r w:rsidR="00791FE1">
        <w:rPr>
          <w:rFonts w:ascii="Arial" w:eastAsia="仿宋_GB2312" w:hAnsi="Arial" w:cs="Arial" w:hint="eastAsia"/>
          <w:sz w:val="28"/>
          <w:szCs w:val="28"/>
        </w:rPr>
        <w:t>01-020</w:t>
      </w:r>
      <w:r w:rsidR="00791FE1">
        <w:rPr>
          <w:rFonts w:ascii="Arial" w:eastAsia="仿宋_GB2312" w:hAnsi="Arial" w:cs="Arial" w:hint="eastAsia"/>
          <w:sz w:val="28"/>
          <w:szCs w:val="28"/>
        </w:rPr>
        <w:t>地块提请地价审核有关事宜的函》（</w:t>
      </w:r>
      <w:proofErr w:type="gramStart"/>
      <w:r w:rsidR="00791FE1">
        <w:rPr>
          <w:rFonts w:ascii="Arial" w:eastAsia="仿宋_GB2312" w:hAnsi="Arial" w:cs="Arial" w:hint="eastAsia"/>
          <w:sz w:val="28"/>
          <w:szCs w:val="28"/>
        </w:rPr>
        <w:t>顺政函</w:t>
      </w:r>
      <w:proofErr w:type="gramEnd"/>
      <w:r w:rsidR="00791FE1">
        <w:rPr>
          <w:rFonts w:ascii="Arial" w:eastAsia="仿宋_GB2312" w:hAnsi="Arial" w:cs="Arial" w:hint="eastAsia"/>
          <w:sz w:val="28"/>
          <w:szCs w:val="28"/>
        </w:rPr>
        <w:t>【</w:t>
      </w:r>
      <w:r w:rsidR="00791FE1">
        <w:rPr>
          <w:rFonts w:ascii="Arial" w:eastAsia="仿宋_GB2312" w:hAnsi="Arial" w:cs="Arial" w:hint="eastAsia"/>
          <w:sz w:val="28"/>
          <w:szCs w:val="28"/>
        </w:rPr>
        <w:t>2023</w:t>
      </w:r>
      <w:r w:rsidR="00791FE1">
        <w:rPr>
          <w:rFonts w:ascii="Arial" w:eastAsia="仿宋_GB2312" w:hAnsi="Arial" w:cs="Arial" w:hint="eastAsia"/>
          <w:sz w:val="28"/>
          <w:szCs w:val="28"/>
        </w:rPr>
        <w:t>】</w:t>
      </w:r>
      <w:r w:rsidR="00791FE1">
        <w:rPr>
          <w:rFonts w:ascii="Arial" w:eastAsia="仿宋_GB2312" w:hAnsi="Arial" w:cs="Arial" w:hint="eastAsia"/>
          <w:sz w:val="28"/>
          <w:szCs w:val="28"/>
        </w:rPr>
        <w:t>151</w:t>
      </w:r>
      <w:r w:rsidR="00791FE1">
        <w:rPr>
          <w:rFonts w:ascii="Arial" w:eastAsia="仿宋_GB2312" w:hAnsi="Arial" w:cs="Arial" w:hint="eastAsia"/>
          <w:sz w:val="28"/>
          <w:szCs w:val="28"/>
        </w:rPr>
        <w:t>号）</w:t>
      </w:r>
      <w:r>
        <w:rPr>
          <w:rFonts w:ascii="Arial" w:eastAsia="仿宋_GB2312" w:hAnsi="Arial" w:cs="Arial" w:hint="eastAsia"/>
          <w:sz w:val="28"/>
          <w:szCs w:val="28"/>
        </w:rPr>
        <w:t>记载</w:t>
      </w:r>
      <w:r>
        <w:rPr>
          <w:rFonts w:ascii="Arial" w:eastAsia="仿宋_GB2312" w:hAnsi="Arial" w:cs="Arial" w:hint="eastAsia"/>
          <w:sz w:val="28"/>
        </w:rPr>
        <w:t>，估价对象供地条件为</w:t>
      </w:r>
      <w:r>
        <w:rPr>
          <w:rFonts w:ascii="Arial" w:eastAsia="仿宋" w:hAnsi="Arial" w:cs="Arial"/>
          <w:sz w:val="28"/>
          <w:szCs w:val="28"/>
        </w:rPr>
        <w:t>评估设定土地开发程度为宗地外</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Pr>
          <w:rFonts w:ascii="Arial" w:eastAsia="仿宋" w:hAnsi="Arial" w:cs="Arial"/>
          <w:sz w:val="28"/>
          <w:szCs w:val="28"/>
        </w:rPr>
        <w:t>（通路、通上水（自来水、中水）、通下水（雨水、污水）、通电（管沟、电缆）、通燃气、通热力）、宗地红线内场地平整。本次评估设定估价对象开发完成后红线外基础设施将达</w:t>
      </w:r>
      <w:r>
        <w:rPr>
          <w:rFonts w:ascii="Arial" w:eastAsia="仿宋" w:hAnsi="Arial" w:cs="Arial"/>
          <w:sz w:val="28"/>
          <w:szCs w:val="28"/>
        </w:rPr>
        <w:t>“</w:t>
      </w:r>
      <w:r>
        <w:rPr>
          <w:rFonts w:ascii="Arial" w:eastAsia="仿宋" w:hAnsi="Arial" w:cs="Arial"/>
          <w:sz w:val="28"/>
          <w:szCs w:val="28"/>
        </w:rPr>
        <w:t>七通</w:t>
      </w:r>
      <w:r>
        <w:rPr>
          <w:rFonts w:ascii="Arial" w:eastAsia="仿宋" w:hAnsi="Arial" w:cs="Arial"/>
          <w:sz w:val="28"/>
          <w:szCs w:val="28"/>
        </w:rPr>
        <w:t>”</w:t>
      </w:r>
      <w:r>
        <w:rPr>
          <w:rFonts w:ascii="Arial" w:eastAsia="仿宋" w:hAnsi="Arial" w:cs="Arial"/>
          <w:sz w:val="28"/>
          <w:szCs w:val="28"/>
        </w:rPr>
        <w:t>（即通路、通上水、通下水、通电、通讯、通燃气、通热力），宗地内</w:t>
      </w:r>
      <w:r>
        <w:rPr>
          <w:rFonts w:ascii="Arial" w:eastAsia="仿宋" w:hAnsi="Arial" w:cs="Arial"/>
          <w:sz w:val="28"/>
          <w:szCs w:val="28"/>
        </w:rPr>
        <w:t>“</w:t>
      </w:r>
      <w:r>
        <w:rPr>
          <w:rFonts w:ascii="Arial" w:eastAsia="仿宋" w:hAnsi="Arial" w:cs="Arial"/>
          <w:sz w:val="28"/>
          <w:szCs w:val="28"/>
        </w:rPr>
        <w:t>场地平整</w:t>
      </w:r>
      <w:r>
        <w:rPr>
          <w:rFonts w:ascii="Arial" w:eastAsia="仿宋" w:hAnsi="Arial" w:cs="Arial"/>
          <w:sz w:val="28"/>
          <w:szCs w:val="28"/>
        </w:rPr>
        <w:t>”</w:t>
      </w:r>
      <w:r>
        <w:rPr>
          <w:rFonts w:ascii="Arial" w:eastAsia="仿宋" w:hAnsi="Arial" w:cs="Arial"/>
          <w:sz w:val="28"/>
          <w:szCs w:val="28"/>
        </w:rPr>
        <w:t>。结合估价对象所在区域实际情况确定本次</w:t>
      </w:r>
      <w:proofErr w:type="gramStart"/>
      <w:r>
        <w:rPr>
          <w:rFonts w:ascii="Arial" w:eastAsia="仿宋" w:hAnsi="Arial" w:cs="Arial"/>
          <w:sz w:val="28"/>
          <w:szCs w:val="28"/>
        </w:rPr>
        <w:t>评估按</w:t>
      </w:r>
      <w:proofErr w:type="gramEnd"/>
      <w:r>
        <w:rPr>
          <w:rFonts w:ascii="Arial" w:eastAsia="仿宋" w:hAnsi="Arial" w:cs="Arial"/>
          <w:sz w:val="28"/>
          <w:szCs w:val="28"/>
        </w:rPr>
        <w:t>每平方米</w:t>
      </w:r>
      <w:r>
        <w:rPr>
          <w:rFonts w:ascii="Arial" w:eastAsia="仿宋" w:hAnsi="Arial" w:cs="Arial"/>
          <w:sz w:val="28"/>
          <w:szCs w:val="28"/>
        </w:rPr>
        <w:t>40</w:t>
      </w:r>
      <w:r>
        <w:rPr>
          <w:rFonts w:ascii="Arial" w:eastAsia="仿宋" w:hAnsi="Arial" w:cs="Arial"/>
          <w:sz w:val="28"/>
          <w:szCs w:val="28"/>
        </w:rPr>
        <w:t>元取费，则有：</w:t>
      </w:r>
    </w:p>
    <w:p w14:paraId="3A606D6B"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红线外基础设施建设费</w:t>
      </w:r>
    </w:p>
    <w:p w14:paraId="205279B0"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lastRenderedPageBreak/>
        <w:t>＝建筑面积×取费标准</w:t>
      </w:r>
    </w:p>
    <w:p w14:paraId="17132A49"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w:t>
      </w:r>
      <w:r>
        <w:rPr>
          <w:rFonts w:ascii="Arial" w:eastAsia="仿宋_GB2312" w:hAnsi="Arial" w:cs="Arial"/>
          <w:sz w:val="28"/>
        </w:rPr>
        <w:t>68148.54</w:t>
      </w:r>
      <w:r>
        <w:rPr>
          <w:rFonts w:ascii="仿宋_GB2312" w:eastAsia="仿宋_GB2312" w:hint="eastAsia"/>
          <w:sz w:val="28"/>
        </w:rPr>
        <w:t>×</w:t>
      </w:r>
      <w:r>
        <w:rPr>
          <w:rFonts w:ascii="Arial" w:eastAsia="仿宋_GB2312" w:hAnsi="Arial"/>
          <w:sz w:val="28"/>
        </w:rPr>
        <w:t>40</w:t>
      </w:r>
    </w:p>
    <w:p w14:paraId="5549E1B9"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w:t>
      </w:r>
      <w:r>
        <w:rPr>
          <w:rFonts w:ascii="Arial" w:eastAsia="仿宋_GB2312" w:hAnsi="Arial"/>
          <w:sz w:val="28"/>
        </w:rPr>
        <w:t>272.5942</w:t>
      </w:r>
      <w:r>
        <w:rPr>
          <w:rFonts w:ascii="Arial" w:eastAsia="仿宋_GB2312" w:hAnsi="Arial" w:hint="eastAsia"/>
          <w:sz w:val="28"/>
        </w:rPr>
        <w:t>（</w:t>
      </w:r>
      <w:r>
        <w:rPr>
          <w:rFonts w:ascii="仿宋_GB2312" w:eastAsia="仿宋_GB2312" w:hint="eastAsia"/>
          <w:sz w:val="28"/>
        </w:rPr>
        <w:t>万元）</w:t>
      </w:r>
    </w:p>
    <w:p w14:paraId="0E6560AF" w14:textId="77777777" w:rsidR="0062768B" w:rsidRDefault="00136729">
      <w:pPr>
        <w:spacing w:line="300" w:lineRule="auto"/>
        <w:ind w:firstLineChars="200" w:firstLine="560"/>
        <w:jc w:val="both"/>
        <w:rPr>
          <w:rFonts w:ascii="仿宋_GB2312" w:eastAsia="仿宋_GB2312" w:hAnsi="Arial" w:cs="Arial"/>
          <w:sz w:val="28"/>
        </w:rPr>
      </w:pPr>
      <w:r>
        <w:rPr>
          <w:rFonts w:ascii="Arial" w:eastAsia="仿宋_GB2312" w:hAnsi="Arial" w:cs="Arial" w:hint="eastAsia"/>
          <w:sz w:val="28"/>
        </w:rPr>
        <w:t>c.</w:t>
      </w:r>
      <w:r>
        <w:rPr>
          <w:rFonts w:ascii="仿宋_GB2312" w:eastAsia="仿宋_GB2312" w:hAnsi="Arial" w:cs="Arial" w:hint="eastAsia"/>
          <w:sz w:val="28"/>
        </w:rPr>
        <w:t>城市基础设施建设费</w:t>
      </w:r>
    </w:p>
    <w:p w14:paraId="623AD152" w14:textId="77777777" w:rsidR="0062768B" w:rsidRDefault="00136729">
      <w:pPr>
        <w:spacing w:line="300" w:lineRule="auto"/>
        <w:ind w:firstLineChars="200" w:firstLine="560"/>
        <w:jc w:val="both"/>
        <w:rPr>
          <w:rFonts w:ascii="仿宋_GB2312" w:eastAsia="仿宋_GB2312" w:hAnsi="Arial" w:cs="Arial"/>
          <w:sz w:val="28"/>
        </w:rPr>
      </w:pPr>
      <w:r>
        <w:rPr>
          <w:rFonts w:ascii="仿宋_GB2312" w:eastAsia="仿宋_GB2312" w:hAnsi="Arial" w:cs="Arial" w:hint="eastAsia"/>
          <w:sz w:val="28"/>
        </w:rPr>
        <w:t>城市基础设施建设费是政府向建设单位收取、专项用于城市基础设施和城市共用设施建设，包括城市道路、桥梁、公共交通、供水、燃气、</w:t>
      </w:r>
      <w:hyperlink r:id="rId70" w:tgtFrame="_blank" w:history="1">
        <w:r>
          <w:rPr>
            <w:rFonts w:eastAsia="仿宋_GB2312" w:hAnsi="Arial" w:hint="eastAsia"/>
            <w:sz w:val="28"/>
          </w:rPr>
          <w:t>污水处理</w:t>
        </w:r>
      </w:hyperlink>
      <w:r>
        <w:rPr>
          <w:rFonts w:ascii="仿宋_GB2312" w:eastAsia="仿宋_GB2312" w:hAnsi="Arial" w:cs="Arial" w:hint="eastAsia"/>
          <w:sz w:val="28"/>
        </w:rPr>
        <w:t>、集中供热、园林、绿化、路灯、环境卫生等设施的建设。估价对象位于</w:t>
      </w:r>
      <w:r>
        <w:rPr>
          <w:rFonts w:ascii="Arial" w:eastAsia="仿宋_GB2312" w:hAnsi="Arial" w:hint="eastAsia"/>
          <w:bCs/>
          <w:sz w:val="28"/>
        </w:rPr>
        <w:t>北京市顺义</w:t>
      </w:r>
      <w:r>
        <w:rPr>
          <w:rFonts w:ascii="Arial" w:eastAsia="仿宋_GB2312" w:hAnsi="Arial"/>
          <w:bCs/>
          <w:sz w:val="28"/>
        </w:rPr>
        <w:t>区高丽营镇</w:t>
      </w:r>
      <w:r>
        <w:rPr>
          <w:rFonts w:ascii="仿宋_GB2312" w:eastAsia="仿宋_GB2312" w:hAnsi="Arial" w:hint="eastAsia"/>
          <w:bCs/>
          <w:sz w:val="28"/>
        </w:rPr>
        <w:t>，根</w:t>
      </w:r>
      <w:r>
        <w:rPr>
          <w:rFonts w:ascii="仿宋_GB2312" w:eastAsia="仿宋_GB2312" w:hAnsi="Arial" w:cs="Arial" w:hint="eastAsia"/>
          <w:sz w:val="28"/>
        </w:rPr>
        <w:t>据</w:t>
      </w:r>
      <w:r>
        <w:rPr>
          <w:rFonts w:ascii="Arial" w:eastAsia="仿宋" w:hAnsi="Arial" w:cs="Arial"/>
          <w:sz w:val="28"/>
          <w:szCs w:val="28"/>
        </w:rPr>
        <w:t>《北京市顺义区人民政府关于印发</w:t>
      </w:r>
      <w:r>
        <w:rPr>
          <w:rFonts w:ascii="Arial" w:eastAsia="仿宋" w:hAnsi="Arial" w:cs="Arial"/>
          <w:sz w:val="28"/>
          <w:szCs w:val="28"/>
        </w:rPr>
        <w:t>&lt;</w:t>
      </w:r>
      <w:r>
        <w:rPr>
          <w:rFonts w:ascii="Arial" w:eastAsia="仿宋" w:hAnsi="Arial" w:cs="Arial"/>
          <w:sz w:val="28"/>
          <w:szCs w:val="28"/>
        </w:rPr>
        <w:t>顺义区征收城市基础设施建设费暂行办法</w:t>
      </w:r>
      <w:r>
        <w:rPr>
          <w:rFonts w:ascii="Arial" w:eastAsia="仿宋" w:hAnsi="Arial" w:cs="Arial"/>
          <w:sz w:val="28"/>
          <w:szCs w:val="28"/>
        </w:rPr>
        <w:t>&gt;</w:t>
      </w:r>
      <w:r>
        <w:rPr>
          <w:rFonts w:ascii="Arial" w:eastAsia="仿宋" w:hAnsi="Arial" w:cs="Arial"/>
          <w:sz w:val="28"/>
          <w:szCs w:val="28"/>
        </w:rPr>
        <w:t>的通知》</w:t>
      </w:r>
      <w:r>
        <w:rPr>
          <w:rFonts w:ascii="Arial" w:eastAsia="仿宋" w:hAnsi="Arial" w:cs="Arial" w:hint="eastAsia"/>
          <w:sz w:val="28"/>
          <w:szCs w:val="28"/>
        </w:rPr>
        <w:t>[</w:t>
      </w:r>
      <w:r>
        <w:rPr>
          <w:rFonts w:ascii="Arial" w:eastAsia="仿宋" w:hAnsi="Arial" w:cs="Arial" w:hint="eastAsia"/>
          <w:sz w:val="28"/>
          <w:szCs w:val="28"/>
        </w:rPr>
        <w:t>自</w:t>
      </w:r>
      <w:r>
        <w:rPr>
          <w:rFonts w:ascii="Arial" w:eastAsia="仿宋" w:hAnsi="Arial" w:cs="Arial" w:hint="eastAsia"/>
          <w:sz w:val="28"/>
          <w:szCs w:val="28"/>
        </w:rPr>
        <w:t>2022</w:t>
      </w:r>
      <w:r>
        <w:rPr>
          <w:rFonts w:ascii="Arial" w:eastAsia="仿宋" w:hAnsi="Arial" w:cs="Arial" w:hint="eastAsia"/>
          <w:sz w:val="28"/>
          <w:szCs w:val="28"/>
        </w:rPr>
        <w:t>年</w:t>
      </w:r>
      <w:r>
        <w:rPr>
          <w:rFonts w:ascii="Arial" w:eastAsia="仿宋" w:hAnsi="Arial" w:cs="Arial" w:hint="eastAsia"/>
          <w:sz w:val="28"/>
          <w:szCs w:val="28"/>
        </w:rPr>
        <w:t>6</w:t>
      </w:r>
      <w:r>
        <w:rPr>
          <w:rFonts w:ascii="Arial" w:eastAsia="仿宋" w:hAnsi="Arial" w:cs="Arial" w:hint="eastAsia"/>
          <w:sz w:val="28"/>
          <w:szCs w:val="28"/>
        </w:rPr>
        <w:t>月</w:t>
      </w:r>
      <w:r>
        <w:rPr>
          <w:rFonts w:ascii="Arial" w:eastAsia="仿宋" w:hAnsi="Arial" w:cs="Arial" w:hint="eastAsia"/>
          <w:sz w:val="28"/>
          <w:szCs w:val="28"/>
        </w:rPr>
        <w:t>6</w:t>
      </w:r>
      <w:r>
        <w:rPr>
          <w:rFonts w:ascii="Arial" w:eastAsia="仿宋" w:hAnsi="Arial" w:cs="Arial" w:hint="eastAsia"/>
          <w:sz w:val="28"/>
          <w:szCs w:val="28"/>
        </w:rPr>
        <w:t>日起实施</w:t>
      </w:r>
      <w:r>
        <w:rPr>
          <w:rFonts w:ascii="Arial" w:eastAsia="仿宋" w:hAnsi="Arial" w:cs="Arial"/>
          <w:sz w:val="28"/>
          <w:szCs w:val="28"/>
        </w:rPr>
        <w:t>]</w:t>
      </w:r>
      <w:r>
        <w:rPr>
          <w:rFonts w:ascii="仿宋_GB2312" w:eastAsia="仿宋_GB2312" w:hAnsi="Arial" w:cs="Arial" w:hint="eastAsia"/>
          <w:sz w:val="28"/>
        </w:rPr>
        <w:t>，</w:t>
      </w:r>
      <w:r>
        <w:rPr>
          <w:rFonts w:ascii="Arial" w:eastAsia="仿宋" w:hAnsi="Arial" w:cs="Arial" w:hint="eastAsia"/>
          <w:sz w:val="28"/>
        </w:rPr>
        <w:t>住宅按建筑规模每平方米</w:t>
      </w:r>
      <w:r>
        <w:rPr>
          <w:rFonts w:ascii="Arial" w:eastAsia="仿宋" w:hAnsi="Arial" w:cs="Arial" w:hint="eastAsia"/>
          <w:sz w:val="28"/>
        </w:rPr>
        <w:t>1</w:t>
      </w:r>
      <w:r>
        <w:rPr>
          <w:rFonts w:ascii="Arial" w:eastAsia="仿宋" w:hAnsi="Arial" w:cs="Arial"/>
          <w:sz w:val="28"/>
        </w:rPr>
        <w:t>5</w:t>
      </w:r>
      <w:r>
        <w:rPr>
          <w:rFonts w:ascii="Arial" w:eastAsia="仿宋" w:hAnsi="Arial" w:cs="Arial" w:hint="eastAsia"/>
          <w:sz w:val="28"/>
        </w:rPr>
        <w:t>0</w:t>
      </w:r>
      <w:r>
        <w:rPr>
          <w:rFonts w:ascii="Arial" w:eastAsia="仿宋" w:hAnsi="Arial" w:cs="Arial" w:hint="eastAsia"/>
          <w:sz w:val="28"/>
        </w:rPr>
        <w:t>元、非住宅按建筑规模每平方米</w:t>
      </w:r>
      <w:r>
        <w:rPr>
          <w:rFonts w:ascii="Arial" w:eastAsia="仿宋" w:hAnsi="Arial" w:cs="Arial"/>
          <w:sz w:val="28"/>
        </w:rPr>
        <w:t>19</w:t>
      </w:r>
      <w:r>
        <w:rPr>
          <w:rFonts w:ascii="Arial" w:eastAsia="仿宋" w:hAnsi="Arial" w:cs="Arial" w:hint="eastAsia"/>
          <w:sz w:val="28"/>
        </w:rPr>
        <w:t>0</w:t>
      </w:r>
      <w:r>
        <w:rPr>
          <w:rFonts w:ascii="Arial" w:eastAsia="仿宋" w:hAnsi="Arial" w:cs="Arial" w:hint="eastAsia"/>
          <w:sz w:val="28"/>
        </w:rPr>
        <w:t>元征收，教育设施按建筑规模每平方米</w:t>
      </w:r>
      <w:r>
        <w:rPr>
          <w:rFonts w:ascii="Arial" w:eastAsia="仿宋" w:hAnsi="Arial" w:cs="Arial" w:hint="eastAsia"/>
          <w:sz w:val="28"/>
        </w:rPr>
        <w:t>1</w:t>
      </w:r>
      <w:r>
        <w:rPr>
          <w:rFonts w:ascii="Arial" w:eastAsia="仿宋" w:hAnsi="Arial" w:cs="Arial"/>
          <w:sz w:val="28"/>
        </w:rPr>
        <w:t>00</w:t>
      </w:r>
      <w:r>
        <w:rPr>
          <w:rFonts w:ascii="Arial" w:eastAsia="仿宋" w:hAnsi="Arial" w:cs="Arial" w:hint="eastAsia"/>
          <w:sz w:val="28"/>
        </w:rPr>
        <w:t>元则有：</w:t>
      </w:r>
      <w:r>
        <w:rPr>
          <w:rFonts w:ascii="仿宋_GB2312" w:eastAsia="仿宋_GB2312" w:hAnsi="Arial" w:cs="Arial" w:hint="eastAsia"/>
          <w:sz w:val="28"/>
        </w:rPr>
        <w:t>则有：</w:t>
      </w:r>
    </w:p>
    <w:p w14:paraId="057D1607" w14:textId="77777777" w:rsidR="0062768B" w:rsidRDefault="00136729">
      <w:pPr>
        <w:spacing w:line="300" w:lineRule="auto"/>
        <w:ind w:firstLineChars="200" w:firstLine="560"/>
        <w:jc w:val="both"/>
        <w:rPr>
          <w:rFonts w:ascii="Arial" w:eastAsia="仿宋" w:hAnsi="Arial" w:cs="Arial"/>
          <w:sz w:val="28"/>
        </w:rPr>
      </w:pPr>
      <w:r>
        <w:rPr>
          <w:rFonts w:ascii="Arial" w:eastAsia="仿宋" w:hAnsi="Arial" w:cs="Arial" w:hint="eastAsia"/>
          <w:sz w:val="28"/>
        </w:rPr>
        <w:t>城市基础设施建设费</w:t>
      </w:r>
    </w:p>
    <w:p w14:paraId="2AC2B8DA" w14:textId="77777777" w:rsidR="0062768B" w:rsidRDefault="00136729">
      <w:pPr>
        <w:spacing w:line="300" w:lineRule="auto"/>
        <w:ind w:firstLineChars="200" w:firstLine="560"/>
        <w:jc w:val="both"/>
        <w:rPr>
          <w:rFonts w:ascii="Arial" w:eastAsia="仿宋" w:hAnsi="Arial" w:cs="Arial"/>
          <w:sz w:val="28"/>
        </w:rPr>
      </w:pPr>
      <w:r>
        <w:rPr>
          <w:rFonts w:ascii="Arial" w:eastAsia="仿宋" w:hAnsi="Arial" w:cs="Arial" w:hint="eastAsia"/>
          <w:sz w:val="28"/>
        </w:rPr>
        <w:t>＝住宅建筑面积×取费标准</w:t>
      </w:r>
      <w:r>
        <w:rPr>
          <w:rFonts w:ascii="Arial" w:eastAsia="仿宋" w:hAnsi="Arial" w:cs="Arial" w:hint="eastAsia"/>
          <w:sz w:val="28"/>
        </w:rPr>
        <w:t>+</w:t>
      </w:r>
      <w:r>
        <w:rPr>
          <w:rFonts w:ascii="Arial" w:eastAsia="仿宋" w:hAnsi="Arial" w:cs="Arial" w:hint="eastAsia"/>
          <w:sz w:val="28"/>
        </w:rPr>
        <w:t>教育设施建筑</w:t>
      </w:r>
      <w:r>
        <w:rPr>
          <w:rFonts w:ascii="Arial" w:eastAsia="仿宋" w:hAnsi="Arial" w:cs="Arial"/>
          <w:sz w:val="28"/>
        </w:rPr>
        <w:t>面积</w:t>
      </w:r>
      <w:r>
        <w:rPr>
          <w:rFonts w:ascii="Arial" w:eastAsia="仿宋" w:hAnsi="Arial" w:cs="Arial" w:hint="eastAsia"/>
          <w:sz w:val="28"/>
        </w:rPr>
        <w:t>×取费标准</w:t>
      </w:r>
    </w:p>
    <w:p w14:paraId="0B3A406A" w14:textId="77777777" w:rsidR="0062768B" w:rsidRDefault="00136729">
      <w:pPr>
        <w:spacing w:line="300" w:lineRule="auto"/>
        <w:ind w:firstLineChars="200" w:firstLine="560"/>
        <w:jc w:val="both"/>
        <w:rPr>
          <w:rFonts w:ascii="Arial" w:eastAsia="仿宋" w:hAnsi="Arial" w:cs="Arial"/>
          <w:sz w:val="28"/>
        </w:rPr>
      </w:pPr>
      <w:r>
        <w:rPr>
          <w:rFonts w:ascii="Arial" w:eastAsia="仿宋" w:hAnsi="Arial" w:cs="Arial" w:hint="eastAsia"/>
          <w:sz w:val="28"/>
        </w:rPr>
        <w:t>＝（</w:t>
      </w:r>
      <w:r>
        <w:rPr>
          <w:rFonts w:ascii="Arial" w:eastAsia="仿宋_GB2312" w:hAnsi="Arial" w:cs="Arial"/>
          <w:sz w:val="28"/>
        </w:rPr>
        <w:t>68148.54</w:t>
      </w:r>
      <w:r>
        <w:rPr>
          <w:rFonts w:ascii="Arial" w:eastAsia="仿宋" w:hAnsi="Arial" w:cs="Arial" w:hint="eastAsia"/>
          <w:sz w:val="28"/>
        </w:rPr>
        <w:t>×</w:t>
      </w:r>
      <w:r>
        <w:rPr>
          <w:rFonts w:ascii="Arial" w:eastAsia="仿宋" w:hAnsi="Arial" w:cs="Arial"/>
          <w:sz w:val="28"/>
        </w:rPr>
        <w:t>150+3359.98</w:t>
      </w:r>
      <w:r>
        <w:rPr>
          <w:rFonts w:ascii="Arial" w:eastAsia="仿宋" w:hAnsi="Arial" w:cs="Arial" w:hint="eastAsia"/>
          <w:sz w:val="28"/>
        </w:rPr>
        <w:t>×</w:t>
      </w:r>
      <w:r>
        <w:rPr>
          <w:rFonts w:ascii="Arial" w:eastAsia="仿宋" w:hAnsi="Arial" w:cs="Arial"/>
          <w:sz w:val="28"/>
        </w:rPr>
        <w:t>100</w:t>
      </w:r>
      <w:r>
        <w:rPr>
          <w:rFonts w:ascii="Arial" w:eastAsia="仿宋" w:hAnsi="Arial" w:cs="Arial" w:hint="eastAsia"/>
          <w:sz w:val="28"/>
        </w:rPr>
        <w:t>）</w:t>
      </w:r>
      <w:r>
        <w:rPr>
          <w:rFonts w:ascii="Arial" w:eastAsia="仿宋" w:hAnsi="Arial" w:cs="Arial"/>
          <w:sz w:val="28"/>
          <w:szCs w:val="28"/>
        </w:rPr>
        <w:t>÷10000</w:t>
      </w:r>
    </w:p>
    <w:p w14:paraId="54C5E558" w14:textId="77777777" w:rsidR="0062768B" w:rsidRDefault="00136729">
      <w:pPr>
        <w:spacing w:line="300" w:lineRule="auto"/>
        <w:ind w:firstLineChars="200" w:firstLine="560"/>
        <w:jc w:val="both"/>
        <w:rPr>
          <w:rFonts w:ascii="仿宋_GB2312" w:eastAsia="仿宋_GB2312"/>
          <w:sz w:val="28"/>
        </w:rPr>
      </w:pPr>
      <w:r>
        <w:rPr>
          <w:rFonts w:ascii="Arial" w:eastAsia="仿宋" w:hAnsi="Arial" w:cs="Arial" w:hint="eastAsia"/>
          <w:sz w:val="28"/>
        </w:rPr>
        <w:t>＝</w:t>
      </w:r>
      <w:r>
        <w:rPr>
          <w:rFonts w:ascii="Arial" w:eastAsia="仿宋" w:hAnsi="Arial" w:cs="Arial"/>
          <w:sz w:val="28"/>
        </w:rPr>
        <w:t>1055.8279</w:t>
      </w:r>
      <w:r>
        <w:rPr>
          <w:rFonts w:ascii="Arial" w:eastAsia="仿宋" w:hAnsi="Arial" w:cs="Arial" w:hint="eastAsia"/>
          <w:sz w:val="28"/>
        </w:rPr>
        <w:t>（万元）</w:t>
      </w:r>
    </w:p>
    <w:p w14:paraId="46FC3BB5" w14:textId="77777777" w:rsidR="0062768B" w:rsidRDefault="00136729">
      <w:pPr>
        <w:spacing w:line="300" w:lineRule="auto"/>
        <w:ind w:firstLineChars="200" w:firstLine="560"/>
        <w:jc w:val="both"/>
        <w:rPr>
          <w:rFonts w:ascii="仿宋_GB2312" w:eastAsia="仿宋_GB2312"/>
          <w:sz w:val="28"/>
        </w:rPr>
      </w:pPr>
      <w:r>
        <w:rPr>
          <w:rFonts w:ascii="Arial" w:eastAsia="仿宋_GB2312" w:hAnsi="Arial" w:cs="Arial" w:hint="eastAsia"/>
          <w:sz w:val="28"/>
        </w:rPr>
        <w:t>d.</w:t>
      </w:r>
      <w:r>
        <w:rPr>
          <w:rFonts w:ascii="仿宋_GB2312" w:eastAsia="仿宋_GB2312" w:hint="eastAsia"/>
          <w:sz w:val="28"/>
        </w:rPr>
        <w:t>管理费用</w:t>
      </w:r>
    </w:p>
    <w:p w14:paraId="558B6751"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Ansi="Arial" w:hint="eastAsia"/>
          <w:sz w:val="28"/>
        </w:rPr>
        <w:t>管理费用是房地产开发商为组织和管理房地产开发经营活动的必要支出，主要包括人员工资、办公费、差旅费等，根据估价对象所处区域房地产开发市场的一般情况，并结合估价对象的实际情况，</w:t>
      </w:r>
      <w:r>
        <w:rPr>
          <w:rFonts w:ascii="仿宋_GB2312" w:eastAsia="仿宋_GB2312" w:hint="eastAsia"/>
          <w:sz w:val="28"/>
        </w:rPr>
        <w:t>按照前述</w:t>
      </w:r>
      <w:r>
        <w:rPr>
          <w:rFonts w:ascii="Arial" w:eastAsia="仿宋_GB2312" w:hAnsi="Arial" w:cs="Arial"/>
          <w:sz w:val="28"/>
        </w:rPr>
        <w:t>3</w:t>
      </w:r>
      <w:r>
        <w:rPr>
          <w:rFonts w:ascii="仿宋_GB2312" w:eastAsia="仿宋_GB2312" w:hint="eastAsia"/>
          <w:sz w:val="28"/>
        </w:rPr>
        <w:t>项的</w:t>
      </w:r>
      <w:r>
        <w:rPr>
          <w:rFonts w:ascii="Arial" w:eastAsia="仿宋_GB2312" w:hAnsi="Arial" w:hint="eastAsia"/>
          <w:sz w:val="28"/>
        </w:rPr>
        <w:t>5</w:t>
      </w:r>
      <w:r>
        <w:rPr>
          <w:rFonts w:ascii="仿宋_GB2312" w:eastAsia="仿宋_GB2312" w:hint="eastAsia"/>
          <w:sz w:val="28"/>
        </w:rPr>
        <w:t>%计算，则有：</w:t>
      </w:r>
    </w:p>
    <w:p w14:paraId="60078316"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管理费用</w:t>
      </w:r>
    </w:p>
    <w:p w14:paraId="1B3CDC14"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w:t>
      </w:r>
      <w:proofErr w:type="spellStart"/>
      <w:r>
        <w:rPr>
          <w:rFonts w:ascii="Arial" w:eastAsia="仿宋_GB2312" w:hAnsi="Arial" w:cs="Arial" w:hint="eastAsia"/>
          <w:sz w:val="28"/>
        </w:rPr>
        <w:t>a</w:t>
      </w:r>
      <w:r>
        <w:rPr>
          <w:rFonts w:ascii="Arial" w:eastAsia="仿宋_GB2312" w:hAnsi="Arial" w:cs="Arial"/>
          <w:sz w:val="28"/>
        </w:rPr>
        <w:t>+</w:t>
      </w:r>
      <w:r>
        <w:rPr>
          <w:rFonts w:ascii="Arial" w:eastAsia="仿宋_GB2312" w:hAnsi="Arial" w:cs="Arial" w:hint="eastAsia"/>
          <w:sz w:val="28"/>
        </w:rPr>
        <w:t>b</w:t>
      </w:r>
      <w:r>
        <w:rPr>
          <w:rFonts w:ascii="Arial" w:eastAsia="仿宋_GB2312" w:hAnsi="Arial" w:cs="Arial"/>
          <w:sz w:val="28"/>
        </w:rPr>
        <w:t>+</w:t>
      </w:r>
      <w:r>
        <w:rPr>
          <w:rFonts w:ascii="Arial" w:eastAsia="仿宋_GB2312" w:hAnsi="Arial" w:cs="Arial" w:hint="eastAsia"/>
          <w:sz w:val="28"/>
        </w:rPr>
        <w:t>c</w:t>
      </w:r>
      <w:proofErr w:type="spellEnd"/>
      <w:r>
        <w:rPr>
          <w:rFonts w:ascii="仿宋_GB2312" w:eastAsia="仿宋_GB2312" w:hint="eastAsia"/>
          <w:sz w:val="28"/>
        </w:rPr>
        <w:t>）×取费标准</w:t>
      </w:r>
    </w:p>
    <w:p w14:paraId="08D3B320" w14:textId="77777777" w:rsidR="0062768B" w:rsidRDefault="00136729">
      <w:pPr>
        <w:spacing w:line="300" w:lineRule="auto"/>
        <w:ind w:firstLineChars="200" w:firstLine="560"/>
        <w:jc w:val="both"/>
        <w:rPr>
          <w:rFonts w:ascii="Arial" w:eastAsia="仿宋_GB2312" w:hAnsi="Arial"/>
          <w:sz w:val="28"/>
        </w:rPr>
      </w:pPr>
      <w:r>
        <w:rPr>
          <w:rFonts w:ascii="仿宋_GB2312" w:eastAsia="仿宋_GB2312" w:hint="eastAsia"/>
          <w:sz w:val="28"/>
        </w:rPr>
        <w:t>＝（</w:t>
      </w:r>
      <w:r>
        <w:rPr>
          <w:rFonts w:ascii="Arial" w:eastAsia="仿宋_GB2312" w:hAnsi="Arial"/>
          <w:sz w:val="28"/>
        </w:rPr>
        <w:t>36851.3230+272.5942+</w:t>
      </w:r>
      <w:r>
        <w:rPr>
          <w:rFonts w:ascii="Arial" w:eastAsia="仿宋" w:hAnsi="Arial" w:cs="Arial"/>
          <w:sz w:val="28"/>
        </w:rPr>
        <w:t>1055.8279</w:t>
      </w:r>
      <w:r>
        <w:rPr>
          <w:rFonts w:ascii="仿宋_GB2312" w:eastAsia="仿宋_GB2312" w:hint="eastAsia"/>
          <w:sz w:val="28"/>
        </w:rPr>
        <w:t>）×</w:t>
      </w:r>
      <w:r>
        <w:rPr>
          <w:rFonts w:ascii="Arial" w:eastAsia="仿宋_GB2312" w:hAnsi="Arial" w:hint="eastAsia"/>
          <w:sz w:val="28"/>
        </w:rPr>
        <w:t>5</w:t>
      </w:r>
      <w:r>
        <w:rPr>
          <w:rFonts w:ascii="Arial" w:eastAsia="仿宋_GB2312" w:hAnsi="Arial"/>
          <w:sz w:val="28"/>
        </w:rPr>
        <w:t>%</w:t>
      </w:r>
    </w:p>
    <w:p w14:paraId="3C8B8D85"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w:t>
      </w:r>
      <w:r>
        <w:rPr>
          <w:rFonts w:ascii="Arial" w:eastAsia="仿宋_GB2312" w:hAnsi="Arial"/>
          <w:sz w:val="28"/>
        </w:rPr>
        <w:t>1908.9873</w:t>
      </w:r>
      <w:r>
        <w:rPr>
          <w:rFonts w:ascii="Arial" w:eastAsia="仿宋_GB2312" w:hAnsi="Arial" w:hint="eastAsia"/>
          <w:sz w:val="28"/>
        </w:rPr>
        <w:t>（</w:t>
      </w:r>
      <w:r>
        <w:rPr>
          <w:rFonts w:ascii="仿宋_GB2312" w:eastAsia="仿宋_GB2312" w:hint="eastAsia"/>
          <w:sz w:val="28"/>
        </w:rPr>
        <w:t>万元）</w:t>
      </w:r>
    </w:p>
    <w:p w14:paraId="50C0F850" w14:textId="77777777" w:rsidR="0062768B" w:rsidRDefault="00136729">
      <w:pPr>
        <w:spacing w:line="300" w:lineRule="auto"/>
        <w:ind w:firstLineChars="201" w:firstLine="563"/>
        <w:jc w:val="both"/>
        <w:rPr>
          <w:rFonts w:ascii="Arial" w:eastAsia="仿宋_GB2312" w:hAnsi="Arial"/>
          <w:sz w:val="28"/>
        </w:rPr>
      </w:pPr>
      <w:r>
        <w:rPr>
          <w:rFonts w:ascii="Arial" w:eastAsia="仿宋_GB2312" w:hAnsi="Arial" w:hint="eastAsia"/>
          <w:sz w:val="28"/>
        </w:rPr>
        <w:t>e.</w:t>
      </w:r>
      <w:r>
        <w:rPr>
          <w:rFonts w:ascii="仿宋_GB2312" w:eastAsia="仿宋_GB2312" w:hAnsi="Arial" w:hint="eastAsia"/>
          <w:sz w:val="28"/>
        </w:rPr>
        <w:t>销售费用</w:t>
      </w:r>
    </w:p>
    <w:p w14:paraId="1602FC77" w14:textId="77777777" w:rsidR="0062768B" w:rsidRDefault="00136729">
      <w:pPr>
        <w:spacing w:line="300" w:lineRule="auto"/>
        <w:ind w:firstLineChars="201" w:firstLine="563"/>
        <w:jc w:val="both"/>
        <w:rPr>
          <w:rFonts w:ascii="仿宋_GB2312" w:eastAsia="仿宋_GB2312" w:hAnsi="Arial"/>
          <w:sz w:val="28"/>
        </w:rPr>
      </w:pPr>
      <w:r>
        <w:rPr>
          <w:rFonts w:ascii="仿宋_GB2312" w:eastAsia="仿宋_GB2312" w:hAnsi="Arial" w:hint="eastAsia"/>
          <w:sz w:val="28"/>
        </w:rPr>
        <w:t>销售费用指预售或销售开发完成后的房地产的必要支出，包括广告费、销售资料制作费、样板房或样板间建设费、售楼处建设费、销售人员费或者销售代理费等。销售费用通常按照</w:t>
      </w:r>
      <w:r>
        <w:rPr>
          <w:rFonts w:ascii="仿宋_GB2312" w:eastAsia="仿宋_GB2312" w:hint="eastAsia"/>
          <w:sz w:val="28"/>
        </w:rPr>
        <w:t>开发完成后的不动产总价</w:t>
      </w:r>
      <w:r>
        <w:rPr>
          <w:rFonts w:ascii="仿宋_GB2312" w:eastAsia="仿宋_GB2312" w:hAnsi="Arial" w:hint="eastAsia"/>
          <w:sz w:val="28"/>
        </w:rPr>
        <w:t>的一定比例来测算。</w:t>
      </w:r>
      <w:r>
        <w:rPr>
          <w:rFonts w:ascii="仿宋_GB2312" w:eastAsia="仿宋_GB2312" w:hint="eastAsia"/>
          <w:sz w:val="28"/>
        </w:rPr>
        <w:t>结合项目特点及市场客观水平</w:t>
      </w:r>
      <w:r>
        <w:rPr>
          <w:rFonts w:ascii="仿宋_GB2312" w:eastAsia="仿宋_GB2312" w:hAnsi="Arial" w:hint="eastAsia"/>
          <w:sz w:val="28"/>
        </w:rPr>
        <w:t>，确定销售费用按开发完成后的</w:t>
      </w:r>
      <w:r>
        <w:rPr>
          <w:rFonts w:ascii="仿宋_GB2312" w:eastAsia="仿宋_GB2312" w:hint="eastAsia"/>
          <w:sz w:val="28"/>
        </w:rPr>
        <w:t>不动产总价</w:t>
      </w:r>
      <w:r>
        <w:rPr>
          <w:rFonts w:ascii="仿宋_GB2312" w:eastAsia="仿宋_GB2312" w:hAnsi="Arial" w:hint="eastAsia"/>
          <w:sz w:val="28"/>
        </w:rPr>
        <w:t>的</w:t>
      </w:r>
      <w:r>
        <w:rPr>
          <w:rFonts w:ascii="Arial" w:eastAsia="仿宋_GB2312" w:hAnsi="Arial"/>
          <w:sz w:val="28"/>
        </w:rPr>
        <w:t>4</w:t>
      </w:r>
      <w:r>
        <w:rPr>
          <w:rFonts w:ascii="仿宋_GB2312" w:eastAsia="仿宋_GB2312" w:hAnsi="Arial" w:hint="eastAsia"/>
          <w:sz w:val="28"/>
        </w:rPr>
        <w:t>%计算。</w:t>
      </w:r>
    </w:p>
    <w:p w14:paraId="0B9C2E2F" w14:textId="77777777" w:rsidR="0062768B" w:rsidRDefault="00136729">
      <w:pPr>
        <w:spacing w:line="300" w:lineRule="auto"/>
        <w:ind w:firstLineChars="201" w:firstLine="563"/>
        <w:jc w:val="both"/>
        <w:rPr>
          <w:rFonts w:ascii="仿宋_GB2312" w:eastAsia="仿宋_GB2312"/>
          <w:sz w:val="28"/>
        </w:rPr>
      </w:pPr>
      <w:r>
        <w:rPr>
          <w:rFonts w:ascii="Arial" w:eastAsia="仿宋_GB2312" w:hAnsi="Arial" w:cs="Arial" w:hint="eastAsia"/>
          <w:sz w:val="28"/>
        </w:rPr>
        <w:t>销售费用</w:t>
      </w:r>
      <w:r>
        <w:rPr>
          <w:rFonts w:ascii="仿宋_GB2312" w:eastAsia="仿宋_GB2312" w:hint="eastAsia"/>
          <w:sz w:val="28"/>
        </w:rPr>
        <w:t>＝</w:t>
      </w:r>
      <w:r>
        <w:rPr>
          <w:rFonts w:ascii="Arial" w:eastAsia="仿宋_GB2312" w:hAnsi="Arial" w:cs="Arial"/>
          <w:sz w:val="28"/>
        </w:rPr>
        <w:t>267557.9829×4%=10702.3193</w:t>
      </w:r>
      <w:r>
        <w:rPr>
          <w:rFonts w:ascii="Arial" w:eastAsia="仿宋_GB2312" w:hAnsi="Arial" w:cs="Arial" w:hint="eastAsia"/>
          <w:sz w:val="28"/>
        </w:rPr>
        <w:t>（</w:t>
      </w:r>
      <w:r>
        <w:rPr>
          <w:rFonts w:ascii="仿宋_GB2312" w:eastAsia="仿宋_GB2312" w:hint="eastAsia"/>
          <w:sz w:val="28"/>
        </w:rPr>
        <w:t>万元）</w:t>
      </w:r>
    </w:p>
    <w:p w14:paraId="01A48976" w14:textId="77777777" w:rsidR="0062768B" w:rsidRDefault="00136729">
      <w:pPr>
        <w:spacing w:line="300" w:lineRule="auto"/>
        <w:ind w:firstLineChars="200" w:firstLine="560"/>
        <w:jc w:val="both"/>
        <w:rPr>
          <w:rFonts w:ascii="仿宋_GB2312" w:eastAsia="仿宋_GB2312"/>
          <w:sz w:val="28"/>
        </w:rPr>
      </w:pPr>
      <w:r>
        <w:rPr>
          <w:rFonts w:ascii="Arial" w:eastAsia="仿宋_GB2312" w:hAnsi="Arial" w:hint="eastAsia"/>
          <w:sz w:val="28"/>
        </w:rPr>
        <w:lastRenderedPageBreak/>
        <w:t>f.</w:t>
      </w:r>
      <w:r>
        <w:rPr>
          <w:rFonts w:ascii="仿宋_GB2312" w:eastAsia="仿宋_GB2312" w:hint="eastAsia"/>
          <w:sz w:val="28"/>
        </w:rPr>
        <w:t>购地税费</w:t>
      </w:r>
    </w:p>
    <w:p w14:paraId="203A12D1"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假设土地价格为</w:t>
      </w:r>
      <w:r>
        <w:rPr>
          <w:rFonts w:ascii="Arial" w:eastAsia="仿宋_GB2312" w:hAnsi="Arial"/>
          <w:sz w:val="28"/>
        </w:rPr>
        <w:t>P</w:t>
      </w:r>
      <w:r>
        <w:rPr>
          <w:rFonts w:ascii="仿宋_GB2312" w:eastAsia="仿宋_GB2312" w:hint="eastAsia"/>
          <w:sz w:val="28"/>
          <w:vertAlign w:val="subscript"/>
        </w:rPr>
        <w:t>土</w:t>
      </w:r>
      <w:r>
        <w:rPr>
          <w:rFonts w:ascii="仿宋_GB2312" w:eastAsia="仿宋_GB2312" w:hint="eastAsia"/>
          <w:sz w:val="28"/>
        </w:rPr>
        <w:t>，买方购买估价对象税费主要为契税及印花税，税率为</w:t>
      </w:r>
      <w:r>
        <w:rPr>
          <w:rFonts w:ascii="Arial" w:eastAsia="仿宋_GB2312" w:hAnsi="Arial"/>
          <w:sz w:val="28"/>
        </w:rPr>
        <w:t>3</w:t>
      </w:r>
      <w:r>
        <w:rPr>
          <w:rFonts w:ascii="仿宋_GB2312" w:eastAsia="仿宋_GB2312" w:hint="eastAsia"/>
          <w:sz w:val="28"/>
        </w:rPr>
        <w:t>.</w:t>
      </w:r>
      <w:r>
        <w:rPr>
          <w:rFonts w:ascii="Arial" w:eastAsia="仿宋_GB2312" w:hAnsi="Arial"/>
          <w:sz w:val="28"/>
        </w:rPr>
        <w:t>05</w:t>
      </w:r>
      <w:r>
        <w:rPr>
          <w:rFonts w:ascii="仿宋_GB2312" w:eastAsia="仿宋_GB2312" w:hint="eastAsia"/>
          <w:sz w:val="28"/>
        </w:rPr>
        <w:t>%。则有：</w:t>
      </w:r>
    </w:p>
    <w:p w14:paraId="6EF09013"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购地税费＝土地</w:t>
      </w:r>
      <w:r>
        <w:rPr>
          <w:rFonts w:ascii="Arial" w:eastAsia="仿宋_GB2312" w:hAnsi="Arial" w:cs="Arial" w:hint="eastAsia"/>
          <w:sz w:val="28"/>
        </w:rPr>
        <w:t>价格</w:t>
      </w:r>
      <w:r>
        <w:rPr>
          <w:rFonts w:ascii="Arial" w:eastAsia="仿宋_GB2312" w:hAnsi="Arial" w:cs="Arial"/>
          <w:sz w:val="28"/>
        </w:rPr>
        <w:t>×</w:t>
      </w:r>
      <w:r>
        <w:rPr>
          <w:rFonts w:ascii="Arial" w:eastAsia="仿宋_GB2312" w:hAnsi="Arial" w:cs="Arial" w:hint="eastAsia"/>
          <w:sz w:val="28"/>
        </w:rPr>
        <w:t>税</w:t>
      </w:r>
      <w:r>
        <w:rPr>
          <w:rFonts w:ascii="仿宋_GB2312" w:eastAsia="仿宋_GB2312" w:hint="eastAsia"/>
          <w:sz w:val="28"/>
        </w:rPr>
        <w:t>率＝</w:t>
      </w:r>
      <w:r>
        <w:rPr>
          <w:rFonts w:ascii="Arial" w:eastAsia="仿宋_GB2312" w:hAnsi="Arial"/>
          <w:sz w:val="28"/>
        </w:rPr>
        <w:t>P</w:t>
      </w:r>
      <w:r>
        <w:rPr>
          <w:rFonts w:ascii="仿宋_GB2312" w:eastAsia="仿宋_GB2312" w:hint="eastAsia"/>
          <w:sz w:val="28"/>
          <w:vertAlign w:val="subscript"/>
        </w:rPr>
        <w:t>土</w:t>
      </w:r>
      <w:r>
        <w:rPr>
          <w:rFonts w:ascii="Arial" w:eastAsia="仿宋_GB2312" w:hAnsi="Arial" w:cs="Arial"/>
          <w:sz w:val="28"/>
        </w:rPr>
        <w:t>×</w:t>
      </w:r>
      <w:r>
        <w:rPr>
          <w:rFonts w:ascii="Arial" w:eastAsia="楷体_GB2312" w:hAnsi="Arial" w:cs="Arial"/>
          <w:sz w:val="28"/>
        </w:rPr>
        <w:t>0.0</w:t>
      </w:r>
      <w:r>
        <w:rPr>
          <w:rFonts w:ascii="Arial" w:eastAsia="楷体_GB2312" w:hAnsi="Arial" w:cs="Arial" w:hint="eastAsia"/>
          <w:sz w:val="28"/>
        </w:rPr>
        <w:t>305</w:t>
      </w:r>
      <w:r>
        <w:rPr>
          <w:rFonts w:ascii="仿宋_GB2312" w:eastAsia="仿宋_GB2312" w:hint="eastAsia"/>
          <w:sz w:val="28"/>
        </w:rPr>
        <w:t>（万元）</w:t>
      </w:r>
    </w:p>
    <w:p w14:paraId="1DD41E6E" w14:textId="77777777" w:rsidR="0062768B" w:rsidRDefault="00136729">
      <w:pPr>
        <w:spacing w:line="300" w:lineRule="auto"/>
        <w:ind w:firstLineChars="200" w:firstLine="560"/>
        <w:jc w:val="both"/>
        <w:rPr>
          <w:rFonts w:ascii="Arial" w:eastAsia="仿宋_GB2312" w:hAnsi="Arial"/>
          <w:sz w:val="28"/>
        </w:rPr>
      </w:pPr>
      <w:r>
        <w:rPr>
          <w:rFonts w:ascii="Arial" w:eastAsia="仿宋_GB2312" w:hAnsi="Arial" w:hint="eastAsia"/>
          <w:sz w:val="28"/>
        </w:rPr>
        <w:t>g.</w:t>
      </w:r>
      <w:r>
        <w:rPr>
          <w:rFonts w:ascii="Arial" w:eastAsia="仿宋_GB2312" w:hAnsi="Arial" w:hint="eastAsia"/>
          <w:sz w:val="28"/>
        </w:rPr>
        <w:t>贷款利息</w:t>
      </w:r>
    </w:p>
    <w:p w14:paraId="6DA02505"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估价对象建筑物建设期为</w:t>
      </w:r>
      <w:r>
        <w:rPr>
          <w:rFonts w:ascii="Arial" w:eastAsia="仿宋_GB2312" w:hAnsi="Arial"/>
          <w:sz w:val="28"/>
        </w:rPr>
        <w:t>2.5</w:t>
      </w:r>
      <w:r>
        <w:rPr>
          <w:rFonts w:ascii="仿宋_GB2312" w:eastAsia="仿宋_GB2312" w:hint="eastAsia"/>
          <w:sz w:val="28"/>
        </w:rPr>
        <w:t>年。估价对象土地价格（</w:t>
      </w:r>
      <w:r>
        <w:rPr>
          <w:rFonts w:ascii="Arial" w:eastAsia="仿宋_GB2312" w:hAnsi="Arial"/>
          <w:sz w:val="28"/>
        </w:rPr>
        <w:t>P</w:t>
      </w:r>
      <w:r>
        <w:rPr>
          <w:rFonts w:ascii="仿宋_GB2312" w:eastAsia="仿宋_GB2312" w:hint="eastAsia"/>
          <w:sz w:val="28"/>
          <w:vertAlign w:val="subscript"/>
        </w:rPr>
        <w:t>土</w:t>
      </w:r>
      <w:r>
        <w:rPr>
          <w:rFonts w:ascii="仿宋_GB2312" w:eastAsia="仿宋_GB2312" w:hint="eastAsia"/>
          <w:sz w:val="28"/>
        </w:rPr>
        <w:t>）及购地税费在估价期日一次性付清，建造成本、土地开发费、城市基础设施建设费、管理费用于建设期内均匀投入，取</w:t>
      </w:r>
      <w:r>
        <w:rPr>
          <w:rFonts w:ascii="Arial" w:eastAsia="仿宋_GB2312" w:hAnsi="Arial"/>
          <w:sz w:val="28"/>
        </w:rPr>
        <w:t>1</w:t>
      </w:r>
      <w:r>
        <w:rPr>
          <w:rFonts w:ascii="仿宋_GB2312" w:eastAsia="仿宋_GB2312" w:hint="eastAsia"/>
          <w:sz w:val="28"/>
        </w:rPr>
        <w:t>～</w:t>
      </w:r>
      <w:r>
        <w:rPr>
          <w:rFonts w:ascii="Arial" w:eastAsia="仿宋_GB2312" w:hAnsi="Arial"/>
          <w:sz w:val="28"/>
        </w:rPr>
        <w:t>3</w:t>
      </w:r>
      <w:r>
        <w:rPr>
          <w:rFonts w:ascii="仿宋_GB2312" w:eastAsia="仿宋_GB2312" w:hint="eastAsia"/>
          <w:sz w:val="28"/>
        </w:rPr>
        <w:t>年期固定资产贷款年利息率</w:t>
      </w:r>
      <w:r>
        <w:rPr>
          <w:rFonts w:ascii="Arial" w:eastAsia="仿宋_GB2312" w:hAnsi="Arial"/>
          <w:sz w:val="28"/>
        </w:rPr>
        <w:t>4.75</w:t>
      </w:r>
      <w:r>
        <w:rPr>
          <w:rFonts w:ascii="仿宋_GB2312" w:eastAsia="仿宋_GB2312" w:hint="eastAsia"/>
          <w:sz w:val="28"/>
        </w:rPr>
        <w:t>%，以复利计息。则有：</w:t>
      </w:r>
    </w:p>
    <w:p w14:paraId="33B92076"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贷款利息</w:t>
      </w:r>
    </w:p>
    <w:p w14:paraId="601F1B38"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 xml:space="preserve">＝（ </w:t>
      </w:r>
      <w:r>
        <w:rPr>
          <w:rFonts w:ascii="Arial" w:eastAsia="仿宋_GB2312" w:hAnsi="Arial"/>
          <w:sz w:val="28"/>
        </w:rPr>
        <w:t>P</w:t>
      </w:r>
      <w:r>
        <w:rPr>
          <w:rFonts w:ascii="仿宋_GB2312" w:eastAsia="仿宋_GB2312" w:hint="eastAsia"/>
          <w:sz w:val="28"/>
          <w:vertAlign w:val="subscript"/>
        </w:rPr>
        <w:t>土</w:t>
      </w:r>
      <w:r>
        <w:rPr>
          <w:rFonts w:ascii="仿宋_GB2312" w:eastAsia="仿宋_GB2312" w:hint="eastAsia"/>
          <w:sz w:val="28"/>
        </w:rPr>
        <w:t xml:space="preserve">+ </w:t>
      </w:r>
      <w:r>
        <w:rPr>
          <w:rFonts w:ascii="Arial" w:eastAsia="仿宋_GB2312" w:hAnsi="Arial"/>
          <w:sz w:val="28"/>
        </w:rPr>
        <w:t>P</w:t>
      </w:r>
      <w:r>
        <w:rPr>
          <w:rFonts w:ascii="仿宋_GB2312" w:eastAsia="仿宋_GB2312" w:hint="eastAsia"/>
          <w:sz w:val="28"/>
          <w:vertAlign w:val="subscript"/>
        </w:rPr>
        <w:t>土</w:t>
      </w:r>
      <w:commentRangeStart w:id="369"/>
      <w:r>
        <w:rPr>
          <w:rFonts w:ascii="Arial" w:eastAsia="仿宋_GB2312" w:hAnsi="Arial" w:cs="Arial"/>
          <w:sz w:val="28"/>
        </w:rPr>
        <w:t>×</w:t>
      </w:r>
      <w:r>
        <w:rPr>
          <w:rFonts w:ascii="Arial" w:eastAsia="楷体_GB2312" w:hAnsi="Arial" w:cs="Arial"/>
          <w:sz w:val="28"/>
        </w:rPr>
        <w:t>0.029</w:t>
      </w:r>
      <w:commentRangeEnd w:id="369"/>
      <w:r w:rsidR="00BA64ED">
        <w:rPr>
          <w:rStyle w:val="af6"/>
          <w:lang w:val="zh-CN"/>
        </w:rPr>
        <w:commentReference w:id="369"/>
      </w:r>
      <w:r>
        <w:rPr>
          <w:rFonts w:ascii="仿宋_GB2312" w:eastAsia="仿宋_GB2312" w:hint="eastAsia"/>
          <w:sz w:val="28"/>
        </w:rPr>
        <w:t>）×（（1+</w:t>
      </w:r>
      <w:r>
        <w:rPr>
          <w:rFonts w:ascii="Arial" w:eastAsia="仿宋_GB2312" w:hAnsi="Arial"/>
          <w:sz w:val="28"/>
        </w:rPr>
        <w:t xml:space="preserve"> 4.75</w:t>
      </w:r>
      <w:r>
        <w:rPr>
          <w:rFonts w:ascii="仿宋_GB2312" w:eastAsia="仿宋_GB2312" w:hint="eastAsia"/>
          <w:sz w:val="28"/>
        </w:rPr>
        <w:t>%）</w:t>
      </w:r>
      <w:r>
        <w:rPr>
          <w:rFonts w:ascii="Arial" w:eastAsia="仿宋_GB2312" w:hAnsi="Arial"/>
          <w:sz w:val="28"/>
          <w:vertAlign w:val="superscript"/>
        </w:rPr>
        <w:t>2.5</w:t>
      </w:r>
      <w:r>
        <w:rPr>
          <w:rFonts w:ascii="Arial" w:eastAsia="仿宋_GB2312" w:hAnsi="Arial"/>
          <w:sz w:val="28"/>
        </w:rPr>
        <w:t>-1</w:t>
      </w:r>
      <w:r>
        <w:rPr>
          <w:rFonts w:ascii="仿宋_GB2312" w:eastAsia="仿宋_GB2312" w:hint="eastAsia"/>
          <w:sz w:val="28"/>
        </w:rPr>
        <w:t>） + （</w:t>
      </w:r>
      <w:r>
        <w:rPr>
          <w:rFonts w:ascii="Arial" w:eastAsia="仿宋_GB2312" w:hAnsi="Arial"/>
          <w:sz w:val="28"/>
        </w:rPr>
        <w:t>36851.3230+272.5942+</w:t>
      </w:r>
      <w:r>
        <w:rPr>
          <w:rFonts w:ascii="Arial" w:eastAsia="仿宋" w:hAnsi="Arial" w:cs="Arial"/>
          <w:sz w:val="28"/>
        </w:rPr>
        <w:t>1055.8279+</w:t>
      </w:r>
      <w:r>
        <w:rPr>
          <w:rFonts w:ascii="Arial" w:eastAsia="仿宋_GB2312" w:hAnsi="Arial"/>
          <w:sz w:val="28"/>
        </w:rPr>
        <w:t>1908.9873</w:t>
      </w:r>
      <w:r>
        <w:rPr>
          <w:rFonts w:ascii="Arial" w:eastAsia="仿宋" w:hAnsi="Arial" w:cs="Arial"/>
          <w:sz w:val="28"/>
        </w:rPr>
        <w:t>+</w:t>
      </w:r>
      <w:r>
        <w:rPr>
          <w:rFonts w:ascii="Arial" w:eastAsia="仿宋_GB2312" w:hAnsi="Arial" w:cs="Arial"/>
          <w:sz w:val="28"/>
        </w:rPr>
        <w:t>10702.3193</w:t>
      </w:r>
      <w:r>
        <w:rPr>
          <w:rFonts w:ascii="仿宋_GB2312" w:eastAsia="仿宋_GB2312" w:hint="eastAsia"/>
          <w:sz w:val="28"/>
        </w:rPr>
        <w:t>）×（（1+</w:t>
      </w:r>
      <w:r>
        <w:rPr>
          <w:rFonts w:ascii="Arial" w:eastAsia="仿宋_GB2312" w:hAnsi="Arial"/>
          <w:sz w:val="28"/>
        </w:rPr>
        <w:t xml:space="preserve"> 4.75</w:t>
      </w:r>
      <w:r>
        <w:rPr>
          <w:rFonts w:ascii="仿宋_GB2312" w:eastAsia="仿宋_GB2312" w:hint="eastAsia"/>
          <w:sz w:val="28"/>
        </w:rPr>
        <w:t>%）</w:t>
      </w:r>
      <w:r>
        <w:rPr>
          <w:rFonts w:ascii="Arial" w:eastAsia="仿宋_GB2312" w:hAnsi="Arial" w:hint="eastAsia"/>
          <w:sz w:val="28"/>
          <w:vertAlign w:val="superscript"/>
        </w:rPr>
        <w:t>（</w:t>
      </w:r>
      <w:commentRangeStart w:id="370"/>
      <w:r>
        <w:rPr>
          <w:rFonts w:ascii="Arial" w:eastAsia="仿宋_GB2312" w:hAnsi="Arial"/>
          <w:sz w:val="28"/>
          <w:vertAlign w:val="superscript"/>
        </w:rPr>
        <w:t>3</w:t>
      </w:r>
      <w:commentRangeEnd w:id="370"/>
      <w:r w:rsidR="008D4700">
        <w:rPr>
          <w:rStyle w:val="af6"/>
          <w:lang w:val="zh-CN"/>
        </w:rPr>
        <w:commentReference w:id="370"/>
      </w:r>
      <w:r>
        <w:rPr>
          <w:rFonts w:ascii="楷体_GB2312" w:eastAsia="楷体_GB2312" w:hAnsi="楷体" w:hint="eastAsia"/>
          <w:sz w:val="28"/>
          <w:vertAlign w:val="superscript"/>
        </w:rPr>
        <w:t>÷</w:t>
      </w:r>
      <w:r>
        <w:rPr>
          <w:rFonts w:ascii="Arial" w:eastAsia="仿宋_GB2312" w:hAnsi="Arial"/>
          <w:sz w:val="28"/>
          <w:vertAlign w:val="superscript"/>
        </w:rPr>
        <w:t>2</w:t>
      </w:r>
      <w:r>
        <w:rPr>
          <w:rFonts w:ascii="Arial" w:eastAsia="仿宋_GB2312" w:hAnsi="Arial" w:hint="eastAsia"/>
          <w:sz w:val="28"/>
          <w:vertAlign w:val="superscript"/>
        </w:rPr>
        <w:t>）</w:t>
      </w:r>
      <w:r>
        <w:rPr>
          <w:rFonts w:ascii="Arial" w:eastAsia="仿宋_GB2312" w:hAnsi="Arial"/>
          <w:sz w:val="28"/>
        </w:rPr>
        <w:t>-1</w:t>
      </w:r>
      <w:r>
        <w:rPr>
          <w:rFonts w:ascii="仿宋_GB2312" w:eastAsia="仿宋_GB2312" w:hint="eastAsia"/>
          <w:sz w:val="28"/>
        </w:rPr>
        <w:t xml:space="preserve">） </w:t>
      </w:r>
    </w:p>
    <w:p w14:paraId="246410B5"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w:t>
      </w:r>
      <w:r>
        <w:rPr>
          <w:rFonts w:ascii="Arial" w:eastAsia="仿宋_GB2312" w:hAnsi="Arial"/>
          <w:sz w:val="28"/>
        </w:rPr>
        <w:t>3033.4162+0.1268</w:t>
      </w:r>
      <w:r>
        <w:rPr>
          <w:rFonts w:ascii="仿宋_GB2312" w:eastAsia="仿宋_GB2312" w:hint="eastAsia"/>
          <w:sz w:val="28"/>
        </w:rPr>
        <w:t xml:space="preserve"> </w:t>
      </w:r>
      <w:r>
        <w:rPr>
          <w:rFonts w:ascii="Arial" w:eastAsia="仿宋_GB2312" w:hAnsi="Arial"/>
          <w:sz w:val="28"/>
        </w:rPr>
        <w:t>P</w:t>
      </w:r>
      <w:r>
        <w:rPr>
          <w:rFonts w:ascii="仿宋_GB2312" w:eastAsia="仿宋_GB2312" w:hint="eastAsia"/>
          <w:sz w:val="28"/>
          <w:vertAlign w:val="subscript"/>
        </w:rPr>
        <w:t>土</w:t>
      </w:r>
      <w:r>
        <w:rPr>
          <w:rFonts w:ascii="仿宋_GB2312" w:eastAsia="仿宋_GB2312" w:hint="eastAsia"/>
          <w:sz w:val="28"/>
        </w:rPr>
        <w:t xml:space="preserve"> （万元）</w:t>
      </w:r>
    </w:p>
    <w:p w14:paraId="2DE1AFAB" w14:textId="77777777" w:rsidR="0062768B" w:rsidRDefault="00136729">
      <w:pPr>
        <w:spacing w:line="300" w:lineRule="auto"/>
        <w:ind w:firstLineChars="200" w:firstLine="560"/>
        <w:jc w:val="both"/>
        <w:rPr>
          <w:rFonts w:ascii="Arial" w:eastAsia="仿宋_GB2312" w:hAnsi="Arial"/>
          <w:sz w:val="28"/>
        </w:rPr>
      </w:pPr>
      <w:r>
        <w:rPr>
          <w:rFonts w:ascii="Arial" w:eastAsia="仿宋_GB2312" w:hAnsi="Arial" w:hint="eastAsia"/>
          <w:sz w:val="28"/>
        </w:rPr>
        <w:t>h.</w:t>
      </w:r>
      <w:r>
        <w:rPr>
          <w:rFonts w:ascii="Arial" w:eastAsia="仿宋_GB2312" w:hAnsi="Arial" w:hint="eastAsia"/>
          <w:sz w:val="28"/>
        </w:rPr>
        <w:t>销售税费</w:t>
      </w:r>
      <w:r>
        <w:rPr>
          <w:rFonts w:ascii="Arial" w:eastAsia="仿宋_GB2312" w:hAnsi="Arial" w:hint="eastAsia"/>
          <w:sz w:val="28"/>
        </w:rPr>
        <w:tab/>
      </w:r>
    </w:p>
    <w:p w14:paraId="461D0AA3" w14:textId="77777777" w:rsidR="0062768B" w:rsidRDefault="00136729">
      <w:pPr>
        <w:spacing w:line="300" w:lineRule="auto"/>
        <w:ind w:firstLineChars="200" w:firstLine="560"/>
        <w:jc w:val="both"/>
        <w:rPr>
          <w:rFonts w:ascii="Arial" w:eastAsia="仿宋_GB2312" w:hAnsi="Arial" w:cs="Arial"/>
          <w:sz w:val="28"/>
        </w:rPr>
      </w:pPr>
      <w:r>
        <w:rPr>
          <w:rFonts w:ascii="仿宋_GB2312" w:eastAsia="仿宋_GB2312" w:hAnsi="Arial" w:hint="eastAsia"/>
          <w:sz w:val="28"/>
        </w:rPr>
        <w:t>本处所指销售税费是指国家规定的相关销售税费。国家规定的相关销售税费</w:t>
      </w:r>
      <w:r>
        <w:rPr>
          <w:rFonts w:ascii="仿宋_GB2312" w:eastAsia="仿宋_GB2312" w:hint="eastAsia"/>
          <w:sz w:val="28"/>
        </w:rPr>
        <w:t>包括增值税、城市维护建设税、教育费附加及地方教</w:t>
      </w:r>
      <w:r>
        <w:rPr>
          <w:rFonts w:ascii="Arial" w:eastAsia="仿宋_GB2312" w:hAnsi="Arial" w:cs="Arial" w:hint="eastAsia"/>
          <w:sz w:val="28"/>
        </w:rPr>
        <w:t>育附加。由于增值税的计税销售额为不含税销售额，故以估价对象开发完成后不动产总价扣除增值税税额为基数计缴，税率为</w:t>
      </w:r>
      <w:r>
        <w:rPr>
          <w:rFonts w:ascii="Arial" w:eastAsia="仿宋_GB2312" w:hAnsi="Arial" w:cs="Arial"/>
          <w:sz w:val="28"/>
        </w:rPr>
        <w:t>5.5%</w:t>
      </w:r>
      <w:r>
        <w:rPr>
          <w:rFonts w:ascii="Arial" w:eastAsia="仿宋_GB2312" w:hAnsi="Arial" w:cs="Arial" w:hint="eastAsia"/>
          <w:sz w:val="28"/>
        </w:rPr>
        <w:t>（其中增值税征收率为</w:t>
      </w:r>
      <w:r>
        <w:rPr>
          <w:rFonts w:ascii="Arial" w:eastAsia="仿宋_GB2312" w:hAnsi="Arial" w:cs="Arial"/>
          <w:sz w:val="28"/>
        </w:rPr>
        <w:t>5%</w:t>
      </w:r>
      <w:r>
        <w:rPr>
          <w:rFonts w:ascii="Arial" w:eastAsia="仿宋_GB2312" w:hAnsi="Arial" w:cs="Arial" w:hint="eastAsia"/>
          <w:sz w:val="28"/>
        </w:rPr>
        <w:t>，附加税费为</w:t>
      </w:r>
      <w:r>
        <w:rPr>
          <w:rFonts w:ascii="Arial" w:eastAsia="仿宋_GB2312" w:hAnsi="Arial" w:cs="Arial"/>
          <w:sz w:val="28"/>
        </w:rPr>
        <w:t>0.5%</w:t>
      </w:r>
      <w:r>
        <w:rPr>
          <w:rFonts w:ascii="Arial" w:eastAsia="仿宋_GB2312" w:hAnsi="Arial" w:cs="Arial" w:hint="eastAsia"/>
          <w:sz w:val="28"/>
        </w:rPr>
        <w:t>）</w:t>
      </w:r>
      <w:r>
        <w:rPr>
          <w:rFonts w:ascii="Arial" w:eastAsia="仿宋" w:hAnsi="Arial" w:cs="Arial" w:hint="eastAsia"/>
          <w:sz w:val="28"/>
          <w:szCs w:val="28"/>
        </w:rPr>
        <w:t>。</w:t>
      </w:r>
      <w:r>
        <w:rPr>
          <w:rFonts w:ascii="Arial" w:eastAsia="仿宋_GB2312" w:hAnsi="Arial" w:cs="Arial" w:hint="eastAsia"/>
          <w:sz w:val="28"/>
        </w:rPr>
        <w:t>则有：</w:t>
      </w:r>
    </w:p>
    <w:p w14:paraId="632DEF0C"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销售税费＝</w:t>
      </w:r>
      <w:r>
        <w:rPr>
          <w:rFonts w:ascii="Arial" w:eastAsia="仿宋_GB2312" w:hAnsi="Arial" w:cs="Arial"/>
          <w:sz w:val="28"/>
        </w:rPr>
        <w:t>267557.9829</w:t>
      </w:r>
      <w:r>
        <w:rPr>
          <w:rFonts w:ascii="楷体_GB2312" w:eastAsia="楷体_GB2312" w:hAnsi="楷体" w:hint="eastAsia"/>
          <w:sz w:val="28"/>
        </w:rPr>
        <w:t>÷（</w:t>
      </w:r>
      <w:r>
        <w:rPr>
          <w:rFonts w:ascii="Arial" w:eastAsia="楷体_GB2312" w:hAnsi="Arial"/>
          <w:sz w:val="28"/>
        </w:rPr>
        <w:t>1</w:t>
      </w:r>
      <w:r>
        <w:rPr>
          <w:rFonts w:ascii="楷体_GB2312" w:eastAsia="楷体_GB2312" w:hAnsi="楷体" w:hint="eastAsia"/>
          <w:sz w:val="28"/>
        </w:rPr>
        <w:t>+</w:t>
      </w:r>
      <w:r>
        <w:rPr>
          <w:rFonts w:ascii="Arial" w:eastAsia="楷体_GB2312" w:hAnsi="Arial"/>
          <w:sz w:val="28"/>
        </w:rPr>
        <w:t>5</w:t>
      </w:r>
      <w:r>
        <w:rPr>
          <w:rFonts w:ascii="楷体_GB2312" w:eastAsia="楷体_GB2312" w:hAnsi="楷体" w:hint="eastAsia"/>
          <w:sz w:val="28"/>
        </w:rPr>
        <w:t>%）</w:t>
      </w:r>
      <w:r>
        <w:rPr>
          <w:rFonts w:ascii="Arial" w:eastAsia="仿宋_GB2312" w:hAnsi="Arial" w:cs="Arial"/>
          <w:sz w:val="28"/>
        </w:rPr>
        <w:t>×5.5%</w:t>
      </w:r>
      <w:r>
        <w:rPr>
          <w:rFonts w:ascii="Arial" w:eastAsia="仿宋_GB2312" w:hAnsi="Arial" w:cs="Arial" w:hint="eastAsia"/>
          <w:sz w:val="28"/>
        </w:rPr>
        <w:t>＝</w:t>
      </w:r>
      <w:r>
        <w:rPr>
          <w:rFonts w:ascii="Arial" w:eastAsia="仿宋_GB2312" w:hAnsi="Arial" w:cs="Arial"/>
          <w:sz w:val="28"/>
        </w:rPr>
        <w:t>14014.9420</w:t>
      </w:r>
      <w:r>
        <w:rPr>
          <w:rFonts w:ascii="Arial" w:eastAsia="仿宋_GB2312" w:hAnsi="Arial" w:cs="Arial" w:hint="eastAsia"/>
          <w:sz w:val="28"/>
        </w:rPr>
        <w:t>（万元）</w:t>
      </w:r>
    </w:p>
    <w:p w14:paraId="74388569" w14:textId="77777777" w:rsidR="0062768B" w:rsidRDefault="00136729">
      <w:pPr>
        <w:spacing w:line="300" w:lineRule="auto"/>
        <w:ind w:firstLineChars="200" w:firstLine="560"/>
        <w:jc w:val="both"/>
        <w:rPr>
          <w:rFonts w:ascii="仿宋_GB2312" w:eastAsia="仿宋_GB2312"/>
          <w:sz w:val="28"/>
        </w:rPr>
      </w:pPr>
      <w:r>
        <w:rPr>
          <w:rFonts w:ascii="Arial" w:eastAsia="仿宋_GB2312" w:hAnsi="Arial"/>
          <w:sz w:val="28"/>
        </w:rPr>
        <w:t>i.</w:t>
      </w:r>
      <w:r>
        <w:rPr>
          <w:rFonts w:ascii="仿宋_GB2312" w:eastAsia="仿宋_GB2312" w:hint="eastAsia"/>
          <w:sz w:val="28"/>
        </w:rPr>
        <w:t>开发成本</w:t>
      </w:r>
    </w:p>
    <w:p w14:paraId="3762F61F"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开发成本为上述</w:t>
      </w:r>
      <w:r>
        <w:rPr>
          <w:rFonts w:ascii="Arial" w:eastAsia="仿宋_GB2312" w:hAnsi="Arial"/>
          <w:sz w:val="28"/>
        </w:rPr>
        <w:t>8</w:t>
      </w:r>
      <w:r>
        <w:rPr>
          <w:rFonts w:ascii="仿宋_GB2312" w:eastAsia="仿宋_GB2312" w:hint="eastAsia"/>
          <w:sz w:val="28"/>
        </w:rPr>
        <w:t>项合计，则有：</w:t>
      </w:r>
    </w:p>
    <w:p w14:paraId="6A88C92B"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开发成本</w:t>
      </w:r>
    </w:p>
    <w:p w14:paraId="1C9A6285" w14:textId="77777777" w:rsidR="0062768B" w:rsidRDefault="00136729">
      <w:pPr>
        <w:spacing w:line="300" w:lineRule="auto"/>
        <w:ind w:firstLineChars="200" w:firstLine="560"/>
        <w:jc w:val="both"/>
        <w:rPr>
          <w:rFonts w:ascii="Arial" w:eastAsia="仿宋_GB2312" w:hAnsi="Arial"/>
          <w:sz w:val="28"/>
        </w:rPr>
      </w:pPr>
      <w:r>
        <w:rPr>
          <w:rFonts w:ascii="Arial" w:eastAsia="仿宋_GB2312" w:hAnsi="Arial" w:cs="Arial" w:hint="eastAsia"/>
          <w:sz w:val="28"/>
        </w:rPr>
        <w:t>＝</w:t>
      </w:r>
      <w:r>
        <w:rPr>
          <w:rFonts w:ascii="Arial" w:eastAsia="仿宋_GB2312" w:hAnsi="Arial"/>
          <w:sz w:val="28"/>
        </w:rPr>
        <w:t>36851.3230+272.5942+1055.8279</w:t>
      </w:r>
      <w:r>
        <w:rPr>
          <w:rFonts w:ascii="Arial" w:eastAsia="仿宋" w:hAnsi="Arial" w:cs="Arial"/>
          <w:sz w:val="28"/>
        </w:rPr>
        <w:t>+</w:t>
      </w:r>
      <w:r>
        <w:rPr>
          <w:rFonts w:ascii="Arial" w:eastAsia="仿宋_GB2312" w:hAnsi="Arial"/>
          <w:sz w:val="28"/>
        </w:rPr>
        <w:t>1908.9873+10702.3193+</w:t>
      </w:r>
    </w:p>
    <w:p w14:paraId="69C2515F"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sz w:val="28"/>
        </w:rPr>
        <w:t xml:space="preserve"> P</w:t>
      </w:r>
      <w:r>
        <w:rPr>
          <w:rFonts w:ascii="仿宋_GB2312" w:eastAsia="仿宋_GB2312" w:hint="eastAsia"/>
          <w:sz w:val="28"/>
          <w:vertAlign w:val="subscript"/>
        </w:rPr>
        <w:t>土</w:t>
      </w:r>
      <w:r>
        <w:rPr>
          <w:rFonts w:ascii="Arial" w:eastAsia="仿宋_GB2312" w:hAnsi="Arial" w:cs="Arial"/>
          <w:sz w:val="28"/>
        </w:rPr>
        <w:t>×</w:t>
      </w:r>
      <w:r>
        <w:rPr>
          <w:rFonts w:ascii="Arial" w:eastAsia="楷体_GB2312" w:hAnsi="Arial" w:cs="Arial"/>
          <w:sz w:val="28"/>
        </w:rPr>
        <w:t>0.0</w:t>
      </w:r>
      <w:r>
        <w:rPr>
          <w:rFonts w:ascii="Arial" w:eastAsia="楷体_GB2312" w:hAnsi="Arial" w:cs="Arial" w:hint="eastAsia"/>
          <w:sz w:val="28"/>
        </w:rPr>
        <w:t>305</w:t>
      </w:r>
      <w:r>
        <w:rPr>
          <w:rFonts w:ascii="仿宋_GB2312" w:eastAsia="仿宋_GB2312" w:hint="eastAsia"/>
          <w:sz w:val="28"/>
        </w:rPr>
        <w:t xml:space="preserve">+ </w:t>
      </w:r>
      <w:r>
        <w:rPr>
          <w:rFonts w:ascii="Arial" w:eastAsia="仿宋_GB2312" w:hAnsi="Arial"/>
          <w:sz w:val="28"/>
        </w:rPr>
        <w:t>3033.4162+</w:t>
      </w:r>
      <w:r>
        <w:rPr>
          <w:rFonts w:ascii="仿宋_GB2312" w:eastAsia="仿宋_GB2312" w:hint="eastAsia"/>
          <w:sz w:val="28"/>
        </w:rPr>
        <w:t xml:space="preserve"> </w:t>
      </w:r>
      <w:r>
        <w:rPr>
          <w:rFonts w:ascii="Arial" w:eastAsia="仿宋_GB2312" w:hAnsi="Arial"/>
          <w:sz w:val="28"/>
        </w:rPr>
        <w:t>P</w:t>
      </w:r>
      <w:r>
        <w:rPr>
          <w:rFonts w:ascii="仿宋_GB2312" w:eastAsia="仿宋_GB2312" w:hint="eastAsia"/>
          <w:sz w:val="28"/>
          <w:vertAlign w:val="subscript"/>
        </w:rPr>
        <w:t>土</w:t>
      </w:r>
      <w:r>
        <w:rPr>
          <w:rFonts w:ascii="Arial" w:eastAsia="仿宋_GB2312" w:hAnsi="Arial" w:cs="Arial"/>
          <w:sz w:val="28"/>
        </w:rPr>
        <w:t>×</w:t>
      </w:r>
      <w:r>
        <w:rPr>
          <w:rFonts w:ascii="Arial" w:eastAsia="仿宋_GB2312" w:hAnsi="Arial"/>
          <w:sz w:val="28"/>
        </w:rPr>
        <w:t>0.1268</w:t>
      </w:r>
      <w:r>
        <w:rPr>
          <w:rFonts w:ascii="仿宋_GB2312" w:eastAsia="仿宋_GB2312" w:hint="eastAsia"/>
          <w:sz w:val="28"/>
        </w:rPr>
        <w:t>+</w:t>
      </w:r>
      <w:r>
        <w:rPr>
          <w:rFonts w:ascii="Arial" w:eastAsia="仿宋_GB2312" w:hAnsi="Arial" w:cs="Arial"/>
          <w:sz w:val="28"/>
        </w:rPr>
        <w:t>14014.9420</w:t>
      </w:r>
    </w:p>
    <w:p w14:paraId="5EB8872C" w14:textId="77777777" w:rsidR="0062768B" w:rsidRDefault="00136729">
      <w:pPr>
        <w:spacing w:line="300" w:lineRule="auto"/>
        <w:ind w:firstLineChars="200" w:firstLine="560"/>
        <w:jc w:val="both"/>
        <w:rPr>
          <w:rFonts w:ascii="仿宋_GB2312" w:eastAsia="仿宋_GB2312"/>
          <w:sz w:val="28"/>
        </w:rPr>
      </w:pPr>
      <w:r>
        <w:rPr>
          <w:rFonts w:ascii="Arial" w:eastAsia="仿宋_GB2312" w:hAnsi="Arial" w:cs="Arial" w:hint="eastAsia"/>
          <w:sz w:val="28"/>
        </w:rPr>
        <w:t>＝</w:t>
      </w:r>
      <w:r>
        <w:rPr>
          <w:rFonts w:ascii="Arial" w:eastAsia="仿宋_GB2312" w:hAnsi="Arial" w:hint="eastAsia"/>
          <w:sz w:val="28"/>
        </w:rPr>
        <w:t>67839.4099</w:t>
      </w:r>
      <w:r>
        <w:rPr>
          <w:rFonts w:ascii="Arial" w:eastAsia="仿宋_GB2312" w:hAnsi="Arial"/>
          <w:sz w:val="28"/>
        </w:rPr>
        <w:t>+ P</w:t>
      </w:r>
      <w:r>
        <w:rPr>
          <w:rFonts w:ascii="仿宋_GB2312" w:eastAsia="仿宋_GB2312" w:hint="eastAsia"/>
          <w:sz w:val="28"/>
          <w:vertAlign w:val="subscript"/>
        </w:rPr>
        <w:t>土</w:t>
      </w:r>
      <w:r>
        <w:rPr>
          <w:rFonts w:ascii="Arial" w:eastAsia="仿宋_GB2312" w:hAnsi="Arial" w:cs="Arial"/>
          <w:sz w:val="28"/>
        </w:rPr>
        <w:t>×0.1573</w:t>
      </w:r>
      <w:r>
        <w:rPr>
          <w:rFonts w:ascii="Arial" w:eastAsia="仿宋_GB2312" w:hAnsi="Arial" w:hint="eastAsia"/>
          <w:sz w:val="28"/>
        </w:rPr>
        <w:t>（</w:t>
      </w:r>
      <w:r>
        <w:rPr>
          <w:rFonts w:ascii="仿宋_GB2312" w:eastAsia="仿宋_GB2312" w:hint="eastAsia"/>
          <w:sz w:val="28"/>
        </w:rPr>
        <w:t>万元）</w:t>
      </w:r>
    </w:p>
    <w:p w14:paraId="68267EC5" w14:textId="77777777" w:rsidR="0062768B" w:rsidRDefault="00136729">
      <w:pPr>
        <w:spacing w:line="300" w:lineRule="auto"/>
        <w:ind w:firstLineChars="200" w:firstLine="560"/>
        <w:jc w:val="both"/>
        <w:rPr>
          <w:rFonts w:ascii="仿宋_GB2312" w:eastAsia="仿宋_GB2312"/>
          <w:sz w:val="28"/>
        </w:rPr>
      </w:pPr>
      <w:r>
        <w:rPr>
          <w:rFonts w:ascii="Arial" w:eastAsia="仿宋_GB2312" w:hAnsi="Arial" w:hint="eastAsia"/>
          <w:sz w:val="28"/>
        </w:rPr>
        <w:t>D</w:t>
      </w:r>
      <w:r>
        <w:rPr>
          <w:rFonts w:ascii="Arial" w:eastAsia="仿宋_GB2312" w:hAnsi="Arial"/>
          <w:sz w:val="28"/>
        </w:rPr>
        <w:t>.</w:t>
      </w:r>
      <w:r>
        <w:rPr>
          <w:rFonts w:ascii="仿宋_GB2312" w:eastAsia="仿宋_GB2312" w:hint="eastAsia"/>
          <w:sz w:val="28"/>
        </w:rPr>
        <w:t>开发利润（投资利润）</w:t>
      </w:r>
    </w:p>
    <w:p w14:paraId="27DA38F7" w14:textId="77777777" w:rsidR="0062768B" w:rsidRDefault="00136729">
      <w:pPr>
        <w:spacing w:line="300" w:lineRule="auto"/>
        <w:ind w:firstLineChars="200" w:firstLine="560"/>
        <w:jc w:val="both"/>
        <w:rPr>
          <w:rFonts w:ascii="仿宋_GB2312" w:eastAsia="仿宋_GB2312" w:hAnsi="Arial"/>
          <w:sz w:val="28"/>
        </w:rPr>
      </w:pPr>
      <w:r>
        <w:rPr>
          <w:rFonts w:ascii="仿宋_GB2312" w:eastAsia="仿宋_GB2312" w:hAnsi="Arial" w:hint="eastAsia"/>
          <w:sz w:val="28"/>
        </w:rPr>
        <w:t>开发利润是指房地产开发商投资房地产开发项目应取得的资金报酬及承担风险补偿。以当地房地产开发的一般水平为基础，并参考项目所在区域房地产营利水平的具体情况确定。根据土地估价专业评估师的调查以及</w:t>
      </w:r>
      <w:r>
        <w:rPr>
          <w:rFonts w:ascii="仿宋_GB2312" w:eastAsia="仿宋_GB2312" w:hAnsi="Arial" w:hint="eastAsia"/>
          <w:sz w:val="28"/>
        </w:rPr>
        <w:lastRenderedPageBreak/>
        <w:t>查阅相关资料，房地产开发利润受开发环境、政策等众多因素影响，项目开发周期长，开发价值相对较高。</w:t>
      </w:r>
      <w:r>
        <w:rPr>
          <w:rFonts w:ascii="Arial" w:eastAsia="仿宋" w:hAnsi="Arial" w:cs="Arial"/>
          <w:sz w:val="28"/>
        </w:rPr>
        <w:t>而且，近年来北京市居住、综合等各用途开发利润率均有较大幅度的增长。</w:t>
      </w:r>
    </w:p>
    <w:p w14:paraId="79C816B2" w14:textId="77777777" w:rsidR="0062768B" w:rsidRDefault="00136729">
      <w:pPr>
        <w:spacing w:line="300" w:lineRule="auto"/>
        <w:ind w:firstLineChars="200" w:firstLine="560"/>
        <w:jc w:val="both"/>
        <w:rPr>
          <w:rFonts w:ascii="仿宋_GB2312" w:eastAsia="仿宋_GB2312" w:hAnsi="Arial"/>
          <w:sz w:val="28"/>
        </w:rPr>
      </w:pPr>
      <w:r>
        <w:rPr>
          <w:rFonts w:ascii="Arial" w:eastAsia="仿宋" w:hAnsi="Arial" w:cs="Arial"/>
          <w:sz w:val="28"/>
        </w:rPr>
        <w:t>估价对象为居住用地，位于北京市</w:t>
      </w:r>
      <w:r>
        <w:rPr>
          <w:rFonts w:ascii="Arial" w:eastAsia="仿宋" w:hAnsi="Arial" w:cs="Arial" w:hint="eastAsia"/>
          <w:sz w:val="28"/>
        </w:rPr>
        <w:t>顺义</w:t>
      </w:r>
      <w:r>
        <w:rPr>
          <w:rFonts w:ascii="Arial" w:eastAsia="仿宋" w:hAnsi="Arial" w:cs="Arial"/>
          <w:sz w:val="28"/>
        </w:rPr>
        <w:t>区</w:t>
      </w:r>
      <w:r>
        <w:rPr>
          <w:rFonts w:ascii="Arial" w:eastAsia="仿宋" w:hAnsi="Arial" w:cs="Arial" w:hint="eastAsia"/>
          <w:sz w:val="28"/>
        </w:rPr>
        <w:t>高丽营</w:t>
      </w:r>
      <w:r>
        <w:rPr>
          <w:rFonts w:ascii="Arial" w:eastAsia="仿宋" w:hAnsi="Arial" w:cs="Arial"/>
          <w:sz w:val="28"/>
        </w:rPr>
        <w:t>镇，根据估价对象的实际情况，本次</w:t>
      </w:r>
      <w:proofErr w:type="gramStart"/>
      <w:r>
        <w:rPr>
          <w:rFonts w:ascii="Arial" w:eastAsia="仿宋" w:hAnsi="Arial" w:cs="Arial"/>
          <w:sz w:val="28"/>
        </w:rPr>
        <w:t>取项目</w:t>
      </w:r>
      <w:proofErr w:type="gramEnd"/>
      <w:r>
        <w:rPr>
          <w:rFonts w:ascii="Arial" w:eastAsia="仿宋" w:hAnsi="Arial" w:cs="Arial"/>
          <w:sz w:val="28"/>
        </w:rPr>
        <w:t>居住用途利润率为</w:t>
      </w:r>
      <w:r>
        <w:rPr>
          <w:rFonts w:ascii="Arial" w:eastAsia="仿宋" w:hAnsi="Arial" w:cs="Arial"/>
          <w:sz w:val="28"/>
        </w:rPr>
        <w:t>30%</w:t>
      </w:r>
      <w:r>
        <w:rPr>
          <w:rFonts w:ascii="Arial" w:eastAsia="仿宋" w:hAnsi="Arial" w:cs="Arial"/>
          <w:sz w:val="28"/>
        </w:rPr>
        <w:t>。计算基数为全部预付资本即：土地购买价格、开发费用（建造成本、土地开发费、城市基础设施建设费）、管理费用、销售费用和</w:t>
      </w:r>
      <w:proofErr w:type="gramStart"/>
      <w:r>
        <w:rPr>
          <w:rFonts w:ascii="Arial" w:eastAsia="仿宋" w:hAnsi="Arial" w:cs="Arial"/>
          <w:sz w:val="28"/>
        </w:rPr>
        <w:t>购地税</w:t>
      </w:r>
      <w:proofErr w:type="gramEnd"/>
      <w:r>
        <w:rPr>
          <w:rFonts w:ascii="Arial" w:eastAsia="仿宋" w:hAnsi="Arial" w:cs="Arial"/>
          <w:sz w:val="28"/>
        </w:rPr>
        <w:t>费。</w:t>
      </w:r>
      <w:r>
        <w:rPr>
          <w:rFonts w:ascii="仿宋_GB2312" w:eastAsia="仿宋_GB2312" w:hAnsi="Arial" w:hint="eastAsia"/>
          <w:sz w:val="28"/>
        </w:rPr>
        <w:t xml:space="preserve">则： </w:t>
      </w:r>
    </w:p>
    <w:p w14:paraId="0C1BA8FF"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则有：</w:t>
      </w:r>
    </w:p>
    <w:p w14:paraId="1C2EFBB5"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开发利润</w:t>
      </w:r>
    </w:p>
    <w:p w14:paraId="517B03A7" w14:textId="77777777" w:rsidR="0062768B" w:rsidRDefault="00136729">
      <w:pPr>
        <w:spacing w:line="300" w:lineRule="auto"/>
        <w:ind w:firstLineChars="200" w:firstLine="560"/>
        <w:jc w:val="both"/>
        <w:rPr>
          <w:rFonts w:ascii="Arial" w:eastAsia="仿宋_GB2312" w:hAnsi="Arial"/>
          <w:sz w:val="28"/>
        </w:rPr>
      </w:pPr>
      <w:r>
        <w:rPr>
          <w:rFonts w:ascii="仿宋_GB2312" w:eastAsia="仿宋_GB2312" w:hint="eastAsia"/>
          <w:sz w:val="28"/>
        </w:rPr>
        <w:t xml:space="preserve">＝（ </w:t>
      </w:r>
      <w:r>
        <w:rPr>
          <w:rFonts w:ascii="Arial" w:eastAsia="仿宋_GB2312" w:hAnsi="Arial"/>
          <w:sz w:val="28"/>
        </w:rPr>
        <w:t>P</w:t>
      </w:r>
      <w:r>
        <w:rPr>
          <w:rFonts w:ascii="仿宋_GB2312" w:eastAsia="仿宋_GB2312" w:hint="eastAsia"/>
          <w:sz w:val="28"/>
          <w:vertAlign w:val="subscript"/>
        </w:rPr>
        <w:t>土</w:t>
      </w:r>
      <w:r>
        <w:rPr>
          <w:rFonts w:ascii="仿宋_GB2312" w:eastAsia="仿宋_GB2312" w:hint="eastAsia"/>
          <w:sz w:val="28"/>
        </w:rPr>
        <w:t>+</w:t>
      </w:r>
      <w:r>
        <w:rPr>
          <w:rFonts w:ascii="Arial" w:eastAsia="仿宋_GB2312" w:hAnsi="Arial"/>
          <w:sz w:val="28"/>
        </w:rPr>
        <w:t xml:space="preserve"> P</w:t>
      </w:r>
      <w:r>
        <w:rPr>
          <w:rFonts w:ascii="仿宋_GB2312" w:eastAsia="仿宋_GB2312" w:hint="eastAsia"/>
          <w:sz w:val="28"/>
          <w:vertAlign w:val="subscript"/>
        </w:rPr>
        <w:t>土</w:t>
      </w:r>
      <w:r>
        <w:rPr>
          <w:rFonts w:ascii="Arial" w:eastAsia="仿宋_GB2312" w:hAnsi="Arial" w:cs="Arial"/>
          <w:sz w:val="28"/>
        </w:rPr>
        <w:t>×</w:t>
      </w:r>
      <w:r>
        <w:rPr>
          <w:rFonts w:ascii="Arial" w:eastAsia="楷体_GB2312" w:hAnsi="Arial" w:cs="Arial"/>
          <w:sz w:val="28"/>
        </w:rPr>
        <w:t>0.0</w:t>
      </w:r>
      <w:r>
        <w:rPr>
          <w:rFonts w:ascii="Arial" w:eastAsia="楷体_GB2312" w:hAnsi="Arial" w:cs="Arial" w:hint="eastAsia"/>
          <w:sz w:val="28"/>
        </w:rPr>
        <w:t>305</w:t>
      </w:r>
      <w:r>
        <w:rPr>
          <w:rFonts w:ascii="仿宋_GB2312" w:eastAsia="仿宋_GB2312" w:hint="eastAsia"/>
          <w:sz w:val="28"/>
        </w:rPr>
        <w:t>）×</w:t>
      </w:r>
      <w:r>
        <w:rPr>
          <w:rFonts w:ascii="Arial" w:eastAsia="仿宋_GB2312" w:hAnsi="Arial"/>
          <w:sz w:val="28"/>
        </w:rPr>
        <w:t>30</w:t>
      </w:r>
      <w:r>
        <w:rPr>
          <w:rFonts w:ascii="仿宋_GB2312" w:eastAsia="仿宋_GB2312" w:hAnsi="Arial" w:hint="eastAsia"/>
          <w:sz w:val="28"/>
        </w:rPr>
        <w:t>%</w:t>
      </w:r>
      <w:r>
        <w:rPr>
          <w:rFonts w:ascii="仿宋_GB2312" w:eastAsia="仿宋_GB2312" w:hint="eastAsia"/>
          <w:sz w:val="28"/>
        </w:rPr>
        <w:t>+（</w:t>
      </w:r>
      <w:r>
        <w:rPr>
          <w:rFonts w:ascii="Arial" w:eastAsia="仿宋_GB2312" w:hAnsi="Arial"/>
          <w:sz w:val="28"/>
        </w:rPr>
        <w:t>36851.3230+272.5942+</w:t>
      </w:r>
    </w:p>
    <w:p w14:paraId="774800A5" w14:textId="77777777" w:rsidR="0062768B" w:rsidRDefault="00136729">
      <w:pPr>
        <w:spacing w:line="300" w:lineRule="auto"/>
        <w:ind w:firstLineChars="200" w:firstLine="560"/>
        <w:jc w:val="both"/>
        <w:rPr>
          <w:rFonts w:ascii="仿宋_GB2312" w:eastAsia="仿宋_GB2312" w:hAnsi="Arial"/>
          <w:sz w:val="28"/>
        </w:rPr>
      </w:pPr>
      <w:r>
        <w:rPr>
          <w:rFonts w:ascii="Arial" w:eastAsia="仿宋_GB2312" w:hAnsi="Arial"/>
          <w:sz w:val="28"/>
        </w:rPr>
        <w:t>1055.8279</w:t>
      </w:r>
      <w:r>
        <w:rPr>
          <w:rFonts w:ascii="Arial" w:eastAsia="仿宋" w:hAnsi="Arial" w:cs="Arial"/>
          <w:sz w:val="28"/>
        </w:rPr>
        <w:t>+</w:t>
      </w:r>
      <w:r>
        <w:rPr>
          <w:rFonts w:ascii="Arial" w:eastAsia="仿宋_GB2312" w:hAnsi="Arial"/>
          <w:sz w:val="28"/>
        </w:rPr>
        <w:t>1908.9873+10702.3193</w:t>
      </w:r>
      <w:r>
        <w:rPr>
          <w:rFonts w:ascii="仿宋_GB2312" w:eastAsia="仿宋_GB2312" w:hAnsi="Arial" w:hint="eastAsia"/>
          <w:sz w:val="28"/>
        </w:rPr>
        <w:t>）</w:t>
      </w:r>
      <w:r>
        <w:rPr>
          <w:rFonts w:ascii="仿宋_GB2312" w:eastAsia="仿宋_GB2312" w:hint="eastAsia"/>
          <w:sz w:val="28"/>
        </w:rPr>
        <w:t>×</w:t>
      </w:r>
      <w:r>
        <w:rPr>
          <w:rFonts w:ascii="Arial" w:eastAsia="仿宋_GB2312" w:hAnsi="Arial"/>
          <w:sz w:val="28"/>
        </w:rPr>
        <w:t>30</w:t>
      </w:r>
      <w:r>
        <w:rPr>
          <w:rFonts w:ascii="仿宋_GB2312" w:eastAsia="仿宋_GB2312" w:hAnsi="Arial" w:hint="eastAsia"/>
          <w:sz w:val="28"/>
        </w:rPr>
        <w:t>%</w:t>
      </w:r>
    </w:p>
    <w:p w14:paraId="204DB81F"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w:t>
      </w:r>
      <w:r>
        <w:rPr>
          <w:rFonts w:ascii="Arial" w:eastAsia="仿宋_GB2312" w:hAnsi="Arial"/>
          <w:sz w:val="28"/>
        </w:rPr>
        <w:t>15237.3155</w:t>
      </w:r>
      <w:r>
        <w:rPr>
          <w:rFonts w:ascii="Arial" w:eastAsia="仿宋" w:hAnsi="Arial" w:cs="Arial"/>
          <w:sz w:val="28"/>
        </w:rPr>
        <w:t>+</w:t>
      </w:r>
      <w:r>
        <w:rPr>
          <w:rFonts w:ascii="Arial" w:eastAsia="仿宋" w:hAnsi="Arial" w:cs="Arial" w:hint="eastAsia"/>
          <w:sz w:val="28"/>
        </w:rPr>
        <w:t>P</w:t>
      </w:r>
      <w:r>
        <w:rPr>
          <w:rFonts w:ascii="Arial" w:eastAsia="仿宋" w:hAnsi="Arial" w:cs="Arial" w:hint="eastAsia"/>
          <w:sz w:val="28"/>
          <w:vertAlign w:val="subscript"/>
        </w:rPr>
        <w:t>土</w:t>
      </w:r>
      <w:r>
        <w:rPr>
          <w:rFonts w:ascii="Arial" w:eastAsia="仿宋" w:hAnsi="Arial" w:cs="Arial" w:hint="eastAsia"/>
          <w:sz w:val="28"/>
        </w:rPr>
        <w:t>×</w:t>
      </w:r>
      <w:r>
        <w:rPr>
          <w:rFonts w:ascii="Arial" w:eastAsia="仿宋" w:hAnsi="Arial" w:cs="Arial"/>
          <w:sz w:val="28"/>
        </w:rPr>
        <w:t>0.3092</w:t>
      </w:r>
      <w:r>
        <w:rPr>
          <w:rFonts w:ascii="仿宋_GB2312" w:eastAsia="仿宋_GB2312" w:hint="eastAsia"/>
          <w:sz w:val="28"/>
        </w:rPr>
        <w:t xml:space="preserve"> （万元）</w:t>
      </w:r>
    </w:p>
    <w:p w14:paraId="609D529A" w14:textId="77777777" w:rsidR="0062768B" w:rsidRDefault="00136729">
      <w:pPr>
        <w:spacing w:line="300" w:lineRule="auto"/>
        <w:ind w:firstLineChars="200" w:firstLine="560"/>
        <w:jc w:val="both"/>
        <w:rPr>
          <w:rFonts w:ascii="仿宋_GB2312" w:eastAsia="仿宋_GB2312"/>
          <w:sz w:val="28"/>
        </w:rPr>
      </w:pPr>
      <w:r>
        <w:rPr>
          <w:rFonts w:ascii="Arial" w:eastAsia="仿宋_GB2312" w:hAnsi="Arial" w:hint="eastAsia"/>
          <w:sz w:val="28"/>
        </w:rPr>
        <w:t>E</w:t>
      </w:r>
      <w:r>
        <w:rPr>
          <w:rFonts w:ascii="Arial" w:eastAsia="仿宋_GB2312" w:hAnsi="Arial"/>
          <w:sz w:val="28"/>
        </w:rPr>
        <w:t>.</w:t>
      </w:r>
      <w:r>
        <w:rPr>
          <w:rFonts w:ascii="仿宋_GB2312" w:eastAsia="仿宋_GB2312" w:hint="eastAsia"/>
          <w:sz w:val="28"/>
        </w:rPr>
        <w:t>求取估价对象土地价格</w:t>
      </w:r>
    </w:p>
    <w:p w14:paraId="0E76D9E1" w14:textId="77777777" w:rsidR="0062768B" w:rsidRDefault="00136729">
      <w:pPr>
        <w:spacing w:line="300" w:lineRule="auto"/>
        <w:ind w:firstLineChars="200" w:firstLine="600"/>
        <w:jc w:val="both"/>
        <w:rPr>
          <w:rFonts w:ascii="仿宋_GB2312" w:eastAsia="仿宋_GB2312"/>
          <w:spacing w:val="10"/>
          <w:sz w:val="28"/>
        </w:rPr>
      </w:pPr>
      <w:r>
        <w:rPr>
          <w:rFonts w:ascii="仿宋_GB2312" w:eastAsia="仿宋_GB2312" w:hint="eastAsia"/>
          <w:spacing w:val="10"/>
          <w:sz w:val="28"/>
        </w:rPr>
        <w:t>土地价格（</w:t>
      </w:r>
      <w:r>
        <w:rPr>
          <w:rFonts w:ascii="Arial" w:eastAsia="仿宋_GB2312" w:hAnsi="Arial"/>
          <w:sz w:val="28"/>
        </w:rPr>
        <w:t>P</w:t>
      </w:r>
      <w:r>
        <w:rPr>
          <w:rFonts w:ascii="仿宋_GB2312" w:eastAsia="仿宋_GB2312" w:hint="eastAsia"/>
          <w:sz w:val="28"/>
          <w:vertAlign w:val="subscript"/>
        </w:rPr>
        <w:t>土</w:t>
      </w:r>
      <w:r>
        <w:rPr>
          <w:rFonts w:ascii="仿宋_GB2312" w:eastAsia="仿宋_GB2312" w:hint="eastAsia"/>
          <w:spacing w:val="10"/>
          <w:sz w:val="28"/>
        </w:rPr>
        <w:t>）</w:t>
      </w:r>
    </w:p>
    <w:p w14:paraId="009150DA"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＝开发完成后的不动产总价-开发成本-开发利润</w:t>
      </w:r>
    </w:p>
    <w:p w14:paraId="61D772F1" w14:textId="77777777" w:rsidR="0062768B" w:rsidRDefault="00136729">
      <w:pPr>
        <w:spacing w:line="300" w:lineRule="auto"/>
        <w:ind w:firstLineChars="200" w:firstLine="560"/>
        <w:jc w:val="both"/>
        <w:rPr>
          <w:rFonts w:ascii="Arial" w:eastAsia="仿宋_GB2312" w:hAnsi="Arial"/>
          <w:sz w:val="28"/>
        </w:rPr>
      </w:pPr>
      <w:r>
        <w:rPr>
          <w:rFonts w:ascii="仿宋_GB2312" w:eastAsia="仿宋_GB2312" w:hint="eastAsia"/>
          <w:sz w:val="28"/>
        </w:rPr>
        <w:t>＝</w:t>
      </w:r>
      <w:r>
        <w:rPr>
          <w:rFonts w:ascii="Arial" w:eastAsia="仿宋_GB2312" w:hAnsi="Arial"/>
          <w:sz w:val="28"/>
        </w:rPr>
        <w:t xml:space="preserve">267557.9829 </w:t>
      </w:r>
      <w:r>
        <w:rPr>
          <w:rFonts w:ascii="仿宋_GB2312" w:eastAsia="仿宋_GB2312" w:hint="eastAsia"/>
          <w:sz w:val="28"/>
        </w:rPr>
        <w:t>-</w:t>
      </w:r>
      <w:r>
        <w:rPr>
          <w:rFonts w:ascii="Arial" w:eastAsia="仿宋_GB2312" w:hAnsi="Arial" w:cs="Arial" w:hint="eastAsia"/>
          <w:sz w:val="28"/>
        </w:rPr>
        <w:t>（</w:t>
      </w:r>
      <w:r>
        <w:rPr>
          <w:rFonts w:ascii="Arial" w:eastAsia="仿宋_GB2312" w:hAnsi="Arial"/>
          <w:sz w:val="28"/>
        </w:rPr>
        <w:t>67839.4099+ P</w:t>
      </w:r>
      <w:r>
        <w:rPr>
          <w:rFonts w:ascii="仿宋_GB2312" w:eastAsia="仿宋_GB2312" w:hint="eastAsia"/>
          <w:sz w:val="28"/>
          <w:vertAlign w:val="subscript"/>
        </w:rPr>
        <w:t>土</w:t>
      </w:r>
      <w:r>
        <w:rPr>
          <w:rFonts w:ascii="Arial" w:eastAsia="仿宋_GB2312" w:hAnsi="Arial" w:cs="Arial"/>
          <w:sz w:val="28"/>
        </w:rPr>
        <w:t>×0.1573</w:t>
      </w:r>
      <w:r>
        <w:rPr>
          <w:rFonts w:ascii="Arial" w:eastAsia="仿宋_GB2312" w:hAnsi="Arial" w:cs="Arial" w:hint="eastAsia"/>
          <w:sz w:val="28"/>
        </w:rPr>
        <w:t>）</w:t>
      </w:r>
      <w:r>
        <w:rPr>
          <w:rFonts w:ascii="仿宋_GB2312" w:eastAsia="仿宋_GB2312" w:hint="eastAsia"/>
          <w:sz w:val="28"/>
        </w:rPr>
        <w:t>-（</w:t>
      </w:r>
      <w:r>
        <w:rPr>
          <w:rFonts w:ascii="Arial" w:eastAsia="仿宋_GB2312" w:hAnsi="Arial"/>
          <w:sz w:val="28"/>
        </w:rPr>
        <w:t>15237.3155</w:t>
      </w:r>
      <w:r>
        <w:rPr>
          <w:rFonts w:ascii="Arial" w:eastAsia="仿宋" w:hAnsi="Arial" w:cs="Arial"/>
          <w:sz w:val="28"/>
        </w:rPr>
        <w:t>+</w:t>
      </w:r>
      <w:r>
        <w:rPr>
          <w:rFonts w:ascii="Arial" w:eastAsia="仿宋" w:hAnsi="Arial" w:cs="Arial" w:hint="eastAsia"/>
          <w:sz w:val="28"/>
        </w:rPr>
        <w:t>P</w:t>
      </w:r>
      <w:r>
        <w:rPr>
          <w:rFonts w:ascii="Arial" w:eastAsia="仿宋" w:hAnsi="Arial" w:cs="Arial" w:hint="eastAsia"/>
          <w:sz w:val="28"/>
          <w:vertAlign w:val="subscript"/>
        </w:rPr>
        <w:t>土</w:t>
      </w:r>
      <w:r>
        <w:rPr>
          <w:rFonts w:ascii="Arial" w:eastAsia="仿宋" w:hAnsi="Arial" w:cs="Arial" w:hint="eastAsia"/>
          <w:sz w:val="28"/>
        </w:rPr>
        <w:t>×</w:t>
      </w:r>
      <w:r>
        <w:rPr>
          <w:rFonts w:ascii="Arial" w:eastAsia="仿宋" w:hAnsi="Arial" w:cs="Arial"/>
          <w:sz w:val="28"/>
        </w:rPr>
        <w:t>0.3092</w:t>
      </w:r>
      <w:r>
        <w:rPr>
          <w:rFonts w:ascii="仿宋_GB2312" w:eastAsia="仿宋_GB2312" w:hint="eastAsia"/>
          <w:sz w:val="28"/>
        </w:rPr>
        <w:t xml:space="preserve">） </w:t>
      </w:r>
    </w:p>
    <w:p w14:paraId="216166CA" w14:textId="77777777" w:rsidR="0062768B" w:rsidRDefault="00136729">
      <w:pPr>
        <w:spacing w:beforeLines="50" w:before="120" w:afterLines="50" w:after="120" w:line="300" w:lineRule="auto"/>
        <w:ind w:firstLineChars="200" w:firstLine="560"/>
        <w:rPr>
          <w:rFonts w:ascii="仿宋_GB2312" w:eastAsia="仿宋_GB2312"/>
          <w:sz w:val="28"/>
        </w:rPr>
      </w:pPr>
      <w:r>
        <w:rPr>
          <w:rFonts w:ascii="仿宋_GB2312" w:eastAsia="仿宋_GB2312" w:hint="eastAsia"/>
          <w:sz w:val="28"/>
        </w:rPr>
        <w:t>＝</w:t>
      </w:r>
      <w:r>
        <w:rPr>
          <w:rFonts w:ascii="Arial" w:eastAsia="仿宋_GB2312" w:hAnsi="Arial"/>
          <w:sz w:val="28"/>
        </w:rPr>
        <w:t>125796.9707</w:t>
      </w:r>
      <w:r>
        <w:rPr>
          <w:rFonts w:ascii="仿宋_GB2312" w:eastAsia="仿宋_GB2312" w:hint="eastAsia"/>
          <w:sz w:val="28"/>
        </w:rPr>
        <w:t>（万元）</w:t>
      </w:r>
    </w:p>
    <w:p w14:paraId="30B10D27" w14:textId="77777777" w:rsidR="0062768B" w:rsidRDefault="00136729">
      <w:pPr>
        <w:spacing w:line="300" w:lineRule="auto"/>
        <w:ind w:firstLineChars="200" w:firstLine="560"/>
        <w:jc w:val="both"/>
        <w:rPr>
          <w:rFonts w:ascii="Arial" w:eastAsia="仿宋" w:hAnsi="Arial" w:cs="Arial"/>
          <w:sz w:val="28"/>
        </w:rPr>
      </w:pPr>
      <w:r>
        <w:rPr>
          <w:rFonts w:ascii="Arial" w:eastAsia="仿宋" w:hAnsi="Arial" w:cs="Arial" w:hint="eastAsia"/>
          <w:sz w:val="28"/>
        </w:rPr>
        <w:t>楼面熟地价</w:t>
      </w:r>
      <w:r>
        <w:rPr>
          <w:rFonts w:ascii="Arial" w:eastAsia="仿宋" w:hAnsi="Arial" w:cs="Arial"/>
          <w:sz w:val="28"/>
        </w:rPr>
        <w:t>=</w:t>
      </w:r>
      <w:r>
        <w:rPr>
          <w:rFonts w:ascii="Arial" w:eastAsia="仿宋" w:hAnsi="Arial" w:cs="Arial"/>
          <w:sz w:val="28"/>
        </w:rPr>
        <w:t>土地价格</w:t>
      </w:r>
      <w:r>
        <w:rPr>
          <w:rFonts w:ascii="Arial" w:eastAsia="仿宋" w:hAnsi="Arial" w:cs="Arial"/>
          <w:sz w:val="28"/>
        </w:rPr>
        <w:t>÷</w:t>
      </w:r>
      <w:r>
        <w:rPr>
          <w:rFonts w:ascii="Arial" w:eastAsia="仿宋" w:hAnsi="Arial" w:cs="Arial" w:hint="eastAsia"/>
          <w:sz w:val="28"/>
        </w:rPr>
        <w:t>住宅用房建筑</w:t>
      </w:r>
      <w:r>
        <w:rPr>
          <w:rFonts w:ascii="Arial" w:eastAsia="仿宋" w:hAnsi="Arial" w:cs="Arial"/>
          <w:sz w:val="28"/>
        </w:rPr>
        <w:t>面积</w:t>
      </w:r>
      <w:r>
        <w:rPr>
          <w:rFonts w:ascii="Arial" w:eastAsia="仿宋" w:hAnsi="Arial" w:cs="Arial"/>
          <w:sz w:val="28"/>
        </w:rPr>
        <w:t>×10000</w:t>
      </w:r>
    </w:p>
    <w:p w14:paraId="13526CBC" w14:textId="77777777" w:rsidR="0062768B" w:rsidRDefault="00136729">
      <w:pPr>
        <w:spacing w:line="300" w:lineRule="auto"/>
        <w:ind w:firstLineChars="200" w:firstLine="560"/>
        <w:jc w:val="both"/>
        <w:rPr>
          <w:rFonts w:ascii="Arial" w:eastAsia="仿宋" w:hAnsi="Arial" w:cs="Arial"/>
          <w:sz w:val="28"/>
        </w:rPr>
      </w:pPr>
      <w:r>
        <w:rPr>
          <w:rFonts w:ascii="Arial" w:eastAsia="仿宋" w:hAnsi="Arial" w:cs="Arial"/>
          <w:sz w:val="28"/>
        </w:rPr>
        <w:t>=</w:t>
      </w:r>
      <w:r>
        <w:rPr>
          <w:rFonts w:ascii="Arial" w:eastAsia="仿宋_GB2312" w:hAnsi="Arial"/>
          <w:sz w:val="28"/>
        </w:rPr>
        <w:t>125796.9707</w:t>
      </w:r>
      <w:r>
        <w:rPr>
          <w:rFonts w:ascii="Arial" w:eastAsia="仿宋" w:hAnsi="Arial" w:cs="Arial"/>
          <w:sz w:val="28"/>
        </w:rPr>
        <w:t>÷68148.54×10000</w:t>
      </w:r>
    </w:p>
    <w:p w14:paraId="5C221A6C" w14:textId="77777777" w:rsidR="0062768B" w:rsidRDefault="00136729">
      <w:pPr>
        <w:spacing w:beforeLines="50" w:before="120" w:afterLines="50" w:after="120" w:line="300" w:lineRule="auto"/>
        <w:ind w:firstLineChars="200" w:firstLine="560"/>
        <w:rPr>
          <w:rFonts w:ascii="Arial" w:eastAsia="仿宋_GB2312" w:hAnsi="Arial" w:cs="Arial"/>
          <w:sz w:val="28"/>
        </w:rPr>
      </w:pPr>
      <w:r>
        <w:rPr>
          <w:rFonts w:ascii="Arial" w:eastAsia="仿宋" w:hAnsi="Arial" w:cs="Arial"/>
          <w:sz w:val="28"/>
        </w:rPr>
        <w:t>=18459</w:t>
      </w:r>
      <w:r>
        <w:rPr>
          <w:rFonts w:ascii="Arial" w:eastAsia="仿宋" w:hAnsi="Arial" w:cs="Arial"/>
          <w:sz w:val="28"/>
        </w:rPr>
        <w:t>（元</w:t>
      </w:r>
      <w:r>
        <w:rPr>
          <w:rFonts w:ascii="Arial" w:eastAsia="仿宋" w:hAnsi="Arial" w:cs="Arial"/>
          <w:sz w:val="28"/>
        </w:rPr>
        <w:t>/</w:t>
      </w:r>
      <w:r>
        <w:rPr>
          <w:rFonts w:ascii="Arial" w:eastAsia="仿宋" w:hAnsi="Arial" w:cs="Arial"/>
          <w:sz w:val="28"/>
        </w:rPr>
        <w:t>平方米）</w:t>
      </w:r>
    </w:p>
    <w:p w14:paraId="235C8EEE" w14:textId="77777777" w:rsidR="0062768B" w:rsidRDefault="0062768B">
      <w:pPr>
        <w:spacing w:before="50" w:after="50" w:line="300" w:lineRule="auto"/>
        <w:ind w:firstLineChars="200" w:firstLine="560"/>
        <w:rPr>
          <w:rFonts w:ascii="Arial" w:eastAsia="仿宋_GB2312" w:hAnsi="Arial" w:cs="Arial"/>
          <w:sz w:val="28"/>
        </w:rPr>
      </w:pPr>
    </w:p>
    <w:p w14:paraId="30E4174E" w14:textId="77777777" w:rsidR="0062768B" w:rsidRDefault="00136729">
      <w:pPr>
        <w:spacing w:before="50" w:after="50" w:line="300" w:lineRule="auto"/>
        <w:ind w:firstLineChars="200" w:firstLine="560"/>
        <w:jc w:val="center"/>
        <w:rPr>
          <w:rFonts w:ascii="Arial" w:eastAsia="仿宋_GB2312" w:hAnsi="Arial" w:cs="Arial"/>
          <w:sz w:val="28"/>
        </w:rPr>
      </w:pPr>
      <w:r>
        <w:rPr>
          <w:rFonts w:ascii="Arial" w:eastAsia="仿宋_GB2312" w:hAnsi="Arial" w:cs="Arial"/>
          <w:sz w:val="28"/>
        </w:rPr>
        <w:br w:type="page"/>
      </w:r>
      <w:r>
        <w:rPr>
          <w:rFonts w:ascii="Arial" w:eastAsia="仿宋_GB2312" w:hAnsi="Arial" w:cs="Arial"/>
          <w:sz w:val="28"/>
        </w:rPr>
        <w:lastRenderedPageBreak/>
        <w:t>剩余法测算表（住宅）</w:t>
      </w:r>
    </w:p>
    <w:tbl>
      <w:tblPr>
        <w:tblW w:w="907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601"/>
        <w:gridCol w:w="2377"/>
        <w:gridCol w:w="1343"/>
        <w:gridCol w:w="1150"/>
        <w:gridCol w:w="717"/>
        <w:gridCol w:w="1002"/>
        <w:gridCol w:w="1882"/>
      </w:tblGrid>
      <w:tr w:rsidR="0062768B" w14:paraId="297E32B8" w14:textId="77777777">
        <w:trPr>
          <w:cantSplit/>
          <w:tblHeader/>
          <w:jc w:val="center"/>
        </w:trPr>
        <w:tc>
          <w:tcPr>
            <w:tcW w:w="331" w:type="pct"/>
            <w:shd w:val="clear" w:color="auto" w:fill="auto"/>
            <w:noWrap/>
            <w:vAlign w:val="center"/>
          </w:tcPr>
          <w:p w14:paraId="395ED2D1"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序号</w:t>
            </w:r>
          </w:p>
        </w:tc>
        <w:tc>
          <w:tcPr>
            <w:tcW w:w="1310" w:type="pct"/>
            <w:shd w:val="clear" w:color="auto" w:fill="auto"/>
            <w:noWrap/>
            <w:vAlign w:val="center"/>
          </w:tcPr>
          <w:p w14:paraId="05CA80B5"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项目名称</w:t>
            </w:r>
          </w:p>
        </w:tc>
        <w:tc>
          <w:tcPr>
            <w:tcW w:w="740" w:type="pct"/>
            <w:shd w:val="clear" w:color="auto" w:fill="auto"/>
            <w:noWrap/>
            <w:vAlign w:val="center"/>
          </w:tcPr>
          <w:p w14:paraId="44B85EFE"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总额</w:t>
            </w:r>
          </w:p>
        </w:tc>
        <w:tc>
          <w:tcPr>
            <w:tcW w:w="634" w:type="pct"/>
            <w:shd w:val="clear" w:color="auto" w:fill="auto"/>
            <w:noWrap/>
            <w:vAlign w:val="center"/>
          </w:tcPr>
          <w:p w14:paraId="70211BCC"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面积</w:t>
            </w:r>
          </w:p>
        </w:tc>
        <w:tc>
          <w:tcPr>
            <w:tcW w:w="395" w:type="pct"/>
            <w:shd w:val="clear" w:color="auto" w:fill="auto"/>
            <w:noWrap/>
            <w:vAlign w:val="center"/>
          </w:tcPr>
          <w:p w14:paraId="41346608"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单价</w:t>
            </w:r>
          </w:p>
        </w:tc>
        <w:tc>
          <w:tcPr>
            <w:tcW w:w="552" w:type="pct"/>
            <w:shd w:val="clear" w:color="auto" w:fill="auto"/>
            <w:noWrap/>
            <w:vAlign w:val="center"/>
          </w:tcPr>
          <w:p w14:paraId="123B23BD"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相关系数</w:t>
            </w:r>
          </w:p>
        </w:tc>
        <w:tc>
          <w:tcPr>
            <w:tcW w:w="1037" w:type="pct"/>
          </w:tcPr>
          <w:p w14:paraId="01D6D38B"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备注</w:t>
            </w:r>
          </w:p>
        </w:tc>
      </w:tr>
      <w:tr w:rsidR="0062768B" w14:paraId="591330A1" w14:textId="77777777">
        <w:trPr>
          <w:cantSplit/>
          <w:jc w:val="center"/>
        </w:trPr>
        <w:tc>
          <w:tcPr>
            <w:tcW w:w="331" w:type="pct"/>
            <w:shd w:val="clear" w:color="auto" w:fill="auto"/>
            <w:noWrap/>
            <w:vAlign w:val="center"/>
          </w:tcPr>
          <w:p w14:paraId="696C91AA"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1</w:t>
            </w:r>
          </w:p>
        </w:tc>
        <w:tc>
          <w:tcPr>
            <w:tcW w:w="1310" w:type="pct"/>
            <w:shd w:val="clear" w:color="auto" w:fill="auto"/>
            <w:noWrap/>
            <w:vAlign w:val="center"/>
          </w:tcPr>
          <w:p w14:paraId="051D08EB"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开发完成后不动产总价</w:t>
            </w:r>
          </w:p>
        </w:tc>
        <w:tc>
          <w:tcPr>
            <w:tcW w:w="740" w:type="pct"/>
            <w:shd w:val="clear" w:color="auto" w:fill="auto"/>
            <w:noWrap/>
            <w:vAlign w:val="center"/>
          </w:tcPr>
          <w:p w14:paraId="45EBD0E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267557.9829</w:t>
            </w:r>
          </w:p>
        </w:tc>
        <w:tc>
          <w:tcPr>
            <w:tcW w:w="634" w:type="pct"/>
            <w:shd w:val="clear" w:color="auto" w:fill="auto"/>
            <w:noWrap/>
            <w:vAlign w:val="center"/>
          </w:tcPr>
          <w:p w14:paraId="02B9E3DF"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68148.54</w:t>
            </w:r>
          </w:p>
        </w:tc>
        <w:tc>
          <w:tcPr>
            <w:tcW w:w="395" w:type="pct"/>
            <w:shd w:val="clear" w:color="auto" w:fill="auto"/>
            <w:noWrap/>
            <w:vAlign w:val="center"/>
          </w:tcPr>
          <w:p w14:paraId="30678D1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392</w:t>
            </w:r>
            <w:r>
              <w:rPr>
                <w:rFonts w:ascii="Arial" w:eastAsia="仿宋" w:hAnsi="Arial" w:cs="Arial" w:hint="eastAsia"/>
                <w:bCs/>
                <w:sz w:val="21"/>
                <w:szCs w:val="21"/>
              </w:rPr>
              <w:t>61</w:t>
            </w:r>
          </w:p>
        </w:tc>
        <w:tc>
          <w:tcPr>
            <w:tcW w:w="552" w:type="pct"/>
            <w:shd w:val="clear" w:color="auto" w:fill="auto"/>
            <w:noWrap/>
            <w:vAlign w:val="center"/>
          </w:tcPr>
          <w:p w14:paraId="0F9CBC92" w14:textId="77777777" w:rsidR="0062768B" w:rsidRDefault="0062768B">
            <w:pPr>
              <w:widowControl/>
              <w:adjustRightInd/>
              <w:spacing w:line="240" w:lineRule="exact"/>
              <w:textAlignment w:val="auto"/>
              <w:rPr>
                <w:rFonts w:ascii="Arial" w:eastAsia="仿宋" w:hAnsi="Arial" w:cs="Arial"/>
                <w:bCs/>
                <w:sz w:val="21"/>
                <w:szCs w:val="21"/>
              </w:rPr>
            </w:pPr>
          </w:p>
        </w:tc>
        <w:tc>
          <w:tcPr>
            <w:tcW w:w="1037" w:type="pct"/>
          </w:tcPr>
          <w:p w14:paraId="0AFAF845" w14:textId="77777777" w:rsidR="0062768B" w:rsidRDefault="0062768B">
            <w:pPr>
              <w:widowControl/>
              <w:adjustRightInd/>
              <w:spacing w:line="240" w:lineRule="exact"/>
              <w:textAlignment w:val="auto"/>
              <w:rPr>
                <w:rFonts w:ascii="Arial" w:eastAsia="仿宋" w:hAnsi="Arial" w:cs="Arial"/>
                <w:bCs/>
                <w:sz w:val="21"/>
                <w:szCs w:val="21"/>
              </w:rPr>
            </w:pPr>
          </w:p>
        </w:tc>
      </w:tr>
      <w:tr w:rsidR="0062768B" w14:paraId="5710D809" w14:textId="77777777">
        <w:trPr>
          <w:cantSplit/>
          <w:jc w:val="center"/>
        </w:trPr>
        <w:tc>
          <w:tcPr>
            <w:tcW w:w="331" w:type="pct"/>
            <w:shd w:val="clear" w:color="auto" w:fill="auto"/>
            <w:vAlign w:val="center"/>
          </w:tcPr>
          <w:p w14:paraId="503D67DB"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2</w:t>
            </w:r>
          </w:p>
        </w:tc>
        <w:tc>
          <w:tcPr>
            <w:tcW w:w="1310" w:type="pct"/>
            <w:shd w:val="clear" w:color="auto" w:fill="auto"/>
            <w:noWrap/>
            <w:vAlign w:val="center"/>
          </w:tcPr>
          <w:p w14:paraId="5EC60E74"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开发成本</w:t>
            </w:r>
          </w:p>
        </w:tc>
        <w:tc>
          <w:tcPr>
            <w:tcW w:w="740" w:type="pct"/>
            <w:shd w:val="clear" w:color="auto" w:fill="auto"/>
            <w:noWrap/>
            <w:vAlign w:val="center"/>
          </w:tcPr>
          <w:p w14:paraId="6F25666F"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 xml:space="preserve">67839.4099 </w:t>
            </w:r>
            <w:r>
              <w:rPr>
                <w:rFonts w:ascii="Arial" w:eastAsia="仿宋" w:hAnsi="Arial" w:cs="Arial" w:hint="eastAsia"/>
                <w:bCs/>
                <w:sz w:val="21"/>
                <w:szCs w:val="21"/>
              </w:rPr>
              <w:t>+</w:t>
            </w:r>
            <w:r>
              <w:rPr>
                <w:rFonts w:ascii="Arial" w:eastAsia="仿宋" w:hAnsi="Arial" w:cs="Arial"/>
                <w:bCs/>
                <w:sz w:val="21"/>
                <w:szCs w:val="21"/>
              </w:rPr>
              <w:t>0.1573P</w:t>
            </w:r>
            <w:r>
              <w:rPr>
                <w:rFonts w:ascii="Arial" w:eastAsia="仿宋" w:hAnsi="Arial" w:cs="Arial"/>
                <w:bCs/>
                <w:sz w:val="21"/>
                <w:szCs w:val="21"/>
                <w:vertAlign w:val="subscript"/>
              </w:rPr>
              <w:t>土</w:t>
            </w:r>
          </w:p>
        </w:tc>
        <w:tc>
          <w:tcPr>
            <w:tcW w:w="634" w:type="pct"/>
            <w:shd w:val="clear" w:color="auto" w:fill="auto"/>
            <w:noWrap/>
            <w:vAlign w:val="center"/>
          </w:tcPr>
          <w:p w14:paraId="08D7988E"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5204262C"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043954BB" w14:textId="77777777" w:rsidR="0062768B" w:rsidRDefault="0062768B">
            <w:pPr>
              <w:widowControl/>
              <w:adjustRightInd/>
              <w:spacing w:line="240" w:lineRule="exact"/>
              <w:textAlignment w:val="auto"/>
              <w:rPr>
                <w:rFonts w:ascii="Arial" w:eastAsia="仿宋" w:hAnsi="Arial" w:cs="Arial"/>
                <w:bCs/>
                <w:sz w:val="21"/>
                <w:szCs w:val="21"/>
              </w:rPr>
            </w:pPr>
          </w:p>
        </w:tc>
        <w:tc>
          <w:tcPr>
            <w:tcW w:w="1037" w:type="pct"/>
          </w:tcPr>
          <w:p w14:paraId="26744F3F"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1</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8</w:t>
            </w:r>
            <w:r>
              <w:rPr>
                <w:rFonts w:ascii="Arial" w:eastAsia="仿宋" w:hAnsi="Arial" w:cs="Arial"/>
                <w:bCs/>
                <w:sz w:val="21"/>
                <w:szCs w:val="21"/>
              </w:rPr>
              <w:t>）之和</w:t>
            </w:r>
          </w:p>
        </w:tc>
      </w:tr>
      <w:tr w:rsidR="0062768B" w14:paraId="1D326949" w14:textId="77777777">
        <w:trPr>
          <w:cantSplit/>
          <w:jc w:val="center"/>
        </w:trPr>
        <w:tc>
          <w:tcPr>
            <w:tcW w:w="331" w:type="pct"/>
            <w:shd w:val="clear" w:color="auto" w:fill="auto"/>
            <w:noWrap/>
            <w:vAlign w:val="center"/>
          </w:tcPr>
          <w:p w14:paraId="3C3CBB4B"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1</w:t>
            </w:r>
            <w:r>
              <w:rPr>
                <w:rFonts w:ascii="Arial" w:eastAsia="仿宋" w:hAnsi="Arial" w:cs="Arial"/>
                <w:bCs/>
                <w:sz w:val="21"/>
                <w:szCs w:val="21"/>
              </w:rPr>
              <w:t>）</w:t>
            </w:r>
          </w:p>
        </w:tc>
        <w:tc>
          <w:tcPr>
            <w:tcW w:w="1310" w:type="pct"/>
            <w:shd w:val="clear" w:color="auto" w:fill="auto"/>
            <w:noWrap/>
            <w:vAlign w:val="center"/>
          </w:tcPr>
          <w:p w14:paraId="00EA06EA"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房屋建造成本</w:t>
            </w:r>
          </w:p>
        </w:tc>
        <w:tc>
          <w:tcPr>
            <w:tcW w:w="740" w:type="pct"/>
            <w:shd w:val="clear" w:color="auto" w:fill="auto"/>
            <w:noWrap/>
            <w:vAlign w:val="center"/>
          </w:tcPr>
          <w:p w14:paraId="2D17EA3E"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36851.3230</w:t>
            </w:r>
          </w:p>
        </w:tc>
        <w:tc>
          <w:tcPr>
            <w:tcW w:w="634" w:type="pct"/>
            <w:shd w:val="clear" w:color="auto" w:fill="auto"/>
            <w:noWrap/>
            <w:vAlign w:val="center"/>
          </w:tcPr>
          <w:p w14:paraId="09821EF3"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5FEA07C3"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30389DDE" w14:textId="77777777" w:rsidR="0062768B" w:rsidRDefault="0062768B">
            <w:pPr>
              <w:widowControl/>
              <w:adjustRightInd/>
              <w:spacing w:line="240" w:lineRule="exact"/>
              <w:textAlignment w:val="auto"/>
              <w:rPr>
                <w:rFonts w:ascii="Arial" w:eastAsia="仿宋" w:hAnsi="Arial" w:cs="Arial"/>
                <w:bCs/>
                <w:sz w:val="21"/>
                <w:szCs w:val="21"/>
              </w:rPr>
            </w:pPr>
          </w:p>
        </w:tc>
        <w:tc>
          <w:tcPr>
            <w:tcW w:w="1037" w:type="pct"/>
          </w:tcPr>
          <w:p w14:paraId="070D1D8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下述</w:t>
            </w:r>
            <w:r>
              <w:rPr>
                <w:rFonts w:ascii="Arial" w:eastAsia="仿宋" w:hAnsi="Arial" w:cs="Arial"/>
                <w:sz w:val="21"/>
                <w:szCs w:val="21"/>
              </w:rPr>
              <w:t>5</w:t>
            </w:r>
            <w:r>
              <w:rPr>
                <w:rFonts w:ascii="Arial" w:eastAsia="仿宋" w:hAnsi="Arial" w:cs="Arial"/>
                <w:sz w:val="21"/>
                <w:szCs w:val="21"/>
              </w:rPr>
              <w:t>项之和</w:t>
            </w:r>
          </w:p>
        </w:tc>
      </w:tr>
      <w:tr w:rsidR="0062768B" w14:paraId="002C4839" w14:textId="77777777">
        <w:trPr>
          <w:cantSplit/>
          <w:jc w:val="center"/>
        </w:trPr>
        <w:tc>
          <w:tcPr>
            <w:tcW w:w="331" w:type="pct"/>
            <w:shd w:val="clear" w:color="auto" w:fill="auto"/>
            <w:noWrap/>
            <w:vAlign w:val="center"/>
          </w:tcPr>
          <w:p w14:paraId="31FDD39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w:t>
            </w:r>
          </w:p>
        </w:tc>
        <w:tc>
          <w:tcPr>
            <w:tcW w:w="1310" w:type="pct"/>
            <w:shd w:val="clear" w:color="auto" w:fill="auto"/>
            <w:noWrap/>
            <w:vAlign w:val="center"/>
          </w:tcPr>
          <w:p w14:paraId="71A9FE1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建安费用</w:t>
            </w:r>
          </w:p>
        </w:tc>
        <w:tc>
          <w:tcPr>
            <w:tcW w:w="740" w:type="pct"/>
            <w:shd w:val="clear" w:color="auto" w:fill="auto"/>
            <w:noWrap/>
            <w:vAlign w:val="center"/>
          </w:tcPr>
          <w:p w14:paraId="2184F2A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30666.8430</w:t>
            </w:r>
          </w:p>
        </w:tc>
        <w:tc>
          <w:tcPr>
            <w:tcW w:w="634" w:type="pct"/>
            <w:shd w:val="clear" w:color="auto" w:fill="auto"/>
            <w:noWrap/>
            <w:vAlign w:val="center"/>
          </w:tcPr>
          <w:p w14:paraId="045E8D5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bCs/>
                <w:sz w:val="21"/>
                <w:szCs w:val="21"/>
              </w:rPr>
              <w:t>68148.54</w:t>
            </w:r>
          </w:p>
        </w:tc>
        <w:tc>
          <w:tcPr>
            <w:tcW w:w="395" w:type="pct"/>
            <w:shd w:val="clear" w:color="auto" w:fill="auto"/>
            <w:noWrap/>
            <w:vAlign w:val="center"/>
          </w:tcPr>
          <w:p w14:paraId="3A605EA7"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4500</w:t>
            </w:r>
          </w:p>
        </w:tc>
        <w:tc>
          <w:tcPr>
            <w:tcW w:w="552" w:type="pct"/>
            <w:shd w:val="clear" w:color="auto" w:fill="auto"/>
            <w:noWrap/>
            <w:vAlign w:val="center"/>
          </w:tcPr>
          <w:p w14:paraId="1E1BFAAC" w14:textId="77777777" w:rsidR="0062768B" w:rsidRDefault="0062768B">
            <w:pPr>
              <w:widowControl/>
              <w:adjustRightInd/>
              <w:spacing w:line="240" w:lineRule="exact"/>
              <w:textAlignment w:val="auto"/>
              <w:rPr>
                <w:rFonts w:ascii="Arial" w:eastAsia="仿宋" w:hAnsi="Arial" w:cs="Arial"/>
                <w:sz w:val="21"/>
                <w:szCs w:val="21"/>
              </w:rPr>
            </w:pPr>
          </w:p>
        </w:tc>
        <w:tc>
          <w:tcPr>
            <w:tcW w:w="1037" w:type="pct"/>
          </w:tcPr>
          <w:p w14:paraId="326C4F55" w14:textId="77777777" w:rsidR="0062768B" w:rsidRDefault="0062768B">
            <w:pPr>
              <w:widowControl/>
              <w:adjustRightInd/>
              <w:spacing w:line="240" w:lineRule="exact"/>
              <w:textAlignment w:val="auto"/>
              <w:rPr>
                <w:rFonts w:ascii="Arial" w:eastAsia="仿宋" w:hAnsi="Arial" w:cs="Arial"/>
                <w:bCs/>
                <w:sz w:val="21"/>
                <w:szCs w:val="21"/>
              </w:rPr>
            </w:pPr>
          </w:p>
        </w:tc>
      </w:tr>
      <w:tr w:rsidR="0062768B" w14:paraId="36837B2B" w14:textId="77777777">
        <w:trPr>
          <w:cantSplit/>
          <w:jc w:val="center"/>
        </w:trPr>
        <w:tc>
          <w:tcPr>
            <w:tcW w:w="331" w:type="pct"/>
            <w:shd w:val="clear" w:color="auto" w:fill="auto"/>
            <w:noWrap/>
            <w:vAlign w:val="center"/>
          </w:tcPr>
          <w:p w14:paraId="3DDB6C1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w:t>
            </w:r>
          </w:p>
        </w:tc>
        <w:tc>
          <w:tcPr>
            <w:tcW w:w="1310" w:type="pct"/>
            <w:shd w:val="clear" w:color="auto" w:fill="auto"/>
            <w:noWrap/>
            <w:vAlign w:val="center"/>
          </w:tcPr>
          <w:p w14:paraId="25CF008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勘察设计和前期工程费</w:t>
            </w:r>
          </w:p>
        </w:tc>
        <w:tc>
          <w:tcPr>
            <w:tcW w:w="740" w:type="pct"/>
            <w:shd w:val="clear" w:color="auto" w:fill="auto"/>
            <w:noWrap/>
            <w:vAlign w:val="center"/>
          </w:tcPr>
          <w:p w14:paraId="1154368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1533.3422 </w:t>
            </w:r>
          </w:p>
        </w:tc>
        <w:tc>
          <w:tcPr>
            <w:tcW w:w="634" w:type="pct"/>
            <w:shd w:val="clear" w:color="auto" w:fill="auto"/>
            <w:noWrap/>
            <w:vAlign w:val="center"/>
          </w:tcPr>
          <w:p w14:paraId="66BC99B4"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6C618539"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7440DF0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hint="eastAsia"/>
                <w:sz w:val="21"/>
                <w:szCs w:val="21"/>
              </w:rPr>
              <w:t>5</w:t>
            </w:r>
            <w:r>
              <w:rPr>
                <w:rFonts w:ascii="Arial" w:eastAsia="仿宋" w:hAnsi="Arial" w:cs="Arial"/>
                <w:sz w:val="21"/>
                <w:szCs w:val="21"/>
              </w:rPr>
              <w:t>%</w:t>
            </w:r>
          </w:p>
        </w:tc>
        <w:tc>
          <w:tcPr>
            <w:tcW w:w="1037" w:type="pct"/>
          </w:tcPr>
          <w:p w14:paraId="77BA05F5"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以建安费用为基数计取</w:t>
            </w:r>
          </w:p>
        </w:tc>
      </w:tr>
      <w:tr w:rsidR="0062768B" w14:paraId="39A9793A" w14:textId="77777777">
        <w:trPr>
          <w:cantSplit/>
          <w:jc w:val="center"/>
        </w:trPr>
        <w:tc>
          <w:tcPr>
            <w:tcW w:w="331" w:type="pct"/>
            <w:shd w:val="clear" w:color="auto" w:fill="auto"/>
            <w:noWrap/>
            <w:vAlign w:val="center"/>
          </w:tcPr>
          <w:p w14:paraId="6D19018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3</w:t>
            </w:r>
            <w:r>
              <w:rPr>
                <w:rFonts w:ascii="Arial" w:eastAsia="仿宋" w:hAnsi="Arial" w:cs="Arial"/>
                <w:sz w:val="21"/>
                <w:szCs w:val="21"/>
              </w:rPr>
              <w:t>）</w:t>
            </w:r>
          </w:p>
        </w:tc>
        <w:tc>
          <w:tcPr>
            <w:tcW w:w="1310" w:type="pct"/>
            <w:shd w:val="clear" w:color="auto" w:fill="auto"/>
            <w:noWrap/>
            <w:vAlign w:val="center"/>
          </w:tcPr>
          <w:p w14:paraId="735B866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公共配套设施费用</w:t>
            </w:r>
          </w:p>
        </w:tc>
        <w:tc>
          <w:tcPr>
            <w:tcW w:w="740" w:type="pct"/>
            <w:shd w:val="clear" w:color="auto" w:fill="auto"/>
            <w:noWrap/>
            <w:vAlign w:val="center"/>
          </w:tcPr>
          <w:p w14:paraId="193F333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2146.6790 </w:t>
            </w:r>
          </w:p>
        </w:tc>
        <w:tc>
          <w:tcPr>
            <w:tcW w:w="634" w:type="pct"/>
            <w:shd w:val="clear" w:color="auto" w:fill="auto"/>
            <w:noWrap/>
            <w:vAlign w:val="center"/>
          </w:tcPr>
          <w:p w14:paraId="289DC30B"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47503797"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6B71775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hint="eastAsia"/>
                <w:sz w:val="21"/>
                <w:szCs w:val="21"/>
              </w:rPr>
              <w:t>7%</w:t>
            </w:r>
          </w:p>
        </w:tc>
        <w:tc>
          <w:tcPr>
            <w:tcW w:w="1037" w:type="pct"/>
          </w:tcPr>
          <w:p w14:paraId="7AFC3C7D"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以住宅用房建安费用为基数计取</w:t>
            </w:r>
          </w:p>
        </w:tc>
      </w:tr>
      <w:tr w:rsidR="0062768B" w14:paraId="58545ACC" w14:textId="77777777">
        <w:trPr>
          <w:cantSplit/>
          <w:jc w:val="center"/>
        </w:trPr>
        <w:tc>
          <w:tcPr>
            <w:tcW w:w="331" w:type="pct"/>
            <w:shd w:val="clear" w:color="auto" w:fill="auto"/>
            <w:noWrap/>
            <w:vAlign w:val="center"/>
          </w:tcPr>
          <w:p w14:paraId="359C7C9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4</w:t>
            </w:r>
            <w:r>
              <w:rPr>
                <w:rFonts w:ascii="Arial" w:eastAsia="仿宋" w:hAnsi="Arial" w:cs="Arial"/>
                <w:sz w:val="21"/>
                <w:szCs w:val="21"/>
              </w:rPr>
              <w:t>）</w:t>
            </w:r>
          </w:p>
        </w:tc>
        <w:tc>
          <w:tcPr>
            <w:tcW w:w="1310" w:type="pct"/>
            <w:shd w:val="clear" w:color="auto" w:fill="auto"/>
            <w:noWrap/>
            <w:vAlign w:val="center"/>
          </w:tcPr>
          <w:p w14:paraId="4F65650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红线内市政费用</w:t>
            </w:r>
          </w:p>
        </w:tc>
        <w:tc>
          <w:tcPr>
            <w:tcW w:w="740" w:type="pct"/>
            <w:shd w:val="clear" w:color="auto" w:fill="auto"/>
            <w:noWrap/>
            <w:vAlign w:val="center"/>
          </w:tcPr>
          <w:p w14:paraId="7FE0CC9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2044.4562 </w:t>
            </w:r>
          </w:p>
        </w:tc>
        <w:tc>
          <w:tcPr>
            <w:tcW w:w="634" w:type="pct"/>
            <w:shd w:val="clear" w:color="auto" w:fill="auto"/>
            <w:noWrap/>
            <w:vAlign w:val="center"/>
          </w:tcPr>
          <w:p w14:paraId="6E16FA3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bCs/>
                <w:sz w:val="21"/>
                <w:szCs w:val="21"/>
              </w:rPr>
              <w:t>68148.54</w:t>
            </w:r>
          </w:p>
        </w:tc>
        <w:tc>
          <w:tcPr>
            <w:tcW w:w="395" w:type="pct"/>
            <w:shd w:val="clear" w:color="auto" w:fill="auto"/>
            <w:noWrap/>
            <w:vAlign w:val="center"/>
          </w:tcPr>
          <w:p w14:paraId="028A76B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hint="eastAsia"/>
                <w:sz w:val="21"/>
                <w:szCs w:val="21"/>
              </w:rPr>
              <w:t>3</w:t>
            </w:r>
            <w:r>
              <w:rPr>
                <w:rFonts w:ascii="Arial" w:eastAsia="仿宋" w:hAnsi="Arial" w:cs="Arial"/>
                <w:sz w:val="21"/>
                <w:szCs w:val="21"/>
              </w:rPr>
              <w:t>00</w:t>
            </w:r>
          </w:p>
        </w:tc>
        <w:tc>
          <w:tcPr>
            <w:tcW w:w="552" w:type="pct"/>
            <w:shd w:val="clear" w:color="auto" w:fill="auto"/>
            <w:noWrap/>
            <w:vAlign w:val="center"/>
          </w:tcPr>
          <w:p w14:paraId="14F7FBE8" w14:textId="77777777" w:rsidR="0062768B" w:rsidRDefault="0062768B">
            <w:pPr>
              <w:widowControl/>
              <w:adjustRightInd/>
              <w:spacing w:line="240" w:lineRule="exact"/>
              <w:textAlignment w:val="auto"/>
              <w:rPr>
                <w:rFonts w:ascii="Arial" w:eastAsia="仿宋" w:hAnsi="Arial" w:cs="Arial"/>
                <w:sz w:val="21"/>
                <w:szCs w:val="21"/>
              </w:rPr>
            </w:pPr>
          </w:p>
        </w:tc>
        <w:tc>
          <w:tcPr>
            <w:tcW w:w="1037" w:type="pct"/>
          </w:tcPr>
          <w:p w14:paraId="0887AF15" w14:textId="77777777" w:rsidR="0062768B" w:rsidRDefault="0062768B">
            <w:pPr>
              <w:widowControl/>
              <w:adjustRightInd/>
              <w:spacing w:line="240" w:lineRule="exact"/>
              <w:textAlignment w:val="auto"/>
              <w:rPr>
                <w:rFonts w:ascii="Arial" w:eastAsia="仿宋" w:hAnsi="Arial" w:cs="Arial"/>
                <w:bCs/>
                <w:sz w:val="21"/>
                <w:szCs w:val="21"/>
              </w:rPr>
            </w:pPr>
          </w:p>
        </w:tc>
      </w:tr>
      <w:tr w:rsidR="0062768B" w14:paraId="14E92E1D" w14:textId="77777777">
        <w:trPr>
          <w:cantSplit/>
          <w:jc w:val="center"/>
        </w:trPr>
        <w:tc>
          <w:tcPr>
            <w:tcW w:w="331" w:type="pct"/>
            <w:shd w:val="clear" w:color="auto" w:fill="auto"/>
            <w:noWrap/>
            <w:vAlign w:val="center"/>
          </w:tcPr>
          <w:p w14:paraId="372C175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r>
              <w:rPr>
                <w:rFonts w:ascii="Arial" w:eastAsia="仿宋" w:hAnsi="Arial" w:cs="Arial"/>
                <w:sz w:val="21"/>
                <w:szCs w:val="21"/>
              </w:rPr>
              <w:t>）</w:t>
            </w:r>
          </w:p>
        </w:tc>
        <w:tc>
          <w:tcPr>
            <w:tcW w:w="1310" w:type="pct"/>
            <w:shd w:val="clear" w:color="auto" w:fill="auto"/>
            <w:noWrap/>
            <w:vAlign w:val="center"/>
          </w:tcPr>
          <w:p w14:paraId="3188D05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相关税费</w:t>
            </w:r>
          </w:p>
        </w:tc>
        <w:tc>
          <w:tcPr>
            <w:tcW w:w="740" w:type="pct"/>
            <w:shd w:val="clear" w:color="auto" w:fill="auto"/>
            <w:noWrap/>
            <w:vAlign w:val="center"/>
          </w:tcPr>
          <w:p w14:paraId="68AD114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460.0026 </w:t>
            </w:r>
          </w:p>
        </w:tc>
        <w:tc>
          <w:tcPr>
            <w:tcW w:w="634" w:type="pct"/>
            <w:shd w:val="clear" w:color="auto" w:fill="auto"/>
            <w:noWrap/>
            <w:vAlign w:val="center"/>
          </w:tcPr>
          <w:p w14:paraId="527D1781"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23FB7E9D"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0235233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1.5%</w:t>
            </w:r>
          </w:p>
        </w:tc>
        <w:tc>
          <w:tcPr>
            <w:tcW w:w="1037" w:type="pct"/>
            <w:vAlign w:val="center"/>
          </w:tcPr>
          <w:p w14:paraId="4B94576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以建安费用为基数计取</w:t>
            </w:r>
          </w:p>
        </w:tc>
      </w:tr>
      <w:tr w:rsidR="0062768B" w14:paraId="704F32CD" w14:textId="77777777">
        <w:trPr>
          <w:cantSplit/>
          <w:jc w:val="center"/>
        </w:trPr>
        <w:tc>
          <w:tcPr>
            <w:tcW w:w="331" w:type="pct"/>
            <w:shd w:val="clear" w:color="auto" w:fill="auto"/>
            <w:noWrap/>
            <w:vAlign w:val="center"/>
          </w:tcPr>
          <w:p w14:paraId="509ABB0B"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2</w:t>
            </w:r>
            <w:r>
              <w:rPr>
                <w:rFonts w:ascii="Arial" w:eastAsia="仿宋" w:hAnsi="Arial" w:cs="Arial"/>
                <w:bCs/>
                <w:sz w:val="21"/>
                <w:szCs w:val="21"/>
              </w:rPr>
              <w:t>）</w:t>
            </w:r>
          </w:p>
        </w:tc>
        <w:tc>
          <w:tcPr>
            <w:tcW w:w="1310" w:type="pct"/>
            <w:shd w:val="clear" w:color="auto" w:fill="auto"/>
            <w:noWrap/>
            <w:vAlign w:val="center"/>
          </w:tcPr>
          <w:p w14:paraId="5B066ACA"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红线外市政费用（土地开发费用）</w:t>
            </w:r>
          </w:p>
        </w:tc>
        <w:tc>
          <w:tcPr>
            <w:tcW w:w="740" w:type="pct"/>
            <w:shd w:val="clear" w:color="auto" w:fill="auto"/>
            <w:noWrap/>
            <w:vAlign w:val="center"/>
          </w:tcPr>
          <w:p w14:paraId="203BA06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272.5942 </w:t>
            </w:r>
          </w:p>
        </w:tc>
        <w:tc>
          <w:tcPr>
            <w:tcW w:w="634" w:type="pct"/>
            <w:shd w:val="clear" w:color="auto" w:fill="auto"/>
            <w:noWrap/>
            <w:vAlign w:val="center"/>
          </w:tcPr>
          <w:p w14:paraId="2A853ACE"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68148.54</w:t>
            </w:r>
          </w:p>
        </w:tc>
        <w:tc>
          <w:tcPr>
            <w:tcW w:w="395" w:type="pct"/>
            <w:shd w:val="clear" w:color="auto" w:fill="auto"/>
            <w:noWrap/>
            <w:vAlign w:val="center"/>
          </w:tcPr>
          <w:p w14:paraId="542DAAD4" w14:textId="77777777" w:rsidR="0062768B" w:rsidRDefault="00136729">
            <w:pPr>
              <w:widowControl/>
              <w:adjustRightInd/>
              <w:spacing w:line="240" w:lineRule="exact"/>
              <w:textAlignment w:val="auto"/>
              <w:rPr>
                <w:rFonts w:ascii="Arial" w:eastAsia="仿宋" w:hAnsi="Arial" w:cs="Arial"/>
                <w:bCs/>
                <w:sz w:val="21"/>
                <w:szCs w:val="21"/>
              </w:rPr>
            </w:pPr>
            <w:commentRangeStart w:id="371"/>
            <w:r>
              <w:rPr>
                <w:rFonts w:ascii="Arial" w:eastAsia="仿宋" w:hAnsi="Arial" w:cs="Arial"/>
                <w:bCs/>
                <w:sz w:val="21"/>
                <w:szCs w:val="21"/>
              </w:rPr>
              <w:t>47</w:t>
            </w:r>
            <w:commentRangeEnd w:id="371"/>
            <w:r w:rsidR="00343FA8">
              <w:rPr>
                <w:rStyle w:val="af6"/>
                <w:lang w:val="zh-CN"/>
              </w:rPr>
              <w:commentReference w:id="371"/>
            </w:r>
          </w:p>
        </w:tc>
        <w:tc>
          <w:tcPr>
            <w:tcW w:w="552" w:type="pct"/>
            <w:shd w:val="clear" w:color="auto" w:fill="auto"/>
            <w:noWrap/>
            <w:vAlign w:val="center"/>
          </w:tcPr>
          <w:p w14:paraId="76FF777B" w14:textId="77777777" w:rsidR="0062768B" w:rsidRDefault="0062768B">
            <w:pPr>
              <w:widowControl/>
              <w:adjustRightInd/>
              <w:spacing w:line="240" w:lineRule="exact"/>
              <w:textAlignment w:val="auto"/>
              <w:rPr>
                <w:rFonts w:ascii="Arial" w:eastAsia="仿宋" w:hAnsi="Arial" w:cs="Arial"/>
                <w:bCs/>
                <w:sz w:val="21"/>
                <w:szCs w:val="21"/>
              </w:rPr>
            </w:pPr>
          </w:p>
        </w:tc>
        <w:tc>
          <w:tcPr>
            <w:tcW w:w="1037" w:type="pct"/>
          </w:tcPr>
          <w:p w14:paraId="41979C2D" w14:textId="77777777" w:rsidR="0062768B" w:rsidRDefault="0062768B">
            <w:pPr>
              <w:widowControl/>
              <w:adjustRightInd/>
              <w:spacing w:line="240" w:lineRule="exact"/>
              <w:textAlignment w:val="auto"/>
              <w:rPr>
                <w:rFonts w:ascii="Arial" w:eastAsia="仿宋" w:hAnsi="Arial" w:cs="Arial"/>
                <w:bCs/>
                <w:sz w:val="21"/>
                <w:szCs w:val="21"/>
              </w:rPr>
            </w:pPr>
          </w:p>
        </w:tc>
      </w:tr>
      <w:tr w:rsidR="0062768B" w14:paraId="5B62B607" w14:textId="77777777">
        <w:trPr>
          <w:cantSplit/>
          <w:jc w:val="center"/>
        </w:trPr>
        <w:tc>
          <w:tcPr>
            <w:tcW w:w="331" w:type="pct"/>
            <w:shd w:val="clear" w:color="auto" w:fill="auto"/>
            <w:noWrap/>
            <w:vAlign w:val="center"/>
          </w:tcPr>
          <w:p w14:paraId="295CD51D"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3</w:t>
            </w:r>
            <w:r>
              <w:rPr>
                <w:rFonts w:ascii="Arial" w:eastAsia="仿宋" w:hAnsi="Arial" w:cs="Arial"/>
                <w:bCs/>
                <w:sz w:val="21"/>
                <w:szCs w:val="21"/>
              </w:rPr>
              <w:t>）</w:t>
            </w:r>
          </w:p>
        </w:tc>
        <w:tc>
          <w:tcPr>
            <w:tcW w:w="1310" w:type="pct"/>
            <w:shd w:val="clear" w:color="auto" w:fill="auto"/>
            <w:noWrap/>
            <w:vAlign w:val="center"/>
          </w:tcPr>
          <w:p w14:paraId="69689013"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城市基础设施建设费</w:t>
            </w:r>
          </w:p>
        </w:tc>
        <w:tc>
          <w:tcPr>
            <w:tcW w:w="740" w:type="pct"/>
            <w:shd w:val="clear" w:color="auto" w:fill="auto"/>
            <w:noWrap/>
            <w:vAlign w:val="center"/>
          </w:tcPr>
          <w:p w14:paraId="6B6C213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1055.8279 </w:t>
            </w:r>
          </w:p>
        </w:tc>
        <w:tc>
          <w:tcPr>
            <w:tcW w:w="634" w:type="pct"/>
            <w:shd w:val="clear" w:color="auto" w:fill="auto"/>
            <w:noWrap/>
            <w:vAlign w:val="center"/>
          </w:tcPr>
          <w:p w14:paraId="2E43F010"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7F5D53A0"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3A5E1BB5" w14:textId="77777777" w:rsidR="0062768B" w:rsidRDefault="0062768B">
            <w:pPr>
              <w:widowControl/>
              <w:adjustRightInd/>
              <w:spacing w:line="240" w:lineRule="exact"/>
              <w:textAlignment w:val="auto"/>
              <w:rPr>
                <w:rFonts w:ascii="Arial" w:eastAsia="仿宋" w:hAnsi="Arial" w:cs="Arial"/>
                <w:bCs/>
                <w:sz w:val="21"/>
                <w:szCs w:val="21"/>
              </w:rPr>
            </w:pPr>
          </w:p>
        </w:tc>
        <w:tc>
          <w:tcPr>
            <w:tcW w:w="1037" w:type="pct"/>
          </w:tcPr>
          <w:p w14:paraId="4759CEE3" w14:textId="77777777" w:rsidR="0062768B" w:rsidRDefault="0062768B">
            <w:pPr>
              <w:widowControl/>
              <w:adjustRightInd/>
              <w:spacing w:line="240" w:lineRule="exact"/>
              <w:textAlignment w:val="auto"/>
              <w:rPr>
                <w:rFonts w:ascii="Arial" w:eastAsia="仿宋" w:hAnsi="Arial" w:cs="Arial"/>
                <w:bCs/>
                <w:sz w:val="21"/>
                <w:szCs w:val="21"/>
              </w:rPr>
            </w:pPr>
          </w:p>
        </w:tc>
      </w:tr>
      <w:tr w:rsidR="0062768B" w14:paraId="00B69ED5" w14:textId="77777777">
        <w:trPr>
          <w:cantSplit/>
          <w:jc w:val="center"/>
        </w:trPr>
        <w:tc>
          <w:tcPr>
            <w:tcW w:w="331" w:type="pct"/>
            <w:shd w:val="clear" w:color="auto" w:fill="auto"/>
            <w:noWrap/>
            <w:vAlign w:val="center"/>
          </w:tcPr>
          <w:p w14:paraId="74EE0308"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4</w:t>
            </w:r>
            <w:r>
              <w:rPr>
                <w:rFonts w:ascii="Arial" w:eastAsia="仿宋" w:hAnsi="Arial" w:cs="Arial"/>
                <w:bCs/>
                <w:sz w:val="21"/>
                <w:szCs w:val="21"/>
              </w:rPr>
              <w:t>）</w:t>
            </w:r>
          </w:p>
        </w:tc>
        <w:tc>
          <w:tcPr>
            <w:tcW w:w="1310" w:type="pct"/>
            <w:shd w:val="clear" w:color="auto" w:fill="auto"/>
            <w:noWrap/>
            <w:vAlign w:val="center"/>
          </w:tcPr>
          <w:p w14:paraId="69F7379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管理费用</w:t>
            </w:r>
          </w:p>
        </w:tc>
        <w:tc>
          <w:tcPr>
            <w:tcW w:w="740" w:type="pct"/>
            <w:shd w:val="clear" w:color="auto" w:fill="auto"/>
            <w:noWrap/>
            <w:vAlign w:val="center"/>
          </w:tcPr>
          <w:p w14:paraId="4C1CE5C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1908.9873 </w:t>
            </w:r>
          </w:p>
        </w:tc>
        <w:tc>
          <w:tcPr>
            <w:tcW w:w="634" w:type="pct"/>
            <w:shd w:val="clear" w:color="auto" w:fill="auto"/>
            <w:noWrap/>
            <w:vAlign w:val="center"/>
          </w:tcPr>
          <w:p w14:paraId="0BA83DDE"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505A2C10"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2E59476B"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hint="eastAsia"/>
                <w:bCs/>
                <w:sz w:val="21"/>
                <w:szCs w:val="21"/>
              </w:rPr>
              <w:t>5</w:t>
            </w:r>
            <w:r>
              <w:rPr>
                <w:rFonts w:ascii="Arial" w:eastAsia="仿宋" w:hAnsi="Arial" w:cs="Arial"/>
                <w:bCs/>
                <w:sz w:val="21"/>
                <w:szCs w:val="21"/>
              </w:rPr>
              <w:t>%</w:t>
            </w:r>
          </w:p>
        </w:tc>
        <w:tc>
          <w:tcPr>
            <w:tcW w:w="1037" w:type="pct"/>
          </w:tcPr>
          <w:p w14:paraId="3215930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以</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1</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3</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为基数计算</w:t>
            </w:r>
          </w:p>
        </w:tc>
      </w:tr>
      <w:tr w:rsidR="0062768B" w14:paraId="77061CE3" w14:textId="77777777">
        <w:trPr>
          <w:cantSplit/>
          <w:jc w:val="center"/>
        </w:trPr>
        <w:tc>
          <w:tcPr>
            <w:tcW w:w="331" w:type="pct"/>
            <w:shd w:val="clear" w:color="auto" w:fill="auto"/>
            <w:noWrap/>
            <w:vAlign w:val="center"/>
          </w:tcPr>
          <w:p w14:paraId="78F80DB1"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5</w:t>
            </w:r>
            <w:r>
              <w:rPr>
                <w:rFonts w:ascii="Arial" w:eastAsia="仿宋" w:hAnsi="Arial" w:cs="Arial"/>
                <w:bCs/>
                <w:sz w:val="21"/>
                <w:szCs w:val="21"/>
              </w:rPr>
              <w:t>）</w:t>
            </w:r>
          </w:p>
        </w:tc>
        <w:tc>
          <w:tcPr>
            <w:tcW w:w="1310" w:type="pct"/>
            <w:shd w:val="clear" w:color="auto" w:fill="auto"/>
            <w:noWrap/>
            <w:vAlign w:val="center"/>
          </w:tcPr>
          <w:p w14:paraId="5F3247F8"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销售费用</w:t>
            </w:r>
          </w:p>
        </w:tc>
        <w:tc>
          <w:tcPr>
            <w:tcW w:w="740" w:type="pct"/>
            <w:shd w:val="clear" w:color="auto" w:fill="auto"/>
            <w:noWrap/>
          </w:tcPr>
          <w:p w14:paraId="26FFE67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10702.3193 </w:t>
            </w:r>
          </w:p>
        </w:tc>
        <w:tc>
          <w:tcPr>
            <w:tcW w:w="634" w:type="pct"/>
            <w:shd w:val="clear" w:color="auto" w:fill="auto"/>
            <w:noWrap/>
            <w:vAlign w:val="center"/>
          </w:tcPr>
          <w:p w14:paraId="42390FE3"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22235B32"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416E5DF0"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w:t>
            </w:r>
          </w:p>
        </w:tc>
        <w:tc>
          <w:tcPr>
            <w:tcW w:w="1037" w:type="pct"/>
          </w:tcPr>
          <w:p w14:paraId="421692A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以</w:t>
            </w:r>
            <w:r>
              <w:rPr>
                <w:rFonts w:ascii="Arial" w:eastAsia="仿宋" w:hAnsi="Arial" w:cs="Arial"/>
                <w:sz w:val="21"/>
                <w:szCs w:val="21"/>
              </w:rPr>
              <w:t>1</w:t>
            </w:r>
            <w:r>
              <w:rPr>
                <w:rFonts w:ascii="Arial" w:eastAsia="仿宋" w:hAnsi="Arial" w:cs="Arial"/>
                <w:sz w:val="21"/>
                <w:szCs w:val="21"/>
              </w:rPr>
              <w:t>为基数计取</w:t>
            </w:r>
          </w:p>
        </w:tc>
      </w:tr>
      <w:tr w:rsidR="0062768B" w14:paraId="521C0B87" w14:textId="77777777">
        <w:trPr>
          <w:cantSplit/>
          <w:jc w:val="center"/>
        </w:trPr>
        <w:tc>
          <w:tcPr>
            <w:tcW w:w="331" w:type="pct"/>
            <w:shd w:val="clear" w:color="auto" w:fill="auto"/>
            <w:noWrap/>
            <w:vAlign w:val="center"/>
          </w:tcPr>
          <w:p w14:paraId="408F1E1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6</w:t>
            </w:r>
            <w:r>
              <w:rPr>
                <w:rFonts w:ascii="Arial" w:eastAsia="仿宋" w:hAnsi="Arial" w:cs="Arial"/>
                <w:bCs/>
                <w:sz w:val="21"/>
                <w:szCs w:val="21"/>
              </w:rPr>
              <w:t>）</w:t>
            </w:r>
          </w:p>
        </w:tc>
        <w:tc>
          <w:tcPr>
            <w:tcW w:w="1310" w:type="pct"/>
            <w:shd w:val="clear" w:color="auto" w:fill="auto"/>
            <w:noWrap/>
            <w:vAlign w:val="center"/>
          </w:tcPr>
          <w:p w14:paraId="4D8201F1"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购地税费</w:t>
            </w:r>
          </w:p>
        </w:tc>
        <w:tc>
          <w:tcPr>
            <w:tcW w:w="740" w:type="pct"/>
            <w:shd w:val="clear" w:color="auto" w:fill="auto"/>
            <w:noWrap/>
            <w:vAlign w:val="center"/>
          </w:tcPr>
          <w:p w14:paraId="0F914D20"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0.0305</w:t>
            </w:r>
            <w:r>
              <w:rPr>
                <w:rFonts w:ascii="Arial" w:eastAsia="仿宋_GB2312" w:hAnsi="Arial" w:cs="Arial"/>
                <w:sz w:val="28"/>
              </w:rPr>
              <w:t xml:space="preserve"> </w:t>
            </w:r>
            <w:r>
              <w:rPr>
                <w:rFonts w:ascii="Arial" w:eastAsia="仿宋" w:hAnsi="Arial" w:cs="Arial"/>
                <w:bCs/>
                <w:sz w:val="21"/>
                <w:szCs w:val="21"/>
              </w:rPr>
              <w:t>P</w:t>
            </w:r>
            <w:r>
              <w:rPr>
                <w:rFonts w:ascii="Arial" w:eastAsia="仿宋" w:hAnsi="Arial" w:cs="Arial"/>
                <w:bCs/>
                <w:sz w:val="21"/>
                <w:szCs w:val="21"/>
                <w:vertAlign w:val="subscript"/>
              </w:rPr>
              <w:t>土</w:t>
            </w:r>
          </w:p>
        </w:tc>
        <w:tc>
          <w:tcPr>
            <w:tcW w:w="634" w:type="pct"/>
            <w:shd w:val="clear" w:color="auto" w:fill="auto"/>
            <w:noWrap/>
            <w:vAlign w:val="bottom"/>
          </w:tcPr>
          <w:p w14:paraId="54487E8B"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7C2B83FE"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2C739DE3"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3.05%</w:t>
            </w:r>
          </w:p>
        </w:tc>
        <w:tc>
          <w:tcPr>
            <w:tcW w:w="1037" w:type="pct"/>
          </w:tcPr>
          <w:p w14:paraId="6A7CD59E"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以估价对象土地价格为基数记取</w:t>
            </w:r>
          </w:p>
        </w:tc>
      </w:tr>
      <w:tr w:rsidR="0062768B" w14:paraId="7EF17F74" w14:textId="77777777">
        <w:trPr>
          <w:cantSplit/>
          <w:jc w:val="center"/>
        </w:trPr>
        <w:tc>
          <w:tcPr>
            <w:tcW w:w="331" w:type="pct"/>
            <w:shd w:val="clear" w:color="auto" w:fill="auto"/>
            <w:noWrap/>
            <w:vAlign w:val="center"/>
          </w:tcPr>
          <w:p w14:paraId="18F320EC"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7</w:t>
            </w:r>
            <w:r>
              <w:rPr>
                <w:rFonts w:ascii="Arial" w:eastAsia="仿宋" w:hAnsi="Arial" w:cs="Arial"/>
                <w:bCs/>
                <w:sz w:val="21"/>
                <w:szCs w:val="21"/>
              </w:rPr>
              <w:t>）</w:t>
            </w:r>
          </w:p>
        </w:tc>
        <w:tc>
          <w:tcPr>
            <w:tcW w:w="1310" w:type="pct"/>
            <w:shd w:val="clear" w:color="auto" w:fill="auto"/>
            <w:noWrap/>
            <w:vAlign w:val="center"/>
          </w:tcPr>
          <w:p w14:paraId="4242C045"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投资利息</w:t>
            </w:r>
          </w:p>
        </w:tc>
        <w:tc>
          <w:tcPr>
            <w:tcW w:w="740" w:type="pct"/>
            <w:shd w:val="clear" w:color="auto" w:fill="auto"/>
            <w:noWrap/>
            <w:vAlign w:val="center"/>
          </w:tcPr>
          <w:p w14:paraId="15D6FC4C" w14:textId="77777777" w:rsidR="0062768B" w:rsidRDefault="0062768B">
            <w:pPr>
              <w:widowControl/>
              <w:adjustRightInd/>
              <w:spacing w:line="240" w:lineRule="exact"/>
              <w:textAlignment w:val="auto"/>
              <w:rPr>
                <w:rFonts w:ascii="Arial" w:eastAsia="仿宋" w:hAnsi="Arial" w:cs="Arial"/>
                <w:bCs/>
                <w:sz w:val="21"/>
                <w:szCs w:val="21"/>
              </w:rPr>
            </w:pPr>
          </w:p>
        </w:tc>
        <w:tc>
          <w:tcPr>
            <w:tcW w:w="634" w:type="pct"/>
            <w:shd w:val="clear" w:color="auto" w:fill="auto"/>
            <w:noWrap/>
            <w:vAlign w:val="center"/>
          </w:tcPr>
          <w:p w14:paraId="7399B24B"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6A59DA69"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141CCF08"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4.75%</w:t>
            </w:r>
          </w:p>
        </w:tc>
        <w:tc>
          <w:tcPr>
            <w:tcW w:w="1037" w:type="pct"/>
          </w:tcPr>
          <w:p w14:paraId="303F141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复利计息。后续开发成本、管理费用及销售费用产生的利息</w:t>
            </w:r>
          </w:p>
        </w:tc>
      </w:tr>
      <w:tr w:rsidR="0062768B" w14:paraId="2AE9B415" w14:textId="77777777">
        <w:trPr>
          <w:cantSplit/>
          <w:jc w:val="center"/>
        </w:trPr>
        <w:tc>
          <w:tcPr>
            <w:tcW w:w="331" w:type="pct"/>
            <w:shd w:val="clear" w:color="auto" w:fill="auto"/>
            <w:noWrap/>
            <w:vAlign w:val="center"/>
          </w:tcPr>
          <w:p w14:paraId="11B3769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w:t>
            </w:r>
          </w:p>
        </w:tc>
        <w:tc>
          <w:tcPr>
            <w:tcW w:w="1310" w:type="pct"/>
            <w:shd w:val="clear" w:color="auto" w:fill="auto"/>
            <w:noWrap/>
            <w:vAlign w:val="center"/>
          </w:tcPr>
          <w:p w14:paraId="2CD90C4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土地购买价格及购地税</w:t>
            </w:r>
            <w:proofErr w:type="gramStart"/>
            <w:r>
              <w:rPr>
                <w:rFonts w:ascii="Arial" w:eastAsia="仿宋" w:hAnsi="Arial" w:cs="Arial"/>
                <w:sz w:val="21"/>
                <w:szCs w:val="21"/>
              </w:rPr>
              <w:t>费产生</w:t>
            </w:r>
            <w:proofErr w:type="gramEnd"/>
            <w:r>
              <w:rPr>
                <w:rFonts w:ascii="Arial" w:eastAsia="仿宋" w:hAnsi="Arial" w:cs="Arial"/>
                <w:sz w:val="21"/>
                <w:szCs w:val="21"/>
              </w:rPr>
              <w:t>的利息</w:t>
            </w:r>
          </w:p>
        </w:tc>
        <w:tc>
          <w:tcPr>
            <w:tcW w:w="740" w:type="pct"/>
            <w:shd w:val="clear" w:color="auto" w:fill="auto"/>
            <w:noWrap/>
            <w:vAlign w:val="center"/>
          </w:tcPr>
          <w:p w14:paraId="1DB87A4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0.1268</w:t>
            </w:r>
            <w:r>
              <w:rPr>
                <w:rFonts w:ascii="Arial" w:eastAsia="仿宋" w:hAnsi="Arial" w:cs="Arial"/>
                <w:bCs/>
                <w:sz w:val="21"/>
                <w:szCs w:val="21"/>
              </w:rPr>
              <w:t>P</w:t>
            </w:r>
            <w:r>
              <w:rPr>
                <w:rFonts w:ascii="Arial" w:eastAsia="仿宋" w:hAnsi="Arial" w:cs="Arial"/>
                <w:bCs/>
                <w:sz w:val="21"/>
                <w:szCs w:val="21"/>
                <w:vertAlign w:val="subscript"/>
              </w:rPr>
              <w:t>土</w:t>
            </w:r>
          </w:p>
        </w:tc>
        <w:tc>
          <w:tcPr>
            <w:tcW w:w="634" w:type="pct"/>
            <w:shd w:val="clear" w:color="auto" w:fill="auto"/>
            <w:noWrap/>
            <w:vAlign w:val="center"/>
          </w:tcPr>
          <w:p w14:paraId="4936B228"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525D7841"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66DB39A4" w14:textId="77777777" w:rsidR="0062768B" w:rsidRDefault="0062768B">
            <w:pPr>
              <w:widowControl/>
              <w:adjustRightInd/>
              <w:spacing w:line="240" w:lineRule="exact"/>
              <w:textAlignment w:val="auto"/>
              <w:rPr>
                <w:rFonts w:ascii="Arial" w:eastAsia="仿宋" w:hAnsi="Arial" w:cs="Arial"/>
                <w:sz w:val="21"/>
                <w:szCs w:val="21"/>
              </w:rPr>
            </w:pPr>
          </w:p>
        </w:tc>
        <w:tc>
          <w:tcPr>
            <w:tcW w:w="1037" w:type="pct"/>
          </w:tcPr>
          <w:p w14:paraId="033F353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取得税费率</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1+5%</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年利率</w:t>
            </w:r>
            <w:r>
              <w:rPr>
                <w:rFonts w:ascii="Arial" w:eastAsia="仿宋" w:hAnsi="Arial" w:cs="Arial"/>
                <w:sz w:val="21"/>
                <w:szCs w:val="21"/>
              </w:rPr>
              <w:t>×</w:t>
            </w:r>
            <w:r>
              <w:rPr>
                <w:rFonts w:ascii="Arial" w:eastAsia="仿宋" w:hAnsi="Arial" w:cs="Arial"/>
                <w:sz w:val="21"/>
                <w:szCs w:val="21"/>
              </w:rPr>
              <w:t>建设期</w:t>
            </w:r>
          </w:p>
        </w:tc>
      </w:tr>
      <w:tr w:rsidR="0062768B" w14:paraId="209E95BF" w14:textId="77777777">
        <w:trPr>
          <w:cantSplit/>
          <w:jc w:val="center"/>
        </w:trPr>
        <w:tc>
          <w:tcPr>
            <w:tcW w:w="331" w:type="pct"/>
            <w:shd w:val="clear" w:color="auto" w:fill="auto"/>
            <w:noWrap/>
            <w:vAlign w:val="center"/>
          </w:tcPr>
          <w:p w14:paraId="62AE647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w:t>
            </w:r>
          </w:p>
        </w:tc>
        <w:tc>
          <w:tcPr>
            <w:tcW w:w="1310" w:type="pct"/>
            <w:shd w:val="clear" w:color="auto" w:fill="auto"/>
            <w:noWrap/>
            <w:vAlign w:val="center"/>
          </w:tcPr>
          <w:p w14:paraId="5750399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5</w:t>
            </w:r>
            <w:r>
              <w:rPr>
                <w:rFonts w:ascii="Arial" w:eastAsia="仿宋" w:hAnsi="Arial" w:cs="Arial"/>
                <w:sz w:val="21"/>
                <w:szCs w:val="21"/>
              </w:rPr>
              <w:t>）</w:t>
            </w:r>
            <w:proofErr w:type="gramStart"/>
            <w:r>
              <w:rPr>
                <w:rFonts w:ascii="Arial" w:eastAsia="仿宋" w:hAnsi="Arial" w:cs="Arial"/>
                <w:sz w:val="21"/>
                <w:szCs w:val="21"/>
              </w:rPr>
              <w:t>项产生</w:t>
            </w:r>
            <w:proofErr w:type="gramEnd"/>
            <w:r>
              <w:rPr>
                <w:rFonts w:ascii="Arial" w:eastAsia="仿宋" w:hAnsi="Arial" w:cs="Arial"/>
                <w:sz w:val="21"/>
                <w:szCs w:val="21"/>
              </w:rPr>
              <w:t>的利息</w:t>
            </w:r>
          </w:p>
        </w:tc>
        <w:tc>
          <w:tcPr>
            <w:tcW w:w="740" w:type="pct"/>
            <w:shd w:val="clear" w:color="auto" w:fill="auto"/>
            <w:noWrap/>
            <w:vAlign w:val="center"/>
          </w:tcPr>
          <w:p w14:paraId="3BBE16F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3033.4162</w:t>
            </w:r>
          </w:p>
        </w:tc>
        <w:tc>
          <w:tcPr>
            <w:tcW w:w="634" w:type="pct"/>
            <w:shd w:val="clear" w:color="auto" w:fill="auto"/>
            <w:noWrap/>
            <w:vAlign w:val="center"/>
          </w:tcPr>
          <w:p w14:paraId="0683FC04"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1067E9B7"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7D7DD729" w14:textId="77777777" w:rsidR="0062768B" w:rsidRDefault="0062768B">
            <w:pPr>
              <w:widowControl/>
              <w:adjustRightInd/>
              <w:spacing w:line="240" w:lineRule="exact"/>
              <w:textAlignment w:val="auto"/>
              <w:rPr>
                <w:rFonts w:ascii="Arial" w:eastAsia="仿宋" w:hAnsi="Arial" w:cs="Arial"/>
                <w:sz w:val="21"/>
                <w:szCs w:val="21"/>
              </w:rPr>
            </w:pPr>
          </w:p>
        </w:tc>
        <w:tc>
          <w:tcPr>
            <w:tcW w:w="1037" w:type="pct"/>
          </w:tcPr>
          <w:p w14:paraId="5FB43D3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3</w:t>
            </w:r>
            <w:r>
              <w:rPr>
                <w:rFonts w:ascii="Arial" w:eastAsia="仿宋" w:hAnsi="Arial" w:cs="Arial"/>
                <w:sz w:val="21"/>
                <w:szCs w:val="21"/>
              </w:rPr>
              <w:t>）项</w:t>
            </w:r>
            <w:r>
              <w:rPr>
                <w:rFonts w:ascii="Arial" w:eastAsia="仿宋" w:hAnsi="Arial" w:cs="Arial"/>
                <w:sz w:val="21"/>
                <w:szCs w:val="21"/>
              </w:rPr>
              <w:t>×</w:t>
            </w:r>
            <w:r>
              <w:rPr>
                <w:rFonts w:ascii="Arial" w:eastAsia="仿宋" w:hAnsi="Arial" w:cs="Arial"/>
                <w:sz w:val="21"/>
                <w:szCs w:val="21"/>
              </w:rPr>
              <w:t>年利率</w:t>
            </w:r>
            <w:r>
              <w:rPr>
                <w:rFonts w:ascii="Arial" w:eastAsia="仿宋" w:hAnsi="Arial" w:cs="Arial"/>
                <w:sz w:val="21"/>
                <w:szCs w:val="21"/>
              </w:rPr>
              <w:t>×</w:t>
            </w:r>
            <w:r>
              <w:rPr>
                <w:rFonts w:ascii="Arial" w:eastAsia="仿宋" w:hAnsi="Arial" w:cs="Arial"/>
                <w:sz w:val="21"/>
                <w:szCs w:val="21"/>
              </w:rPr>
              <w:t>建设期</w:t>
            </w:r>
            <w:r>
              <w:rPr>
                <w:rFonts w:ascii="Arial" w:eastAsia="仿宋" w:hAnsi="Arial" w:cs="Arial"/>
                <w:sz w:val="21"/>
                <w:szCs w:val="21"/>
              </w:rPr>
              <w:t>÷2</w:t>
            </w:r>
          </w:p>
        </w:tc>
      </w:tr>
      <w:tr w:rsidR="0062768B" w14:paraId="68C71EE3" w14:textId="77777777">
        <w:trPr>
          <w:cantSplit/>
          <w:jc w:val="center"/>
        </w:trPr>
        <w:tc>
          <w:tcPr>
            <w:tcW w:w="331" w:type="pct"/>
            <w:shd w:val="clear" w:color="auto" w:fill="auto"/>
            <w:noWrap/>
            <w:vAlign w:val="center"/>
          </w:tcPr>
          <w:p w14:paraId="7EE37D8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8</w:t>
            </w:r>
            <w:r>
              <w:rPr>
                <w:rFonts w:ascii="Arial" w:eastAsia="仿宋" w:hAnsi="Arial" w:cs="Arial"/>
                <w:bCs/>
                <w:sz w:val="21"/>
                <w:szCs w:val="21"/>
              </w:rPr>
              <w:t>）</w:t>
            </w:r>
          </w:p>
        </w:tc>
        <w:tc>
          <w:tcPr>
            <w:tcW w:w="1310" w:type="pct"/>
            <w:shd w:val="clear" w:color="auto" w:fill="auto"/>
            <w:noWrap/>
            <w:vAlign w:val="center"/>
          </w:tcPr>
          <w:p w14:paraId="78538645"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销售税费</w:t>
            </w:r>
          </w:p>
        </w:tc>
        <w:tc>
          <w:tcPr>
            <w:tcW w:w="740" w:type="pct"/>
            <w:shd w:val="clear" w:color="auto" w:fill="auto"/>
            <w:noWrap/>
            <w:vAlign w:val="center"/>
          </w:tcPr>
          <w:p w14:paraId="37530A5D"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14014.9420</w:t>
            </w:r>
          </w:p>
        </w:tc>
        <w:tc>
          <w:tcPr>
            <w:tcW w:w="634" w:type="pct"/>
            <w:shd w:val="clear" w:color="auto" w:fill="auto"/>
            <w:noWrap/>
            <w:vAlign w:val="center"/>
          </w:tcPr>
          <w:p w14:paraId="07C17106"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2319A17D"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2954F5A1"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5.5%</w:t>
            </w:r>
          </w:p>
        </w:tc>
        <w:tc>
          <w:tcPr>
            <w:tcW w:w="1037" w:type="pct"/>
          </w:tcPr>
          <w:p w14:paraId="3B5FE45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以</w:t>
            </w:r>
            <w:r>
              <w:rPr>
                <w:rFonts w:ascii="Arial" w:eastAsia="仿宋" w:hAnsi="Arial" w:cs="Arial"/>
                <w:sz w:val="21"/>
                <w:szCs w:val="21"/>
              </w:rPr>
              <w:t>“</w:t>
            </w:r>
            <w:r>
              <w:rPr>
                <w:rFonts w:ascii="Arial" w:eastAsia="仿宋" w:hAnsi="Arial" w:cs="Arial"/>
                <w:sz w:val="21"/>
                <w:szCs w:val="21"/>
              </w:rPr>
              <w:t>开发完成后不动产总价</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1+5%</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为基数计取</w:t>
            </w:r>
          </w:p>
        </w:tc>
      </w:tr>
      <w:tr w:rsidR="0062768B" w14:paraId="283BB6BE" w14:textId="77777777">
        <w:trPr>
          <w:cantSplit/>
          <w:jc w:val="center"/>
        </w:trPr>
        <w:tc>
          <w:tcPr>
            <w:tcW w:w="331" w:type="pct"/>
            <w:shd w:val="clear" w:color="auto" w:fill="auto"/>
            <w:vAlign w:val="center"/>
          </w:tcPr>
          <w:p w14:paraId="39F8E965"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w:t>
            </w:r>
          </w:p>
        </w:tc>
        <w:tc>
          <w:tcPr>
            <w:tcW w:w="1310" w:type="pct"/>
            <w:shd w:val="clear" w:color="auto" w:fill="auto"/>
            <w:vAlign w:val="center"/>
          </w:tcPr>
          <w:p w14:paraId="1D1E95FE"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投资利润</w:t>
            </w:r>
          </w:p>
        </w:tc>
        <w:tc>
          <w:tcPr>
            <w:tcW w:w="740" w:type="pct"/>
            <w:shd w:val="clear" w:color="auto" w:fill="auto"/>
            <w:vAlign w:val="center"/>
          </w:tcPr>
          <w:p w14:paraId="396D03FF" w14:textId="77777777" w:rsidR="0062768B" w:rsidRDefault="0062768B">
            <w:pPr>
              <w:widowControl/>
              <w:adjustRightInd/>
              <w:spacing w:line="240" w:lineRule="exact"/>
              <w:textAlignment w:val="auto"/>
              <w:rPr>
                <w:rFonts w:ascii="Arial" w:eastAsia="仿宋" w:hAnsi="Arial" w:cs="Arial"/>
                <w:bCs/>
                <w:sz w:val="21"/>
                <w:szCs w:val="21"/>
              </w:rPr>
            </w:pPr>
          </w:p>
        </w:tc>
        <w:tc>
          <w:tcPr>
            <w:tcW w:w="634" w:type="pct"/>
            <w:shd w:val="clear" w:color="auto" w:fill="auto"/>
            <w:noWrap/>
            <w:vAlign w:val="center"/>
          </w:tcPr>
          <w:p w14:paraId="263F157F"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5D286407"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vAlign w:val="center"/>
          </w:tcPr>
          <w:p w14:paraId="719257E7"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hint="eastAsia"/>
                <w:sz w:val="21"/>
                <w:szCs w:val="21"/>
              </w:rPr>
              <w:t>30</w:t>
            </w:r>
            <w:r>
              <w:rPr>
                <w:rFonts w:ascii="Arial" w:eastAsia="仿宋" w:hAnsi="Arial" w:cs="Arial"/>
                <w:sz w:val="21"/>
                <w:szCs w:val="21"/>
              </w:rPr>
              <w:t>%</w:t>
            </w:r>
          </w:p>
        </w:tc>
        <w:tc>
          <w:tcPr>
            <w:tcW w:w="1037" w:type="pct"/>
          </w:tcPr>
          <w:p w14:paraId="16432052" w14:textId="77777777" w:rsidR="0062768B" w:rsidRDefault="0062768B">
            <w:pPr>
              <w:widowControl/>
              <w:adjustRightInd/>
              <w:spacing w:line="240" w:lineRule="exact"/>
              <w:textAlignment w:val="auto"/>
              <w:rPr>
                <w:rFonts w:ascii="Arial" w:eastAsia="仿宋" w:hAnsi="Arial" w:cs="Arial"/>
                <w:sz w:val="21"/>
                <w:szCs w:val="21"/>
              </w:rPr>
            </w:pPr>
          </w:p>
        </w:tc>
      </w:tr>
      <w:tr w:rsidR="0062768B" w14:paraId="28CC133C" w14:textId="77777777">
        <w:trPr>
          <w:cantSplit/>
          <w:jc w:val="center"/>
        </w:trPr>
        <w:tc>
          <w:tcPr>
            <w:tcW w:w="331" w:type="pct"/>
            <w:shd w:val="clear" w:color="auto" w:fill="auto"/>
            <w:vAlign w:val="center"/>
          </w:tcPr>
          <w:p w14:paraId="15DE5F6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w:t>
            </w:r>
          </w:p>
        </w:tc>
        <w:tc>
          <w:tcPr>
            <w:tcW w:w="1310" w:type="pct"/>
            <w:shd w:val="clear" w:color="auto" w:fill="auto"/>
            <w:noWrap/>
            <w:vAlign w:val="center"/>
          </w:tcPr>
          <w:p w14:paraId="0EFEDE1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土地购买价格及购地税费应计的利润</w:t>
            </w:r>
          </w:p>
        </w:tc>
        <w:tc>
          <w:tcPr>
            <w:tcW w:w="740" w:type="pct"/>
            <w:shd w:val="clear" w:color="auto" w:fill="auto"/>
            <w:noWrap/>
            <w:vAlign w:val="center"/>
          </w:tcPr>
          <w:p w14:paraId="629AF2D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0.3092</w:t>
            </w:r>
            <w:r>
              <w:rPr>
                <w:rFonts w:ascii="Arial" w:eastAsia="仿宋" w:hAnsi="Arial" w:cs="Arial"/>
                <w:bCs/>
                <w:sz w:val="21"/>
                <w:szCs w:val="21"/>
              </w:rPr>
              <w:t>P</w:t>
            </w:r>
            <w:r>
              <w:rPr>
                <w:rFonts w:ascii="Arial" w:eastAsia="仿宋" w:hAnsi="Arial" w:cs="Arial"/>
                <w:bCs/>
                <w:sz w:val="21"/>
                <w:szCs w:val="21"/>
              </w:rPr>
              <w:t>土</w:t>
            </w:r>
          </w:p>
        </w:tc>
        <w:tc>
          <w:tcPr>
            <w:tcW w:w="634" w:type="pct"/>
            <w:shd w:val="clear" w:color="auto" w:fill="auto"/>
            <w:noWrap/>
            <w:vAlign w:val="center"/>
          </w:tcPr>
          <w:p w14:paraId="6D6418AB"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34135926"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vAlign w:val="center"/>
          </w:tcPr>
          <w:p w14:paraId="654FD88D" w14:textId="77777777" w:rsidR="0062768B" w:rsidRDefault="0062768B">
            <w:pPr>
              <w:widowControl/>
              <w:adjustRightInd/>
              <w:spacing w:line="240" w:lineRule="exact"/>
              <w:textAlignment w:val="auto"/>
              <w:rPr>
                <w:rFonts w:ascii="Arial" w:eastAsia="仿宋" w:hAnsi="Arial" w:cs="Arial"/>
                <w:sz w:val="21"/>
                <w:szCs w:val="21"/>
              </w:rPr>
            </w:pPr>
          </w:p>
        </w:tc>
        <w:tc>
          <w:tcPr>
            <w:tcW w:w="1037" w:type="pct"/>
          </w:tcPr>
          <w:p w14:paraId="43337995" w14:textId="54CE12FF" w:rsidR="0062768B" w:rsidRDefault="00136729" w:rsidP="00343FA8">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P+P*</w:t>
            </w:r>
            <w:r>
              <w:rPr>
                <w:rFonts w:ascii="Arial" w:eastAsia="仿宋" w:hAnsi="Arial" w:cs="Arial"/>
                <w:sz w:val="21"/>
                <w:szCs w:val="21"/>
              </w:rPr>
              <w:t>取得税费）</w:t>
            </w:r>
            <w:r>
              <w:rPr>
                <w:rFonts w:ascii="Arial" w:eastAsia="仿宋" w:hAnsi="Arial" w:cs="Arial"/>
                <w:sz w:val="21"/>
                <w:szCs w:val="21"/>
              </w:rPr>
              <w:t>*</w:t>
            </w:r>
            <w:r>
              <w:rPr>
                <w:rFonts w:ascii="Arial" w:eastAsia="仿宋" w:hAnsi="Arial" w:cs="Arial"/>
                <w:sz w:val="21"/>
                <w:szCs w:val="21"/>
              </w:rPr>
              <w:t>利润率</w:t>
            </w:r>
          </w:p>
        </w:tc>
      </w:tr>
      <w:tr w:rsidR="0062768B" w14:paraId="07F180DA" w14:textId="77777777">
        <w:trPr>
          <w:cantSplit/>
          <w:jc w:val="center"/>
        </w:trPr>
        <w:tc>
          <w:tcPr>
            <w:tcW w:w="331" w:type="pct"/>
            <w:shd w:val="clear" w:color="auto" w:fill="auto"/>
            <w:vAlign w:val="center"/>
          </w:tcPr>
          <w:p w14:paraId="380AB0E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w:t>
            </w:r>
          </w:p>
        </w:tc>
        <w:tc>
          <w:tcPr>
            <w:tcW w:w="1310" w:type="pct"/>
            <w:shd w:val="clear" w:color="auto" w:fill="auto"/>
            <w:noWrap/>
            <w:vAlign w:val="center"/>
          </w:tcPr>
          <w:p w14:paraId="0D323C8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5</w:t>
            </w:r>
            <w:r>
              <w:rPr>
                <w:rFonts w:ascii="Arial" w:eastAsia="仿宋" w:hAnsi="Arial" w:cs="Arial"/>
                <w:sz w:val="21"/>
                <w:szCs w:val="21"/>
              </w:rPr>
              <w:t>）项及销售费用产生的利息</w:t>
            </w:r>
          </w:p>
        </w:tc>
        <w:tc>
          <w:tcPr>
            <w:tcW w:w="740" w:type="pct"/>
            <w:shd w:val="clear" w:color="auto" w:fill="auto"/>
            <w:vAlign w:val="center"/>
          </w:tcPr>
          <w:p w14:paraId="5B49DFD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15237.3155</w:t>
            </w:r>
          </w:p>
        </w:tc>
        <w:tc>
          <w:tcPr>
            <w:tcW w:w="634" w:type="pct"/>
            <w:shd w:val="clear" w:color="auto" w:fill="auto"/>
            <w:noWrap/>
            <w:vAlign w:val="center"/>
          </w:tcPr>
          <w:p w14:paraId="3C1DF7AE"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64B3923E"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vAlign w:val="center"/>
          </w:tcPr>
          <w:p w14:paraId="57FE5207" w14:textId="77777777" w:rsidR="0062768B" w:rsidRDefault="0062768B">
            <w:pPr>
              <w:widowControl/>
              <w:adjustRightInd/>
              <w:spacing w:line="240" w:lineRule="exact"/>
              <w:textAlignment w:val="auto"/>
              <w:rPr>
                <w:rFonts w:ascii="Arial" w:eastAsia="仿宋" w:hAnsi="Arial" w:cs="Arial"/>
                <w:sz w:val="21"/>
                <w:szCs w:val="21"/>
              </w:rPr>
            </w:pPr>
          </w:p>
        </w:tc>
        <w:tc>
          <w:tcPr>
            <w:tcW w:w="1037" w:type="pct"/>
          </w:tcPr>
          <w:p w14:paraId="529DB9E6" w14:textId="77777777" w:rsidR="0062768B" w:rsidRDefault="0062768B">
            <w:pPr>
              <w:widowControl/>
              <w:adjustRightInd/>
              <w:spacing w:line="240" w:lineRule="exact"/>
              <w:textAlignment w:val="auto"/>
              <w:rPr>
                <w:rFonts w:ascii="Arial" w:eastAsia="仿宋" w:hAnsi="Arial" w:cs="Arial"/>
                <w:sz w:val="21"/>
                <w:szCs w:val="21"/>
              </w:rPr>
            </w:pPr>
          </w:p>
        </w:tc>
      </w:tr>
      <w:tr w:rsidR="0062768B" w14:paraId="36316262" w14:textId="77777777">
        <w:trPr>
          <w:cantSplit/>
          <w:jc w:val="center"/>
        </w:trPr>
        <w:tc>
          <w:tcPr>
            <w:tcW w:w="1641" w:type="pct"/>
            <w:gridSpan w:val="2"/>
            <w:shd w:val="clear" w:color="auto" w:fill="auto"/>
            <w:noWrap/>
            <w:vAlign w:val="center"/>
          </w:tcPr>
          <w:p w14:paraId="56E8EBEF"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4 .</w:t>
            </w:r>
            <w:r>
              <w:rPr>
                <w:rFonts w:ascii="Arial" w:eastAsia="仿宋" w:hAnsi="Arial" w:cs="Arial"/>
                <w:bCs/>
                <w:sz w:val="21"/>
                <w:szCs w:val="21"/>
              </w:rPr>
              <w:t>土地价格</w:t>
            </w:r>
          </w:p>
        </w:tc>
        <w:tc>
          <w:tcPr>
            <w:tcW w:w="740" w:type="pct"/>
            <w:shd w:val="clear" w:color="auto" w:fill="auto"/>
            <w:noWrap/>
            <w:vAlign w:val="center"/>
          </w:tcPr>
          <w:p w14:paraId="40B00744"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125796.9707</w:t>
            </w:r>
          </w:p>
        </w:tc>
        <w:tc>
          <w:tcPr>
            <w:tcW w:w="634" w:type="pct"/>
            <w:shd w:val="clear" w:color="auto" w:fill="auto"/>
            <w:noWrap/>
            <w:vAlign w:val="center"/>
          </w:tcPr>
          <w:p w14:paraId="3C139492"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563768D9"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26BE356F" w14:textId="77777777" w:rsidR="0062768B" w:rsidRDefault="0062768B">
            <w:pPr>
              <w:widowControl/>
              <w:adjustRightInd/>
              <w:spacing w:line="240" w:lineRule="exact"/>
              <w:textAlignment w:val="auto"/>
              <w:rPr>
                <w:rFonts w:ascii="Arial" w:eastAsia="仿宋" w:hAnsi="Arial" w:cs="Arial"/>
                <w:bCs/>
                <w:sz w:val="21"/>
                <w:szCs w:val="21"/>
              </w:rPr>
            </w:pPr>
          </w:p>
        </w:tc>
        <w:tc>
          <w:tcPr>
            <w:tcW w:w="1037" w:type="pct"/>
          </w:tcPr>
          <w:p w14:paraId="6A14ACAD"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1-2-3</w:t>
            </w:r>
          </w:p>
        </w:tc>
      </w:tr>
      <w:tr w:rsidR="0062768B" w14:paraId="0E75B052" w14:textId="77777777">
        <w:trPr>
          <w:cantSplit/>
          <w:jc w:val="center"/>
        </w:trPr>
        <w:tc>
          <w:tcPr>
            <w:tcW w:w="1641" w:type="pct"/>
            <w:gridSpan w:val="2"/>
            <w:shd w:val="clear" w:color="auto" w:fill="auto"/>
            <w:noWrap/>
            <w:vAlign w:val="center"/>
          </w:tcPr>
          <w:p w14:paraId="1F9814E8"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5 .</w:t>
            </w:r>
            <w:r>
              <w:rPr>
                <w:rFonts w:ascii="Arial" w:eastAsia="仿宋" w:hAnsi="Arial" w:cs="Arial"/>
                <w:bCs/>
                <w:sz w:val="21"/>
                <w:szCs w:val="21"/>
              </w:rPr>
              <w:t>楼面单价</w:t>
            </w:r>
          </w:p>
        </w:tc>
        <w:tc>
          <w:tcPr>
            <w:tcW w:w="740" w:type="pct"/>
            <w:shd w:val="clear" w:color="auto" w:fill="auto"/>
            <w:noWrap/>
            <w:vAlign w:val="center"/>
          </w:tcPr>
          <w:p w14:paraId="2866D0D0"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18459</w:t>
            </w:r>
          </w:p>
        </w:tc>
        <w:tc>
          <w:tcPr>
            <w:tcW w:w="634" w:type="pct"/>
            <w:shd w:val="clear" w:color="auto" w:fill="auto"/>
            <w:noWrap/>
            <w:vAlign w:val="center"/>
          </w:tcPr>
          <w:p w14:paraId="0B658ED0"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52246D78"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5A887F5E" w14:textId="77777777" w:rsidR="0062768B" w:rsidRDefault="0062768B">
            <w:pPr>
              <w:widowControl/>
              <w:adjustRightInd/>
              <w:spacing w:line="240" w:lineRule="exact"/>
              <w:textAlignment w:val="auto"/>
              <w:rPr>
                <w:rFonts w:ascii="Arial" w:eastAsia="仿宋" w:hAnsi="Arial" w:cs="Arial"/>
                <w:bCs/>
                <w:sz w:val="21"/>
                <w:szCs w:val="21"/>
              </w:rPr>
            </w:pPr>
          </w:p>
        </w:tc>
        <w:tc>
          <w:tcPr>
            <w:tcW w:w="1037" w:type="pct"/>
          </w:tcPr>
          <w:p w14:paraId="418B0CC5"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土地价格</w:t>
            </w:r>
            <w:r>
              <w:rPr>
                <w:rFonts w:ascii="Arial" w:eastAsia="仿宋" w:hAnsi="Arial" w:cs="Arial"/>
                <w:sz w:val="21"/>
                <w:szCs w:val="21"/>
              </w:rPr>
              <w:t>÷</w:t>
            </w:r>
            <w:r>
              <w:rPr>
                <w:rFonts w:ascii="Arial" w:eastAsia="仿宋" w:hAnsi="Arial" w:cs="Arial"/>
                <w:sz w:val="21"/>
                <w:szCs w:val="21"/>
              </w:rPr>
              <w:t>建筑规模</w:t>
            </w:r>
          </w:p>
        </w:tc>
      </w:tr>
    </w:tbl>
    <w:p w14:paraId="53F9E998" w14:textId="77777777" w:rsidR="0062768B" w:rsidRDefault="00136729">
      <w:pPr>
        <w:spacing w:before="50" w:after="50" w:line="300" w:lineRule="auto"/>
        <w:rPr>
          <w:rFonts w:ascii="Arial" w:eastAsia="仿宋_GB2312" w:hAnsi="Arial" w:cs="Arial"/>
          <w:sz w:val="28"/>
        </w:rPr>
      </w:pPr>
      <w:r>
        <w:rPr>
          <w:rFonts w:ascii="Arial" w:eastAsia="仿宋" w:hAnsi="Arial" w:cs="Arial"/>
          <w:sz w:val="21"/>
          <w:szCs w:val="21"/>
        </w:rPr>
        <w:t>单位：万元、平方米、元</w:t>
      </w:r>
      <w:r>
        <w:rPr>
          <w:rFonts w:ascii="Arial" w:eastAsia="仿宋" w:hAnsi="Arial" w:cs="Arial"/>
          <w:sz w:val="21"/>
          <w:szCs w:val="21"/>
        </w:rPr>
        <w:t>/</w:t>
      </w:r>
      <w:r>
        <w:rPr>
          <w:rFonts w:ascii="Arial" w:eastAsia="仿宋" w:hAnsi="Arial" w:cs="Arial"/>
          <w:sz w:val="21"/>
          <w:szCs w:val="21"/>
        </w:rPr>
        <w:t>平方米</w:t>
      </w:r>
    </w:p>
    <w:p w14:paraId="358341B7" w14:textId="77777777" w:rsidR="0062768B" w:rsidRDefault="0062768B">
      <w:pPr>
        <w:spacing w:line="300" w:lineRule="auto"/>
        <w:ind w:right="14"/>
        <w:rPr>
          <w:rFonts w:ascii="Arial" w:eastAsia="仿宋" w:hAnsi="Arial" w:cs="Arial"/>
          <w:sz w:val="21"/>
          <w:szCs w:val="21"/>
        </w:rPr>
      </w:pPr>
    </w:p>
    <w:p w14:paraId="077CC6A0" w14:textId="77777777" w:rsidR="0062768B" w:rsidRDefault="0062768B">
      <w:pPr>
        <w:spacing w:line="300" w:lineRule="auto"/>
        <w:ind w:right="14"/>
        <w:rPr>
          <w:rFonts w:ascii="Arial" w:eastAsia="仿宋" w:hAnsi="Arial" w:cs="Arial"/>
          <w:sz w:val="21"/>
          <w:szCs w:val="21"/>
        </w:rPr>
      </w:pPr>
    </w:p>
    <w:p w14:paraId="58DCA3FE" w14:textId="77777777" w:rsidR="0062768B" w:rsidRDefault="00136729">
      <w:pPr>
        <w:spacing w:before="50" w:after="50" w:line="300" w:lineRule="auto"/>
        <w:ind w:firstLineChars="200" w:firstLine="560"/>
        <w:rPr>
          <w:rFonts w:ascii="Arial" w:eastAsia="仿宋" w:hAnsi="Arial" w:cs="Arial"/>
          <w:sz w:val="28"/>
        </w:rPr>
      </w:pPr>
      <w:r>
        <w:rPr>
          <w:rFonts w:ascii="Arial" w:eastAsia="仿宋" w:hAnsi="Arial" w:cs="Arial"/>
          <w:bCs/>
          <w:sz w:val="28"/>
        </w:rPr>
        <w:lastRenderedPageBreak/>
        <w:t>（</w:t>
      </w:r>
      <w:r>
        <w:rPr>
          <w:rFonts w:ascii="Arial" w:eastAsia="仿宋" w:hAnsi="Arial" w:cs="Arial"/>
          <w:bCs/>
          <w:sz w:val="28"/>
        </w:rPr>
        <w:t>2</w:t>
      </w:r>
      <w:r>
        <w:rPr>
          <w:rFonts w:ascii="Arial" w:eastAsia="仿宋" w:hAnsi="Arial" w:cs="Arial"/>
          <w:bCs/>
          <w:sz w:val="28"/>
        </w:rPr>
        <w:t>）</w:t>
      </w:r>
      <w:r>
        <w:rPr>
          <w:rFonts w:ascii="Arial" w:eastAsia="仿宋" w:hAnsi="Arial" w:cs="Arial"/>
          <w:sz w:val="28"/>
        </w:rPr>
        <w:t>求取估价对象商业（其他商服）</w:t>
      </w:r>
      <w:proofErr w:type="gramStart"/>
      <w:r>
        <w:rPr>
          <w:rFonts w:ascii="Arial" w:eastAsia="仿宋" w:hAnsi="Arial" w:cs="Arial"/>
          <w:sz w:val="28"/>
          <w:szCs w:val="28"/>
        </w:rPr>
        <w:t>用途楼</w:t>
      </w:r>
      <w:proofErr w:type="gramEnd"/>
      <w:r>
        <w:rPr>
          <w:rFonts w:ascii="Arial" w:eastAsia="仿宋" w:hAnsi="Arial" w:cs="Arial"/>
          <w:sz w:val="28"/>
          <w:szCs w:val="28"/>
        </w:rPr>
        <w:t>面</w:t>
      </w:r>
      <w:r>
        <w:rPr>
          <w:rFonts w:ascii="Arial" w:eastAsia="仿宋" w:hAnsi="Arial" w:cs="Arial"/>
          <w:sz w:val="28"/>
        </w:rPr>
        <w:t>熟地价</w:t>
      </w:r>
    </w:p>
    <w:p w14:paraId="238C2622" w14:textId="77777777" w:rsidR="0062768B" w:rsidRDefault="00136729">
      <w:pPr>
        <w:spacing w:line="300" w:lineRule="auto"/>
        <w:ind w:firstLineChars="200" w:firstLine="560"/>
        <w:rPr>
          <w:rFonts w:ascii="Arial" w:eastAsia="仿宋" w:hAnsi="Arial" w:cs="Arial"/>
          <w:bCs/>
          <w:sz w:val="28"/>
        </w:rPr>
      </w:pPr>
      <w:r>
        <w:rPr>
          <w:rFonts w:ascii="Arial" w:eastAsia="仿宋" w:hAnsi="Arial" w:cs="Arial"/>
          <w:bCs/>
          <w:sz w:val="28"/>
        </w:rPr>
        <w:t>A.</w:t>
      </w:r>
      <w:r>
        <w:rPr>
          <w:rFonts w:ascii="Arial" w:eastAsia="仿宋" w:hAnsi="Arial" w:cs="Arial"/>
          <w:bCs/>
          <w:sz w:val="28"/>
        </w:rPr>
        <w:t>土地最有效利用方式</w:t>
      </w:r>
    </w:p>
    <w:p w14:paraId="529FBE8B" w14:textId="77777777" w:rsidR="0062768B" w:rsidRDefault="00136729">
      <w:pPr>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《北京市规划和自然资源委员会顺义分局关于顺义区高丽营镇夏县营村棚户区改造土地开发项目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01-015-1</w:t>
      </w:r>
      <w:r>
        <w:rPr>
          <w:rFonts w:ascii="Arial" w:eastAsia="仿宋" w:hAnsi="Arial" w:cs="Arial"/>
          <w:sz w:val="28"/>
          <w:szCs w:val="28"/>
        </w:rPr>
        <w:t>、</w:t>
      </w:r>
      <w:r>
        <w:rPr>
          <w:rFonts w:ascii="Arial" w:eastAsia="仿宋" w:hAnsi="Arial" w:cs="Arial"/>
          <w:sz w:val="28"/>
          <w:szCs w:val="28"/>
        </w:rPr>
        <w:t>01-015-2</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w:t>
      </w:r>
      <w:r>
        <w:rPr>
          <w:rFonts w:ascii="Arial" w:eastAsia="仿宋" w:hAnsi="Arial" w:cs="Arial"/>
          <w:sz w:val="28"/>
          <w:szCs w:val="28"/>
        </w:rPr>
        <w:t>01-025</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等二类居住用地、托幼用地、商业用地地块</w:t>
      </w:r>
      <w:r>
        <w:rPr>
          <w:rFonts w:ascii="Arial" w:eastAsia="仿宋" w:hAnsi="Arial" w:cs="Arial"/>
          <w:sz w:val="28"/>
          <w:szCs w:val="28"/>
        </w:rPr>
        <w:t>“</w:t>
      </w:r>
      <w:r>
        <w:rPr>
          <w:rFonts w:ascii="Arial" w:eastAsia="仿宋" w:hAnsi="Arial" w:cs="Arial"/>
          <w:sz w:val="28"/>
          <w:szCs w:val="28"/>
        </w:rPr>
        <w:t>多规合一</w:t>
      </w:r>
      <w:r>
        <w:rPr>
          <w:rFonts w:ascii="Arial" w:eastAsia="仿宋" w:hAnsi="Arial" w:cs="Arial"/>
          <w:sz w:val="28"/>
          <w:szCs w:val="28"/>
        </w:rPr>
        <w:t>”</w:t>
      </w:r>
      <w:r>
        <w:rPr>
          <w:rFonts w:ascii="Arial" w:eastAsia="仿宋" w:hAnsi="Arial" w:cs="Arial"/>
          <w:sz w:val="28"/>
          <w:szCs w:val="28"/>
        </w:rPr>
        <w:t>协同平台供地审核意见的函》（京</w:t>
      </w:r>
      <w:proofErr w:type="gramStart"/>
      <w:r>
        <w:rPr>
          <w:rFonts w:ascii="Arial" w:eastAsia="仿宋" w:hAnsi="Arial" w:cs="Arial"/>
          <w:sz w:val="28"/>
          <w:szCs w:val="28"/>
        </w:rPr>
        <w:t>规</w:t>
      </w:r>
      <w:proofErr w:type="gramEnd"/>
      <w:r>
        <w:rPr>
          <w:rFonts w:ascii="Arial" w:eastAsia="仿宋" w:hAnsi="Arial" w:cs="Arial"/>
          <w:sz w:val="28"/>
          <w:szCs w:val="28"/>
        </w:rPr>
        <w:t>自（顺）</w:t>
      </w:r>
      <w:proofErr w:type="gramStart"/>
      <w:r>
        <w:rPr>
          <w:rFonts w:ascii="Arial" w:eastAsia="仿宋" w:hAnsi="Arial" w:cs="Arial"/>
          <w:sz w:val="28"/>
          <w:szCs w:val="28"/>
        </w:rPr>
        <w:t>供审函</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0004</w:t>
      </w:r>
      <w:r>
        <w:rPr>
          <w:rFonts w:ascii="Arial" w:eastAsia="仿宋" w:hAnsi="Arial" w:cs="Arial"/>
          <w:sz w:val="28"/>
          <w:szCs w:val="28"/>
        </w:rPr>
        <w:t>号）</w:t>
      </w:r>
      <w:r>
        <w:rPr>
          <w:rFonts w:ascii="Arial" w:eastAsia="仿宋" w:hAnsi="Arial" w:cs="Arial"/>
          <w:sz w:val="28"/>
        </w:rPr>
        <w:t>复印件及本次评估目的</w:t>
      </w:r>
      <w:r>
        <w:rPr>
          <w:rFonts w:ascii="Arial" w:eastAsia="仿宋" w:hAnsi="Arial" w:cs="Arial"/>
          <w:sz w:val="28"/>
          <w:szCs w:val="28"/>
        </w:rPr>
        <w:t>，本次评估设定如下：</w:t>
      </w:r>
    </w:p>
    <w:p w14:paraId="555DAC51" w14:textId="77777777" w:rsidR="0062768B" w:rsidRDefault="00136729">
      <w:pPr>
        <w:spacing w:line="300" w:lineRule="auto"/>
        <w:ind w:firstLineChars="200" w:firstLine="560"/>
        <w:rPr>
          <w:rFonts w:ascii="Arial" w:eastAsia="仿宋" w:hAnsi="Arial" w:cs="Arial"/>
          <w:snapToGrid w:val="0"/>
          <w:sz w:val="28"/>
        </w:rPr>
      </w:pPr>
      <w:r>
        <w:rPr>
          <w:rFonts w:ascii="Arial" w:eastAsia="仿宋" w:hAnsi="Arial" w:cs="Arial"/>
          <w:snapToGrid w:val="0"/>
          <w:sz w:val="28"/>
        </w:rPr>
        <w:t>a.</w:t>
      </w:r>
      <w:r>
        <w:rPr>
          <w:rFonts w:ascii="Arial" w:eastAsia="仿宋" w:hAnsi="Arial" w:cs="Arial"/>
          <w:snapToGrid w:val="0"/>
          <w:sz w:val="28"/>
        </w:rPr>
        <w:t>设定估价对象能够顺利完成预期的开发建设目标；</w:t>
      </w:r>
    </w:p>
    <w:p w14:paraId="05A886C1" w14:textId="77777777" w:rsidR="0062768B" w:rsidRDefault="00136729">
      <w:pPr>
        <w:spacing w:line="300" w:lineRule="auto"/>
        <w:ind w:firstLineChars="200" w:firstLine="560"/>
        <w:rPr>
          <w:rFonts w:ascii="Arial" w:eastAsia="仿宋" w:hAnsi="Arial" w:cs="Arial"/>
          <w:snapToGrid w:val="0"/>
          <w:sz w:val="28"/>
        </w:rPr>
      </w:pPr>
      <w:r>
        <w:rPr>
          <w:rFonts w:ascii="Arial" w:eastAsia="仿宋" w:hAnsi="Arial" w:cs="Arial"/>
          <w:snapToGrid w:val="0"/>
          <w:sz w:val="28"/>
        </w:rPr>
        <w:t>b.</w:t>
      </w:r>
      <w:r>
        <w:rPr>
          <w:rFonts w:ascii="Arial" w:eastAsia="仿宋" w:hAnsi="Arial" w:cs="Arial"/>
          <w:snapToGrid w:val="0"/>
          <w:sz w:val="28"/>
        </w:rPr>
        <w:t>本项目建筑物建设周期为</w:t>
      </w:r>
      <w:r>
        <w:rPr>
          <w:rFonts w:ascii="Arial" w:eastAsia="仿宋" w:hAnsi="Arial" w:cs="Arial"/>
          <w:snapToGrid w:val="0"/>
          <w:sz w:val="28"/>
        </w:rPr>
        <w:t>2.5</w:t>
      </w:r>
      <w:r>
        <w:rPr>
          <w:rFonts w:ascii="Arial" w:eastAsia="仿宋" w:hAnsi="Arial" w:cs="Arial"/>
          <w:snapToGrid w:val="0"/>
          <w:sz w:val="28"/>
        </w:rPr>
        <w:t>年；</w:t>
      </w:r>
    </w:p>
    <w:p w14:paraId="2D466019" w14:textId="77777777" w:rsidR="0062768B" w:rsidRDefault="00136729">
      <w:pPr>
        <w:spacing w:line="300" w:lineRule="auto"/>
        <w:ind w:firstLineChars="200" w:firstLine="560"/>
        <w:rPr>
          <w:rFonts w:ascii="Arial" w:eastAsia="仿宋" w:hAnsi="Arial" w:cs="Arial"/>
          <w:snapToGrid w:val="0"/>
          <w:sz w:val="28"/>
        </w:rPr>
      </w:pPr>
      <w:r>
        <w:rPr>
          <w:rFonts w:ascii="Arial" w:eastAsia="仿宋" w:hAnsi="Arial" w:cs="Arial"/>
          <w:snapToGrid w:val="0"/>
          <w:sz w:val="28"/>
        </w:rPr>
        <w:t>c.</w:t>
      </w:r>
      <w:r>
        <w:rPr>
          <w:rFonts w:ascii="Arial" w:eastAsia="仿宋" w:hAnsi="Arial" w:cs="Arial"/>
          <w:snapToGrid w:val="0"/>
          <w:sz w:val="28"/>
        </w:rPr>
        <w:t>建安费用在项目周期内均匀投入，利息按复利计算；</w:t>
      </w:r>
    </w:p>
    <w:p w14:paraId="7FE16B95" w14:textId="77777777" w:rsidR="0062768B" w:rsidRDefault="00136729">
      <w:pPr>
        <w:spacing w:line="300" w:lineRule="auto"/>
        <w:ind w:right="14" w:firstLineChars="200" w:firstLine="560"/>
        <w:rPr>
          <w:rFonts w:ascii="Arial" w:eastAsia="仿宋" w:hAnsi="Arial" w:cs="Arial"/>
          <w:snapToGrid w:val="0"/>
          <w:sz w:val="28"/>
        </w:rPr>
      </w:pPr>
      <w:r>
        <w:rPr>
          <w:rFonts w:ascii="Arial" w:eastAsia="仿宋" w:hAnsi="Arial" w:cs="Arial"/>
          <w:snapToGrid w:val="0"/>
          <w:sz w:val="28"/>
        </w:rPr>
        <w:t>d.</w:t>
      </w:r>
      <w:r>
        <w:rPr>
          <w:rFonts w:ascii="Arial" w:eastAsia="仿宋" w:hAnsi="Arial" w:cs="Arial"/>
          <w:snapToGrid w:val="0"/>
          <w:sz w:val="28"/>
        </w:rPr>
        <w:t>在开发建设期间，房地产市场不会发生大的变化；</w:t>
      </w:r>
    </w:p>
    <w:p w14:paraId="05E91E6E" w14:textId="77777777" w:rsidR="0062768B" w:rsidRDefault="00136729">
      <w:pPr>
        <w:spacing w:line="300" w:lineRule="auto"/>
        <w:ind w:firstLineChars="200" w:firstLine="560"/>
        <w:rPr>
          <w:rFonts w:ascii="Arial" w:eastAsia="仿宋" w:hAnsi="Arial" w:cs="Arial"/>
          <w:snapToGrid w:val="0"/>
          <w:sz w:val="28"/>
        </w:rPr>
      </w:pPr>
      <w:r>
        <w:rPr>
          <w:rFonts w:ascii="Arial" w:eastAsia="仿宋" w:hAnsi="Arial" w:cs="Arial"/>
          <w:snapToGrid w:val="0"/>
          <w:sz w:val="28"/>
        </w:rPr>
        <w:t>e.</w:t>
      </w:r>
      <w:r>
        <w:rPr>
          <w:rFonts w:ascii="Arial" w:eastAsia="仿宋" w:hAnsi="Arial" w:cs="Arial"/>
          <w:snapToGrid w:val="0"/>
          <w:sz w:val="28"/>
        </w:rPr>
        <w:t>本项目最佳用途为商业（其他商服）；</w:t>
      </w:r>
    </w:p>
    <w:p w14:paraId="5B4119A2" w14:textId="77777777" w:rsidR="0062768B" w:rsidRDefault="00136729">
      <w:pPr>
        <w:spacing w:line="300" w:lineRule="auto"/>
        <w:ind w:left="560" w:right="14"/>
        <w:rPr>
          <w:rFonts w:ascii="Arial" w:eastAsia="仿宋" w:hAnsi="Arial" w:cs="Arial"/>
          <w:snapToGrid w:val="0"/>
          <w:sz w:val="28"/>
        </w:rPr>
      </w:pPr>
      <w:r>
        <w:rPr>
          <w:rFonts w:ascii="Arial" w:eastAsia="仿宋" w:hAnsi="Arial" w:cs="Arial"/>
          <w:snapToGrid w:val="0"/>
          <w:sz w:val="28"/>
        </w:rPr>
        <w:t>f.</w:t>
      </w:r>
      <w:r>
        <w:rPr>
          <w:rFonts w:ascii="Arial" w:eastAsia="仿宋" w:hAnsi="Arial" w:cs="Arial"/>
          <w:snapToGrid w:val="0"/>
          <w:sz w:val="28"/>
        </w:rPr>
        <w:t>该项目在建成后即销售完毕；</w:t>
      </w:r>
    </w:p>
    <w:p w14:paraId="6B81341D" w14:textId="77777777" w:rsidR="0062768B" w:rsidRDefault="00136729">
      <w:pPr>
        <w:spacing w:after="26" w:line="300" w:lineRule="auto"/>
        <w:ind w:firstLineChars="200" w:firstLine="560"/>
        <w:rPr>
          <w:rFonts w:ascii="Arial" w:eastAsia="仿宋" w:hAnsi="Arial" w:cs="Arial"/>
          <w:snapToGrid w:val="0"/>
          <w:sz w:val="28"/>
        </w:rPr>
      </w:pPr>
      <w:r>
        <w:rPr>
          <w:rFonts w:ascii="Arial" w:eastAsia="仿宋" w:hAnsi="Arial" w:cs="Arial"/>
          <w:snapToGrid w:val="0"/>
          <w:sz w:val="28"/>
        </w:rPr>
        <w:t>g.</w:t>
      </w:r>
      <w:r>
        <w:rPr>
          <w:rFonts w:ascii="Arial" w:eastAsia="仿宋" w:hAnsi="Arial" w:cs="Arial"/>
          <w:snapToGrid w:val="0"/>
          <w:sz w:val="28"/>
        </w:rPr>
        <w:t>在开发过程中或有调整规划用途情况建议参照本估价结果价值水平。</w:t>
      </w:r>
    </w:p>
    <w:p w14:paraId="56B93BB0" w14:textId="77777777" w:rsidR="0062768B" w:rsidRDefault="00136729">
      <w:pPr>
        <w:spacing w:after="26" w:line="300" w:lineRule="auto"/>
        <w:ind w:firstLineChars="200" w:firstLine="560"/>
        <w:rPr>
          <w:rFonts w:ascii="Arial" w:eastAsia="仿宋" w:hAnsi="Arial" w:cs="Arial"/>
          <w:snapToGrid w:val="0"/>
          <w:sz w:val="28"/>
        </w:rPr>
      </w:pPr>
      <w:r>
        <w:rPr>
          <w:rFonts w:ascii="Arial" w:eastAsia="仿宋" w:hAnsi="Arial" w:cs="Arial"/>
          <w:snapToGrid w:val="0"/>
          <w:sz w:val="28"/>
        </w:rPr>
        <w:t>剩余法是在预计开发完成后不动产正常交易价格的基础上，扣除预计的正常开发成本及有关专业费用、利息、利润和税收等，以价格余额来估算估价对象价格的一种方法。</w:t>
      </w:r>
    </w:p>
    <w:p w14:paraId="1B33B238" w14:textId="77777777" w:rsidR="0062768B" w:rsidRDefault="00136729">
      <w:pPr>
        <w:spacing w:after="51" w:line="300" w:lineRule="auto"/>
        <w:ind w:firstLineChars="200" w:firstLine="560"/>
        <w:rPr>
          <w:rFonts w:ascii="Arial" w:eastAsia="仿宋" w:hAnsi="Arial" w:cs="Arial"/>
          <w:snapToGrid w:val="0"/>
          <w:sz w:val="28"/>
        </w:rPr>
      </w:pPr>
      <w:r>
        <w:rPr>
          <w:rFonts w:ascii="Arial" w:eastAsia="仿宋" w:hAnsi="Arial" w:cs="Arial"/>
          <w:snapToGrid w:val="0"/>
          <w:sz w:val="28"/>
        </w:rPr>
        <w:t>剩余法基本公式如下：</w:t>
      </w:r>
    </w:p>
    <w:p w14:paraId="2948DBAC" w14:textId="77777777" w:rsidR="0062768B" w:rsidRDefault="00136729">
      <w:pPr>
        <w:spacing w:before="50" w:after="50" w:line="300" w:lineRule="auto"/>
        <w:ind w:firstLineChars="200" w:firstLine="560"/>
        <w:rPr>
          <w:rFonts w:ascii="Arial" w:eastAsia="仿宋" w:hAnsi="Arial" w:cs="Arial"/>
          <w:b/>
          <w:sz w:val="28"/>
        </w:rPr>
      </w:pPr>
      <w:r>
        <w:rPr>
          <w:rFonts w:ascii="Arial" w:eastAsia="仿宋" w:hAnsi="Arial" w:cs="Arial"/>
          <w:snapToGrid w:val="0"/>
          <w:sz w:val="28"/>
        </w:rPr>
        <w:t>熟地价值：</w:t>
      </w:r>
      <w:proofErr w:type="gramStart"/>
      <w:r>
        <w:rPr>
          <w:rFonts w:ascii="Arial" w:eastAsia="仿宋" w:hAnsi="Arial" w:cs="Arial"/>
          <w:sz w:val="28"/>
        </w:rPr>
        <w:t>待估宗</w:t>
      </w:r>
      <w:proofErr w:type="gramEnd"/>
      <w:r>
        <w:rPr>
          <w:rFonts w:ascii="Arial" w:eastAsia="仿宋" w:hAnsi="Arial" w:cs="Arial"/>
          <w:sz w:val="28"/>
        </w:rPr>
        <w:t>地价格</w:t>
      </w:r>
      <w:r>
        <w:rPr>
          <w:rFonts w:ascii="Arial" w:eastAsia="仿宋" w:hAnsi="Arial" w:cs="Arial"/>
          <w:sz w:val="28"/>
        </w:rPr>
        <w:t>=</w:t>
      </w:r>
      <w:r>
        <w:rPr>
          <w:rFonts w:ascii="Arial" w:eastAsia="仿宋" w:hAnsi="Arial" w:cs="Arial"/>
          <w:sz w:val="28"/>
        </w:rPr>
        <w:t>不动产总价</w:t>
      </w:r>
      <w:r>
        <w:rPr>
          <w:rFonts w:ascii="Arial" w:eastAsia="仿宋" w:hAnsi="Arial" w:cs="Arial"/>
          <w:sz w:val="28"/>
        </w:rPr>
        <w:t>-</w:t>
      </w:r>
      <w:r>
        <w:rPr>
          <w:rFonts w:ascii="Arial" w:eastAsia="仿宋" w:hAnsi="Arial" w:cs="Arial"/>
          <w:sz w:val="28"/>
        </w:rPr>
        <w:t>开发项目整体的开发成本</w:t>
      </w:r>
      <w:r>
        <w:rPr>
          <w:rFonts w:ascii="Arial" w:eastAsia="仿宋" w:hAnsi="Arial" w:cs="Arial"/>
          <w:sz w:val="28"/>
        </w:rPr>
        <w:t>-</w:t>
      </w:r>
      <w:r>
        <w:rPr>
          <w:rFonts w:ascii="Arial" w:eastAsia="仿宋" w:hAnsi="Arial" w:cs="Arial"/>
          <w:sz w:val="28"/>
        </w:rPr>
        <w:t>客观开发利润</w:t>
      </w:r>
    </w:p>
    <w:p w14:paraId="6B201A57" w14:textId="77777777" w:rsidR="0062768B" w:rsidRDefault="00136729">
      <w:pPr>
        <w:spacing w:after="26" w:line="300" w:lineRule="auto"/>
        <w:ind w:firstLineChars="200" w:firstLine="560"/>
        <w:rPr>
          <w:rFonts w:ascii="Arial" w:eastAsia="仿宋" w:hAnsi="Arial" w:cs="Arial"/>
          <w:snapToGrid w:val="0"/>
          <w:sz w:val="28"/>
        </w:rPr>
      </w:pPr>
      <w:r>
        <w:rPr>
          <w:rFonts w:ascii="Arial" w:eastAsia="仿宋" w:hAnsi="Arial" w:cs="Arial"/>
          <w:snapToGrid w:val="0"/>
          <w:sz w:val="28"/>
        </w:rPr>
        <w:t>B.</w:t>
      </w:r>
      <w:r>
        <w:rPr>
          <w:rFonts w:ascii="Arial" w:eastAsia="仿宋" w:hAnsi="Arial" w:cs="Arial"/>
          <w:snapToGrid w:val="0"/>
          <w:sz w:val="28"/>
        </w:rPr>
        <w:t>开发完成后商业用途房地产价值的确定</w:t>
      </w:r>
    </w:p>
    <w:p w14:paraId="499F7909" w14:textId="77777777" w:rsidR="0062768B" w:rsidRDefault="00136729">
      <w:pPr>
        <w:spacing w:after="26" w:line="300" w:lineRule="auto"/>
        <w:ind w:firstLineChars="200" w:firstLine="560"/>
        <w:jc w:val="both"/>
        <w:rPr>
          <w:rFonts w:ascii="Arial" w:eastAsia="仿宋" w:hAnsi="Arial" w:cs="Arial"/>
          <w:snapToGrid w:val="0"/>
          <w:sz w:val="28"/>
        </w:rPr>
      </w:pPr>
      <w:r>
        <w:rPr>
          <w:rFonts w:ascii="Arial" w:eastAsia="仿宋" w:hAnsi="Arial" w:cs="Arial"/>
          <w:snapToGrid w:val="0"/>
          <w:sz w:val="28"/>
        </w:rPr>
        <w:t>假设建造商业用房，预计施工进度、施工计划及预计装修标准、设备设施情况等事项以周边类似房地产项目为参考。</w:t>
      </w:r>
    </w:p>
    <w:p w14:paraId="05F32ACF" w14:textId="77777777" w:rsidR="0062768B" w:rsidRDefault="00136729">
      <w:pPr>
        <w:spacing w:after="26" w:line="300" w:lineRule="auto"/>
        <w:ind w:firstLineChars="200" w:firstLine="560"/>
        <w:rPr>
          <w:rFonts w:ascii="Arial" w:eastAsia="仿宋" w:hAnsi="Arial" w:cs="Arial"/>
          <w:snapToGrid w:val="0"/>
          <w:sz w:val="28"/>
        </w:rPr>
      </w:pPr>
      <w:r>
        <w:rPr>
          <w:rFonts w:ascii="Arial" w:eastAsia="仿宋" w:hAnsi="Arial" w:cs="Arial"/>
          <w:snapToGrid w:val="0"/>
          <w:sz w:val="28"/>
        </w:rPr>
        <w:t>综合分析估价对象的规划利用和管理限制条件，结合估价对象周边的业态、基础设施及公共配套设施状况，确定商业为</w:t>
      </w:r>
      <w:proofErr w:type="gramStart"/>
      <w:r>
        <w:rPr>
          <w:rFonts w:ascii="Arial" w:eastAsia="仿宋" w:hAnsi="Arial" w:cs="Arial"/>
          <w:snapToGrid w:val="0"/>
          <w:sz w:val="28"/>
        </w:rPr>
        <w:t>最佳利用</w:t>
      </w:r>
      <w:proofErr w:type="gramEnd"/>
      <w:r>
        <w:rPr>
          <w:rFonts w:ascii="Arial" w:eastAsia="仿宋" w:hAnsi="Arial" w:cs="Arial"/>
          <w:snapToGrid w:val="0"/>
          <w:sz w:val="28"/>
        </w:rPr>
        <w:t>方式。</w:t>
      </w:r>
    </w:p>
    <w:p w14:paraId="5CBE0730" w14:textId="77777777" w:rsidR="0062768B" w:rsidRDefault="00136729">
      <w:pPr>
        <w:spacing w:after="26" w:line="300" w:lineRule="auto"/>
        <w:ind w:firstLineChars="200" w:firstLine="560"/>
        <w:rPr>
          <w:rFonts w:ascii="Arial" w:eastAsia="仿宋" w:hAnsi="Arial" w:cs="Arial"/>
          <w:snapToGrid w:val="0"/>
          <w:sz w:val="28"/>
        </w:rPr>
      </w:pPr>
      <w:r>
        <w:rPr>
          <w:rFonts w:ascii="Arial" w:eastAsia="仿宋" w:hAnsi="Arial" w:cs="Arial"/>
          <w:snapToGrid w:val="0"/>
          <w:sz w:val="28"/>
        </w:rPr>
        <w:t>根据项目的整体建筑规模和预期设备、装修标准，预计本项目建筑物建设周期为</w:t>
      </w:r>
      <w:r>
        <w:rPr>
          <w:rFonts w:ascii="Arial" w:eastAsia="仿宋" w:hAnsi="Arial" w:cs="Arial"/>
          <w:snapToGrid w:val="0"/>
          <w:sz w:val="28"/>
        </w:rPr>
        <w:t>2.5</w:t>
      </w:r>
      <w:r>
        <w:rPr>
          <w:rFonts w:ascii="Arial" w:eastAsia="仿宋" w:hAnsi="Arial" w:cs="Arial"/>
          <w:snapToGrid w:val="0"/>
          <w:sz w:val="28"/>
        </w:rPr>
        <w:t>年。</w:t>
      </w:r>
    </w:p>
    <w:p w14:paraId="01269AED" w14:textId="77777777" w:rsidR="0062768B" w:rsidRDefault="00136729">
      <w:pPr>
        <w:spacing w:after="26" w:line="300" w:lineRule="auto"/>
        <w:ind w:firstLineChars="200" w:firstLine="560"/>
        <w:jc w:val="both"/>
        <w:rPr>
          <w:rFonts w:ascii="Arial" w:eastAsia="仿宋" w:hAnsi="Arial" w:cs="Arial"/>
          <w:snapToGrid w:val="0"/>
          <w:sz w:val="28"/>
        </w:rPr>
      </w:pPr>
      <w:r>
        <w:rPr>
          <w:rFonts w:ascii="Arial" w:eastAsia="仿宋" w:hAnsi="Arial" w:cs="Arial"/>
          <w:snapToGrid w:val="0"/>
          <w:sz w:val="28"/>
        </w:rPr>
        <w:t>由于项目未来可能涉及商业（其他商服）、公共服务用途，我公司根据北京市人民政府关于印发《北京市居住公共服务设施配置指标》和《北京市居民公共服务设施配置指标实施意见》的通知【京政发（</w:t>
      </w:r>
      <w:r>
        <w:rPr>
          <w:rFonts w:ascii="Arial" w:eastAsia="仿宋" w:hAnsi="Arial" w:cs="Arial"/>
          <w:snapToGrid w:val="0"/>
          <w:sz w:val="28"/>
        </w:rPr>
        <w:t>2015</w:t>
      </w:r>
      <w:r>
        <w:rPr>
          <w:rFonts w:ascii="Arial" w:eastAsia="仿宋" w:hAnsi="Arial" w:cs="Arial"/>
          <w:snapToGrid w:val="0"/>
          <w:sz w:val="28"/>
        </w:rPr>
        <w:t>）</w:t>
      </w:r>
      <w:r>
        <w:rPr>
          <w:rFonts w:ascii="Arial" w:eastAsia="仿宋" w:hAnsi="Arial" w:cs="Arial"/>
          <w:snapToGrid w:val="0"/>
          <w:sz w:val="28"/>
        </w:rPr>
        <w:t>7</w:t>
      </w:r>
      <w:r>
        <w:rPr>
          <w:rFonts w:ascii="Arial" w:eastAsia="仿宋" w:hAnsi="Arial" w:cs="Arial"/>
          <w:snapToGrid w:val="0"/>
          <w:sz w:val="28"/>
        </w:rPr>
        <w:t>号】</w:t>
      </w:r>
      <w:r>
        <w:rPr>
          <w:rFonts w:ascii="Arial" w:eastAsia="仿宋" w:hAnsi="Arial" w:cs="Arial"/>
          <w:snapToGrid w:val="0"/>
          <w:sz w:val="28"/>
        </w:rPr>
        <w:lastRenderedPageBreak/>
        <w:t>的要求，计算出配套设施面积如下：</w:t>
      </w:r>
    </w:p>
    <w:tbl>
      <w:tblPr>
        <w:tblW w:w="5000" w:type="pct"/>
        <w:tblLook w:val="04A0" w:firstRow="1" w:lastRow="0" w:firstColumn="1" w:lastColumn="0" w:noHBand="0" w:noVBand="1"/>
      </w:tblPr>
      <w:tblGrid>
        <w:gridCol w:w="1340"/>
        <w:gridCol w:w="3897"/>
        <w:gridCol w:w="2740"/>
        <w:gridCol w:w="1309"/>
      </w:tblGrid>
      <w:tr w:rsidR="0062768B" w14:paraId="608F9626" w14:textId="77777777">
        <w:trPr>
          <w:trHeight w:val="20"/>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122B72" w14:textId="77777777" w:rsidR="0062768B" w:rsidRDefault="00136729">
            <w:pPr>
              <w:widowControl/>
              <w:adjustRightInd/>
              <w:spacing w:line="240" w:lineRule="auto"/>
              <w:jc w:val="center"/>
              <w:textAlignment w:val="auto"/>
              <w:rPr>
                <w:rFonts w:ascii="Arial" w:eastAsia="仿宋" w:hAnsi="Arial" w:cs="Arial"/>
                <w:b/>
                <w:bCs/>
                <w:sz w:val="22"/>
                <w:szCs w:val="22"/>
              </w:rPr>
            </w:pPr>
            <w:r>
              <w:rPr>
                <w:rFonts w:ascii="Arial" w:eastAsia="仿宋" w:hAnsi="Arial" w:cs="Arial"/>
                <w:b/>
                <w:bCs/>
                <w:sz w:val="22"/>
                <w:szCs w:val="22"/>
              </w:rPr>
              <w:t>序号</w:t>
            </w:r>
          </w:p>
        </w:tc>
        <w:tc>
          <w:tcPr>
            <w:tcW w:w="2098" w:type="pct"/>
            <w:tcBorders>
              <w:top w:val="single" w:sz="4" w:space="0" w:color="auto"/>
              <w:left w:val="nil"/>
              <w:bottom w:val="single" w:sz="4" w:space="0" w:color="auto"/>
              <w:right w:val="single" w:sz="4" w:space="0" w:color="auto"/>
            </w:tcBorders>
            <w:shd w:val="clear" w:color="auto" w:fill="auto"/>
            <w:noWrap/>
            <w:vAlign w:val="center"/>
          </w:tcPr>
          <w:p w14:paraId="71199AD7" w14:textId="77777777" w:rsidR="0062768B" w:rsidRDefault="00136729">
            <w:pPr>
              <w:widowControl/>
              <w:adjustRightInd/>
              <w:spacing w:line="240" w:lineRule="auto"/>
              <w:jc w:val="center"/>
              <w:textAlignment w:val="auto"/>
              <w:rPr>
                <w:rFonts w:ascii="Arial" w:eastAsia="仿宋" w:hAnsi="Arial" w:cs="Arial"/>
                <w:b/>
                <w:bCs/>
                <w:sz w:val="22"/>
                <w:szCs w:val="22"/>
              </w:rPr>
            </w:pPr>
            <w:r>
              <w:rPr>
                <w:rFonts w:ascii="Arial" w:eastAsia="仿宋" w:hAnsi="Arial" w:cs="Arial"/>
                <w:b/>
                <w:bCs/>
                <w:sz w:val="22"/>
                <w:szCs w:val="22"/>
              </w:rPr>
              <w:t>项目</w:t>
            </w:r>
          </w:p>
        </w:tc>
        <w:tc>
          <w:tcPr>
            <w:tcW w:w="1475" w:type="pct"/>
            <w:tcBorders>
              <w:top w:val="single" w:sz="4" w:space="0" w:color="auto"/>
              <w:left w:val="nil"/>
              <w:bottom w:val="single" w:sz="4" w:space="0" w:color="auto"/>
              <w:right w:val="single" w:sz="4" w:space="0" w:color="auto"/>
            </w:tcBorders>
            <w:shd w:val="clear" w:color="auto" w:fill="auto"/>
            <w:noWrap/>
            <w:vAlign w:val="center"/>
          </w:tcPr>
          <w:p w14:paraId="7E561B05" w14:textId="77777777" w:rsidR="0062768B" w:rsidRDefault="00136729">
            <w:pPr>
              <w:widowControl/>
              <w:adjustRightInd/>
              <w:spacing w:line="240" w:lineRule="auto"/>
              <w:jc w:val="center"/>
              <w:textAlignment w:val="auto"/>
              <w:rPr>
                <w:rFonts w:ascii="Arial" w:eastAsia="仿宋" w:hAnsi="Arial" w:cs="Arial"/>
                <w:b/>
                <w:bCs/>
                <w:sz w:val="22"/>
                <w:szCs w:val="22"/>
              </w:rPr>
            </w:pPr>
            <w:r>
              <w:rPr>
                <w:rFonts w:ascii="Arial" w:eastAsia="仿宋" w:hAnsi="Arial" w:cs="Arial"/>
                <w:b/>
                <w:bCs/>
                <w:sz w:val="22"/>
                <w:szCs w:val="22"/>
              </w:rPr>
              <w:t>数量</w:t>
            </w:r>
          </w:p>
        </w:tc>
        <w:tc>
          <w:tcPr>
            <w:tcW w:w="705" w:type="pct"/>
            <w:tcBorders>
              <w:top w:val="single" w:sz="4" w:space="0" w:color="auto"/>
              <w:left w:val="nil"/>
              <w:bottom w:val="single" w:sz="4" w:space="0" w:color="auto"/>
              <w:right w:val="single" w:sz="4" w:space="0" w:color="auto"/>
            </w:tcBorders>
            <w:shd w:val="clear" w:color="auto" w:fill="auto"/>
            <w:noWrap/>
            <w:vAlign w:val="center"/>
          </w:tcPr>
          <w:p w14:paraId="485784D4" w14:textId="77777777" w:rsidR="0062768B" w:rsidRDefault="00136729">
            <w:pPr>
              <w:widowControl/>
              <w:adjustRightInd/>
              <w:spacing w:line="240" w:lineRule="auto"/>
              <w:jc w:val="center"/>
              <w:textAlignment w:val="auto"/>
              <w:rPr>
                <w:rFonts w:ascii="Arial" w:eastAsia="仿宋" w:hAnsi="Arial" w:cs="Arial"/>
                <w:b/>
                <w:bCs/>
                <w:sz w:val="22"/>
                <w:szCs w:val="22"/>
              </w:rPr>
            </w:pPr>
            <w:r>
              <w:rPr>
                <w:rFonts w:ascii="Arial" w:eastAsia="仿宋" w:hAnsi="Arial" w:cs="Arial"/>
                <w:b/>
                <w:bCs/>
                <w:sz w:val="22"/>
                <w:szCs w:val="22"/>
              </w:rPr>
              <w:t>单位</w:t>
            </w:r>
          </w:p>
        </w:tc>
      </w:tr>
      <w:tr w:rsidR="0062768B" w14:paraId="7DD68764" w14:textId="77777777">
        <w:trPr>
          <w:trHeight w:val="20"/>
        </w:trPr>
        <w:tc>
          <w:tcPr>
            <w:tcW w:w="721" w:type="pct"/>
            <w:tcBorders>
              <w:top w:val="nil"/>
              <w:left w:val="single" w:sz="4" w:space="0" w:color="auto"/>
              <w:bottom w:val="single" w:sz="4" w:space="0" w:color="auto"/>
              <w:right w:val="single" w:sz="4" w:space="0" w:color="auto"/>
            </w:tcBorders>
            <w:shd w:val="clear" w:color="auto" w:fill="auto"/>
            <w:noWrap/>
            <w:vAlign w:val="center"/>
          </w:tcPr>
          <w:p w14:paraId="7F802789"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w:t>
            </w:r>
            <w:r>
              <w:rPr>
                <w:rFonts w:ascii="Arial" w:eastAsia="仿宋" w:hAnsi="Arial" w:cs="Arial"/>
                <w:sz w:val="22"/>
                <w:szCs w:val="22"/>
              </w:rPr>
              <w:t>1</w:t>
            </w:r>
            <w:r>
              <w:rPr>
                <w:rFonts w:ascii="Arial" w:eastAsia="仿宋" w:hAnsi="Arial" w:cs="Arial"/>
                <w:sz w:val="22"/>
                <w:szCs w:val="22"/>
              </w:rPr>
              <w:t>）</w:t>
            </w:r>
          </w:p>
        </w:tc>
        <w:tc>
          <w:tcPr>
            <w:tcW w:w="2098" w:type="pct"/>
            <w:tcBorders>
              <w:top w:val="nil"/>
              <w:left w:val="nil"/>
              <w:bottom w:val="single" w:sz="4" w:space="0" w:color="auto"/>
              <w:right w:val="single" w:sz="4" w:space="0" w:color="auto"/>
            </w:tcBorders>
            <w:shd w:val="clear" w:color="auto" w:fill="auto"/>
            <w:noWrap/>
            <w:vAlign w:val="center"/>
          </w:tcPr>
          <w:p w14:paraId="7279BD02"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地上居住总建筑面积</w:t>
            </w:r>
          </w:p>
        </w:tc>
        <w:tc>
          <w:tcPr>
            <w:tcW w:w="1475" w:type="pct"/>
            <w:tcBorders>
              <w:top w:val="nil"/>
              <w:left w:val="nil"/>
              <w:bottom w:val="single" w:sz="4" w:space="0" w:color="auto"/>
              <w:right w:val="single" w:sz="4" w:space="0" w:color="auto"/>
            </w:tcBorders>
            <w:shd w:val="clear" w:color="auto" w:fill="auto"/>
            <w:noWrap/>
            <w:vAlign w:val="center"/>
          </w:tcPr>
          <w:p w14:paraId="4354FAE0"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68148.5400</w:t>
            </w:r>
          </w:p>
        </w:tc>
        <w:tc>
          <w:tcPr>
            <w:tcW w:w="705" w:type="pct"/>
            <w:tcBorders>
              <w:top w:val="nil"/>
              <w:left w:val="nil"/>
              <w:bottom w:val="single" w:sz="4" w:space="0" w:color="auto"/>
              <w:right w:val="single" w:sz="4" w:space="0" w:color="auto"/>
            </w:tcBorders>
            <w:shd w:val="clear" w:color="auto" w:fill="auto"/>
            <w:noWrap/>
            <w:vAlign w:val="center"/>
          </w:tcPr>
          <w:p w14:paraId="2E2934AC"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平方米</w:t>
            </w:r>
          </w:p>
        </w:tc>
      </w:tr>
      <w:tr w:rsidR="0062768B" w14:paraId="05387137" w14:textId="77777777">
        <w:trPr>
          <w:trHeight w:val="20"/>
        </w:trPr>
        <w:tc>
          <w:tcPr>
            <w:tcW w:w="721" w:type="pct"/>
            <w:tcBorders>
              <w:top w:val="nil"/>
              <w:left w:val="single" w:sz="4" w:space="0" w:color="auto"/>
              <w:bottom w:val="single" w:sz="4" w:space="0" w:color="auto"/>
              <w:right w:val="single" w:sz="4" w:space="0" w:color="auto"/>
            </w:tcBorders>
            <w:shd w:val="clear" w:color="auto" w:fill="auto"/>
            <w:noWrap/>
            <w:vAlign w:val="center"/>
          </w:tcPr>
          <w:p w14:paraId="2A151086"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w:t>
            </w:r>
            <w:r>
              <w:rPr>
                <w:rFonts w:ascii="Arial" w:eastAsia="仿宋" w:hAnsi="Arial" w:cs="Arial"/>
                <w:sz w:val="22"/>
                <w:szCs w:val="22"/>
              </w:rPr>
              <w:t>3</w:t>
            </w:r>
            <w:r>
              <w:rPr>
                <w:rFonts w:ascii="Arial" w:eastAsia="仿宋" w:hAnsi="Arial" w:cs="Arial"/>
                <w:sz w:val="22"/>
                <w:szCs w:val="22"/>
              </w:rPr>
              <w:t>）</w:t>
            </w:r>
          </w:p>
        </w:tc>
        <w:tc>
          <w:tcPr>
            <w:tcW w:w="2098" w:type="pct"/>
            <w:tcBorders>
              <w:top w:val="nil"/>
              <w:left w:val="nil"/>
              <w:bottom w:val="single" w:sz="4" w:space="0" w:color="auto"/>
              <w:right w:val="single" w:sz="4" w:space="0" w:color="auto"/>
            </w:tcBorders>
            <w:shd w:val="clear" w:color="auto" w:fill="auto"/>
            <w:vAlign w:val="center"/>
          </w:tcPr>
          <w:p w14:paraId="0527AEA3" w14:textId="531CCDDC"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人均住房建筑面积</w:t>
            </w:r>
          </w:p>
        </w:tc>
        <w:tc>
          <w:tcPr>
            <w:tcW w:w="1475" w:type="pct"/>
            <w:tcBorders>
              <w:top w:val="nil"/>
              <w:left w:val="nil"/>
              <w:bottom w:val="single" w:sz="4" w:space="0" w:color="auto"/>
              <w:right w:val="single" w:sz="4" w:space="0" w:color="auto"/>
            </w:tcBorders>
            <w:shd w:val="clear" w:color="auto" w:fill="auto"/>
            <w:noWrap/>
            <w:vAlign w:val="center"/>
          </w:tcPr>
          <w:p w14:paraId="5E636167"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35</w:t>
            </w:r>
          </w:p>
        </w:tc>
        <w:tc>
          <w:tcPr>
            <w:tcW w:w="705" w:type="pct"/>
            <w:tcBorders>
              <w:top w:val="nil"/>
              <w:left w:val="nil"/>
              <w:bottom w:val="single" w:sz="4" w:space="0" w:color="auto"/>
              <w:right w:val="single" w:sz="4" w:space="0" w:color="auto"/>
            </w:tcBorders>
            <w:shd w:val="clear" w:color="auto" w:fill="auto"/>
            <w:noWrap/>
            <w:vAlign w:val="center"/>
          </w:tcPr>
          <w:p w14:paraId="259CA37B"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平方米</w:t>
            </w:r>
          </w:p>
        </w:tc>
      </w:tr>
      <w:tr w:rsidR="0062768B" w14:paraId="5F1880EE" w14:textId="77777777">
        <w:trPr>
          <w:trHeight w:val="20"/>
        </w:trPr>
        <w:tc>
          <w:tcPr>
            <w:tcW w:w="721" w:type="pct"/>
            <w:tcBorders>
              <w:top w:val="nil"/>
              <w:left w:val="single" w:sz="4" w:space="0" w:color="auto"/>
              <w:bottom w:val="single" w:sz="4" w:space="0" w:color="auto"/>
              <w:right w:val="single" w:sz="4" w:space="0" w:color="auto"/>
            </w:tcBorders>
            <w:shd w:val="clear" w:color="auto" w:fill="auto"/>
            <w:noWrap/>
            <w:vAlign w:val="center"/>
          </w:tcPr>
          <w:p w14:paraId="615C020D"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w:t>
            </w:r>
            <w:r>
              <w:rPr>
                <w:rFonts w:ascii="Arial" w:eastAsia="仿宋" w:hAnsi="Arial" w:cs="Arial"/>
                <w:sz w:val="22"/>
                <w:szCs w:val="22"/>
              </w:rPr>
              <w:t>4</w:t>
            </w:r>
            <w:r>
              <w:rPr>
                <w:rFonts w:ascii="Arial" w:eastAsia="仿宋" w:hAnsi="Arial" w:cs="Arial"/>
                <w:sz w:val="22"/>
                <w:szCs w:val="22"/>
              </w:rPr>
              <w:t>）</w:t>
            </w:r>
          </w:p>
        </w:tc>
        <w:tc>
          <w:tcPr>
            <w:tcW w:w="2098" w:type="pct"/>
            <w:tcBorders>
              <w:top w:val="nil"/>
              <w:left w:val="nil"/>
              <w:bottom w:val="single" w:sz="4" w:space="0" w:color="auto"/>
              <w:right w:val="single" w:sz="4" w:space="0" w:color="auto"/>
            </w:tcBorders>
            <w:shd w:val="clear" w:color="auto" w:fill="auto"/>
            <w:vAlign w:val="center"/>
          </w:tcPr>
          <w:p w14:paraId="21C799F8"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平均每户人口数量</w:t>
            </w:r>
          </w:p>
        </w:tc>
        <w:tc>
          <w:tcPr>
            <w:tcW w:w="1475" w:type="pct"/>
            <w:tcBorders>
              <w:top w:val="nil"/>
              <w:left w:val="nil"/>
              <w:bottom w:val="single" w:sz="4" w:space="0" w:color="auto"/>
              <w:right w:val="single" w:sz="4" w:space="0" w:color="auto"/>
            </w:tcBorders>
            <w:shd w:val="clear" w:color="auto" w:fill="auto"/>
            <w:noWrap/>
            <w:vAlign w:val="center"/>
          </w:tcPr>
          <w:p w14:paraId="016A927E"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2.45</w:t>
            </w:r>
          </w:p>
        </w:tc>
        <w:tc>
          <w:tcPr>
            <w:tcW w:w="705" w:type="pct"/>
            <w:tcBorders>
              <w:top w:val="nil"/>
              <w:left w:val="nil"/>
              <w:bottom w:val="single" w:sz="4" w:space="0" w:color="auto"/>
              <w:right w:val="single" w:sz="4" w:space="0" w:color="auto"/>
            </w:tcBorders>
            <w:shd w:val="clear" w:color="auto" w:fill="auto"/>
            <w:noWrap/>
            <w:vAlign w:val="center"/>
          </w:tcPr>
          <w:p w14:paraId="7082A59E"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人</w:t>
            </w:r>
          </w:p>
        </w:tc>
      </w:tr>
      <w:tr w:rsidR="0062768B" w14:paraId="6781A8B0" w14:textId="77777777">
        <w:trPr>
          <w:trHeight w:val="20"/>
        </w:trPr>
        <w:tc>
          <w:tcPr>
            <w:tcW w:w="721" w:type="pct"/>
            <w:tcBorders>
              <w:top w:val="nil"/>
              <w:left w:val="single" w:sz="4" w:space="0" w:color="auto"/>
              <w:bottom w:val="single" w:sz="4" w:space="0" w:color="auto"/>
              <w:right w:val="single" w:sz="4" w:space="0" w:color="auto"/>
            </w:tcBorders>
            <w:shd w:val="clear" w:color="auto" w:fill="auto"/>
            <w:noWrap/>
            <w:vAlign w:val="center"/>
          </w:tcPr>
          <w:p w14:paraId="4A170A72"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w:t>
            </w:r>
            <w:r>
              <w:rPr>
                <w:rFonts w:ascii="Arial" w:eastAsia="仿宋" w:hAnsi="Arial" w:cs="Arial"/>
                <w:sz w:val="22"/>
                <w:szCs w:val="22"/>
              </w:rPr>
              <w:t>5</w:t>
            </w:r>
            <w:r>
              <w:rPr>
                <w:rFonts w:ascii="Arial" w:eastAsia="仿宋" w:hAnsi="Arial" w:cs="Arial"/>
                <w:sz w:val="22"/>
                <w:szCs w:val="22"/>
              </w:rPr>
              <w:t>）</w:t>
            </w:r>
          </w:p>
        </w:tc>
        <w:tc>
          <w:tcPr>
            <w:tcW w:w="2098" w:type="pct"/>
            <w:tcBorders>
              <w:top w:val="nil"/>
              <w:left w:val="nil"/>
              <w:bottom w:val="single" w:sz="4" w:space="0" w:color="auto"/>
              <w:right w:val="single" w:sz="4" w:space="0" w:color="auto"/>
            </w:tcBorders>
            <w:shd w:val="clear" w:color="auto" w:fill="auto"/>
            <w:noWrap/>
            <w:vAlign w:val="center"/>
          </w:tcPr>
          <w:p w14:paraId="70F8850A"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总人口数量</w:t>
            </w:r>
          </w:p>
        </w:tc>
        <w:tc>
          <w:tcPr>
            <w:tcW w:w="1475" w:type="pct"/>
            <w:tcBorders>
              <w:top w:val="nil"/>
              <w:left w:val="nil"/>
              <w:bottom w:val="single" w:sz="4" w:space="0" w:color="auto"/>
              <w:right w:val="single" w:sz="4" w:space="0" w:color="auto"/>
            </w:tcBorders>
            <w:shd w:val="clear" w:color="auto" w:fill="auto"/>
            <w:noWrap/>
            <w:vAlign w:val="center"/>
          </w:tcPr>
          <w:p w14:paraId="0914B15E"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1948</w:t>
            </w:r>
          </w:p>
        </w:tc>
        <w:tc>
          <w:tcPr>
            <w:tcW w:w="705" w:type="pct"/>
            <w:tcBorders>
              <w:top w:val="nil"/>
              <w:left w:val="nil"/>
              <w:bottom w:val="single" w:sz="4" w:space="0" w:color="auto"/>
              <w:right w:val="single" w:sz="4" w:space="0" w:color="auto"/>
            </w:tcBorders>
            <w:shd w:val="clear" w:color="auto" w:fill="auto"/>
            <w:noWrap/>
            <w:vAlign w:val="center"/>
          </w:tcPr>
          <w:p w14:paraId="79E529CD"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人</w:t>
            </w:r>
          </w:p>
        </w:tc>
      </w:tr>
      <w:tr w:rsidR="0062768B" w14:paraId="7542E814" w14:textId="77777777">
        <w:trPr>
          <w:trHeight w:val="20"/>
        </w:trPr>
        <w:tc>
          <w:tcPr>
            <w:tcW w:w="721" w:type="pct"/>
            <w:tcBorders>
              <w:top w:val="nil"/>
              <w:left w:val="single" w:sz="4" w:space="0" w:color="auto"/>
              <w:bottom w:val="single" w:sz="4" w:space="0" w:color="auto"/>
              <w:right w:val="single" w:sz="4" w:space="0" w:color="auto"/>
            </w:tcBorders>
            <w:shd w:val="clear" w:color="auto" w:fill="auto"/>
            <w:noWrap/>
            <w:vAlign w:val="center"/>
          </w:tcPr>
          <w:p w14:paraId="743154A8"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w:t>
            </w:r>
            <w:r>
              <w:rPr>
                <w:rFonts w:ascii="Arial" w:eastAsia="仿宋" w:hAnsi="Arial" w:cs="Arial"/>
                <w:sz w:val="22"/>
                <w:szCs w:val="22"/>
              </w:rPr>
              <w:t>6</w:t>
            </w:r>
            <w:r>
              <w:rPr>
                <w:rFonts w:ascii="Arial" w:eastAsia="仿宋" w:hAnsi="Arial" w:cs="Arial"/>
                <w:sz w:val="22"/>
                <w:szCs w:val="22"/>
              </w:rPr>
              <w:t>）</w:t>
            </w:r>
          </w:p>
        </w:tc>
        <w:tc>
          <w:tcPr>
            <w:tcW w:w="2098" w:type="pct"/>
            <w:tcBorders>
              <w:top w:val="nil"/>
              <w:left w:val="nil"/>
              <w:bottom w:val="single" w:sz="4" w:space="0" w:color="auto"/>
              <w:right w:val="single" w:sz="4" w:space="0" w:color="auto"/>
            </w:tcBorders>
            <w:shd w:val="clear" w:color="auto" w:fill="auto"/>
            <w:noWrap/>
            <w:vAlign w:val="center"/>
          </w:tcPr>
          <w:p w14:paraId="2389A060"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总户数</w:t>
            </w:r>
          </w:p>
        </w:tc>
        <w:tc>
          <w:tcPr>
            <w:tcW w:w="1475" w:type="pct"/>
            <w:tcBorders>
              <w:top w:val="nil"/>
              <w:left w:val="nil"/>
              <w:bottom w:val="single" w:sz="4" w:space="0" w:color="auto"/>
              <w:right w:val="single" w:sz="4" w:space="0" w:color="auto"/>
            </w:tcBorders>
            <w:shd w:val="clear" w:color="auto" w:fill="auto"/>
            <w:noWrap/>
            <w:vAlign w:val="center"/>
          </w:tcPr>
          <w:p w14:paraId="71DA59B7"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796</w:t>
            </w:r>
          </w:p>
        </w:tc>
        <w:tc>
          <w:tcPr>
            <w:tcW w:w="705" w:type="pct"/>
            <w:tcBorders>
              <w:top w:val="nil"/>
              <w:left w:val="nil"/>
              <w:bottom w:val="single" w:sz="4" w:space="0" w:color="auto"/>
              <w:right w:val="single" w:sz="4" w:space="0" w:color="auto"/>
            </w:tcBorders>
            <w:shd w:val="clear" w:color="auto" w:fill="auto"/>
            <w:noWrap/>
            <w:vAlign w:val="center"/>
          </w:tcPr>
          <w:p w14:paraId="60B0AF53"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户</w:t>
            </w:r>
          </w:p>
        </w:tc>
      </w:tr>
      <w:tr w:rsidR="0062768B" w14:paraId="1AE862B7" w14:textId="77777777">
        <w:trPr>
          <w:trHeight w:val="20"/>
        </w:trPr>
        <w:tc>
          <w:tcPr>
            <w:tcW w:w="721" w:type="pct"/>
            <w:tcBorders>
              <w:top w:val="nil"/>
              <w:left w:val="single" w:sz="4" w:space="0" w:color="auto"/>
              <w:bottom w:val="single" w:sz="4" w:space="0" w:color="auto"/>
              <w:right w:val="single" w:sz="4" w:space="0" w:color="auto"/>
            </w:tcBorders>
            <w:shd w:val="clear" w:color="auto" w:fill="auto"/>
            <w:noWrap/>
            <w:vAlign w:val="center"/>
          </w:tcPr>
          <w:p w14:paraId="22CE3ACF"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w:t>
            </w:r>
            <w:r>
              <w:rPr>
                <w:rFonts w:ascii="Arial" w:eastAsia="仿宋" w:hAnsi="Arial" w:cs="Arial"/>
                <w:sz w:val="22"/>
                <w:szCs w:val="22"/>
              </w:rPr>
              <w:t>7</w:t>
            </w:r>
            <w:r>
              <w:rPr>
                <w:rFonts w:ascii="Arial" w:eastAsia="仿宋" w:hAnsi="Arial" w:cs="Arial"/>
                <w:sz w:val="22"/>
                <w:szCs w:val="22"/>
              </w:rPr>
              <w:t>）</w:t>
            </w:r>
          </w:p>
        </w:tc>
        <w:tc>
          <w:tcPr>
            <w:tcW w:w="2098" w:type="pct"/>
            <w:tcBorders>
              <w:top w:val="nil"/>
              <w:left w:val="nil"/>
              <w:bottom w:val="single" w:sz="4" w:space="0" w:color="auto"/>
              <w:right w:val="single" w:sz="4" w:space="0" w:color="auto"/>
            </w:tcBorders>
            <w:shd w:val="clear" w:color="auto" w:fill="auto"/>
            <w:noWrap/>
            <w:vAlign w:val="center"/>
          </w:tcPr>
          <w:p w14:paraId="5CB2CE45"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公共服务建筑面积</w:t>
            </w:r>
          </w:p>
        </w:tc>
        <w:tc>
          <w:tcPr>
            <w:tcW w:w="1475" w:type="pct"/>
            <w:tcBorders>
              <w:top w:val="nil"/>
              <w:left w:val="nil"/>
              <w:bottom w:val="single" w:sz="4" w:space="0" w:color="auto"/>
              <w:right w:val="single" w:sz="4" w:space="0" w:color="auto"/>
            </w:tcBorders>
            <w:shd w:val="clear" w:color="auto" w:fill="auto"/>
            <w:noWrap/>
            <w:vAlign w:val="center"/>
          </w:tcPr>
          <w:p w14:paraId="52A01A50"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754</w:t>
            </w:r>
          </w:p>
        </w:tc>
        <w:tc>
          <w:tcPr>
            <w:tcW w:w="705" w:type="pct"/>
            <w:tcBorders>
              <w:top w:val="nil"/>
              <w:left w:val="nil"/>
              <w:bottom w:val="single" w:sz="4" w:space="0" w:color="auto"/>
              <w:right w:val="single" w:sz="4" w:space="0" w:color="auto"/>
            </w:tcBorders>
            <w:shd w:val="clear" w:color="auto" w:fill="auto"/>
            <w:noWrap/>
            <w:vAlign w:val="center"/>
          </w:tcPr>
          <w:p w14:paraId="631E4275"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平方米</w:t>
            </w:r>
          </w:p>
        </w:tc>
      </w:tr>
      <w:tr w:rsidR="0062768B" w14:paraId="100E4986" w14:textId="77777777">
        <w:trPr>
          <w:trHeight w:val="20"/>
        </w:trPr>
        <w:tc>
          <w:tcPr>
            <w:tcW w:w="721" w:type="pct"/>
            <w:tcBorders>
              <w:top w:val="nil"/>
              <w:left w:val="single" w:sz="4" w:space="0" w:color="auto"/>
              <w:bottom w:val="single" w:sz="4" w:space="0" w:color="auto"/>
              <w:right w:val="single" w:sz="4" w:space="0" w:color="auto"/>
            </w:tcBorders>
            <w:shd w:val="clear" w:color="auto" w:fill="auto"/>
            <w:noWrap/>
            <w:vAlign w:val="center"/>
          </w:tcPr>
          <w:p w14:paraId="601FC2A5"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w:t>
            </w:r>
            <w:r>
              <w:rPr>
                <w:rFonts w:ascii="Arial" w:eastAsia="仿宋" w:hAnsi="Arial" w:cs="Arial"/>
                <w:sz w:val="22"/>
                <w:szCs w:val="22"/>
              </w:rPr>
              <w:t>8</w:t>
            </w:r>
            <w:r>
              <w:rPr>
                <w:rFonts w:ascii="Arial" w:eastAsia="仿宋" w:hAnsi="Arial" w:cs="Arial"/>
                <w:sz w:val="22"/>
                <w:szCs w:val="22"/>
              </w:rPr>
              <w:t>）</w:t>
            </w:r>
          </w:p>
        </w:tc>
        <w:tc>
          <w:tcPr>
            <w:tcW w:w="2098" w:type="pct"/>
            <w:tcBorders>
              <w:top w:val="nil"/>
              <w:left w:val="nil"/>
              <w:bottom w:val="single" w:sz="4" w:space="0" w:color="auto"/>
              <w:right w:val="single" w:sz="4" w:space="0" w:color="auto"/>
            </w:tcBorders>
            <w:shd w:val="clear" w:color="auto" w:fill="auto"/>
            <w:noWrap/>
            <w:vAlign w:val="center"/>
          </w:tcPr>
          <w:p w14:paraId="3D7B2EAD"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其他商服建筑面积</w:t>
            </w:r>
          </w:p>
        </w:tc>
        <w:tc>
          <w:tcPr>
            <w:tcW w:w="1475" w:type="pct"/>
            <w:tcBorders>
              <w:top w:val="nil"/>
              <w:left w:val="nil"/>
              <w:bottom w:val="single" w:sz="4" w:space="0" w:color="auto"/>
              <w:right w:val="single" w:sz="4" w:space="0" w:color="auto"/>
            </w:tcBorders>
            <w:shd w:val="clear" w:color="auto" w:fill="auto"/>
            <w:noWrap/>
            <w:vAlign w:val="center"/>
          </w:tcPr>
          <w:p w14:paraId="39BA6A8E"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39</w:t>
            </w:r>
          </w:p>
        </w:tc>
        <w:tc>
          <w:tcPr>
            <w:tcW w:w="705" w:type="pct"/>
            <w:tcBorders>
              <w:top w:val="nil"/>
              <w:left w:val="nil"/>
              <w:bottom w:val="single" w:sz="4" w:space="0" w:color="auto"/>
              <w:right w:val="single" w:sz="4" w:space="0" w:color="auto"/>
            </w:tcBorders>
            <w:shd w:val="clear" w:color="auto" w:fill="auto"/>
            <w:noWrap/>
            <w:vAlign w:val="center"/>
          </w:tcPr>
          <w:p w14:paraId="3F969CE8"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平方米</w:t>
            </w:r>
          </w:p>
        </w:tc>
      </w:tr>
    </w:tbl>
    <w:p w14:paraId="73B35316" w14:textId="77777777" w:rsidR="0062768B" w:rsidRDefault="00136729">
      <w:pPr>
        <w:spacing w:after="26" w:line="300" w:lineRule="auto"/>
        <w:ind w:firstLineChars="200" w:firstLine="560"/>
        <w:jc w:val="both"/>
        <w:rPr>
          <w:rFonts w:ascii="Arial" w:eastAsia="仿宋" w:hAnsi="Arial" w:cs="Arial"/>
          <w:snapToGrid w:val="0"/>
          <w:sz w:val="28"/>
        </w:rPr>
      </w:pPr>
      <w:r>
        <w:rPr>
          <w:rFonts w:ascii="Arial" w:eastAsia="仿宋" w:hAnsi="Arial" w:cs="Arial"/>
          <w:snapToGrid w:val="0"/>
          <w:sz w:val="28"/>
        </w:rPr>
        <w:t>综上，本次评估设定商业（其他商服）用途出让地上建筑规模为</w:t>
      </w:r>
      <w:r>
        <w:rPr>
          <w:rFonts w:ascii="Arial" w:eastAsia="仿宋" w:hAnsi="Arial" w:cs="Arial"/>
          <w:snapToGrid w:val="0"/>
          <w:sz w:val="28"/>
        </w:rPr>
        <w:t>39</w:t>
      </w:r>
      <w:r>
        <w:rPr>
          <w:rFonts w:ascii="Arial" w:eastAsia="仿宋" w:hAnsi="Arial" w:cs="Arial"/>
          <w:snapToGrid w:val="0"/>
          <w:sz w:val="28"/>
        </w:rPr>
        <w:t>平方米，公共服务用途出让地上建筑规模为</w:t>
      </w:r>
      <w:r>
        <w:rPr>
          <w:rFonts w:ascii="Arial" w:eastAsia="仿宋" w:hAnsi="Arial" w:cs="Arial"/>
          <w:snapToGrid w:val="0"/>
          <w:sz w:val="28"/>
        </w:rPr>
        <w:t>754</w:t>
      </w:r>
      <w:r>
        <w:rPr>
          <w:rFonts w:ascii="Arial" w:eastAsia="仿宋" w:hAnsi="Arial" w:cs="Arial"/>
          <w:snapToGrid w:val="0"/>
          <w:sz w:val="28"/>
        </w:rPr>
        <w:t>平方米。</w:t>
      </w:r>
    </w:p>
    <w:p w14:paraId="41876495" w14:textId="77777777" w:rsidR="0062768B" w:rsidRDefault="00136729">
      <w:pPr>
        <w:spacing w:after="26" w:line="300" w:lineRule="auto"/>
        <w:ind w:firstLineChars="200" w:firstLine="560"/>
        <w:jc w:val="both"/>
        <w:rPr>
          <w:rFonts w:ascii="Arial" w:eastAsia="仿宋" w:hAnsi="Arial" w:cs="Arial"/>
          <w:sz w:val="28"/>
        </w:rPr>
      </w:pPr>
      <w:r>
        <w:rPr>
          <w:rFonts w:ascii="Arial" w:eastAsia="仿宋" w:hAnsi="Arial" w:cs="Arial"/>
          <w:snapToGrid w:val="0"/>
          <w:sz w:val="28"/>
        </w:rPr>
        <w:t>开发完成后的房地产价值的确定根据评估专业人员的市场调查及</w:t>
      </w:r>
      <w:r>
        <w:rPr>
          <w:rFonts w:ascii="Arial" w:eastAsia="仿宋" w:hAnsi="Arial" w:cs="Arial"/>
          <w:sz w:val="28"/>
          <w:szCs w:val="28"/>
        </w:rPr>
        <w:t>查询中指数据、建委网站等网上发布信息，</w:t>
      </w:r>
      <w:r>
        <w:rPr>
          <w:rFonts w:ascii="Arial" w:eastAsia="仿宋" w:hAnsi="Arial" w:cs="Arial"/>
          <w:sz w:val="28"/>
        </w:rPr>
        <w:t>采用房地产交易中的替代原则，选取与估价对象类似用途的案例，并分别进行交易情况、交易时间、用途、土地使用年限、区域因素、个别因素的修正。详见下表。</w:t>
      </w:r>
    </w:p>
    <w:p w14:paraId="022A900F" w14:textId="77777777" w:rsidR="0062768B" w:rsidRDefault="00136729">
      <w:pPr>
        <w:tabs>
          <w:tab w:val="left" w:pos="3261"/>
        </w:tabs>
        <w:spacing w:before="50" w:after="50" w:line="300" w:lineRule="auto"/>
        <w:jc w:val="center"/>
        <w:rPr>
          <w:rFonts w:ascii="Arial" w:hAnsi="Arial" w:cs="Arial"/>
        </w:rPr>
      </w:pPr>
      <w:r>
        <w:rPr>
          <w:rFonts w:ascii="Arial" w:eastAsia="仿宋" w:hAnsi="Arial" w:cs="Arial"/>
          <w:sz w:val="28"/>
          <w:szCs w:val="28"/>
        </w:rPr>
        <w:t>估价对象及案例位置示意图：</w:t>
      </w:r>
      <w:r>
        <w:rPr>
          <w:noProof/>
        </w:rPr>
        <w:drawing>
          <wp:inline distT="0" distB="0" distL="0" distR="0" wp14:anchorId="4692D567" wp14:editId="0A11A9E3">
            <wp:extent cx="5422900" cy="3763645"/>
            <wp:effectExtent l="0" t="0" r="1270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5422900" cy="3763645"/>
                    </a:xfrm>
                    <a:prstGeom prst="rect">
                      <a:avLst/>
                    </a:prstGeom>
                    <a:noFill/>
                    <a:ln>
                      <a:noFill/>
                    </a:ln>
                  </pic:spPr>
                </pic:pic>
              </a:graphicData>
            </a:graphic>
          </wp:inline>
        </w:drawing>
      </w:r>
    </w:p>
    <w:p w14:paraId="35E54074" w14:textId="77777777" w:rsidR="0062768B" w:rsidRDefault="00136729">
      <w:pPr>
        <w:spacing w:after="26" w:line="360" w:lineRule="auto"/>
        <w:ind w:firstLineChars="200" w:firstLine="560"/>
        <w:jc w:val="both"/>
        <w:rPr>
          <w:rFonts w:ascii="Arial" w:eastAsia="仿宋" w:hAnsi="Arial" w:cs="Arial"/>
          <w:sz w:val="28"/>
          <w:szCs w:val="28"/>
        </w:rPr>
      </w:pPr>
      <w:r>
        <w:rPr>
          <w:rFonts w:ascii="Arial" w:eastAsia="仿宋" w:hAnsi="Arial" w:cs="Arial"/>
          <w:sz w:val="28"/>
          <w:szCs w:val="28"/>
        </w:rPr>
        <w:br w:type="page"/>
      </w:r>
      <w:r>
        <w:rPr>
          <w:rFonts w:ascii="Arial" w:eastAsia="仿宋" w:hAnsi="Arial" w:cs="Arial"/>
          <w:sz w:val="28"/>
          <w:szCs w:val="28"/>
        </w:rPr>
        <w:lastRenderedPageBreak/>
        <w:t>案例</w:t>
      </w:r>
      <w:r>
        <w:rPr>
          <w:rFonts w:ascii="Arial" w:eastAsia="仿宋" w:hAnsi="Arial" w:cs="Arial"/>
          <w:sz w:val="28"/>
          <w:szCs w:val="28"/>
        </w:rPr>
        <w:t xml:space="preserve">D                   </w:t>
      </w:r>
      <w:r>
        <w:rPr>
          <w:rFonts w:ascii="Arial" w:eastAsia="仿宋" w:hAnsi="Arial" w:cs="Arial"/>
          <w:sz w:val="28"/>
          <w:szCs w:val="28"/>
        </w:rPr>
        <w:t>案例</w:t>
      </w:r>
      <w:r>
        <w:rPr>
          <w:rFonts w:ascii="Arial" w:eastAsia="仿宋" w:hAnsi="Arial" w:cs="Arial"/>
          <w:sz w:val="28"/>
          <w:szCs w:val="28"/>
        </w:rPr>
        <w:t xml:space="preserve">E                </w:t>
      </w:r>
      <w:r>
        <w:rPr>
          <w:rFonts w:ascii="Arial" w:eastAsia="仿宋" w:hAnsi="Arial" w:cs="Arial"/>
          <w:sz w:val="28"/>
          <w:szCs w:val="28"/>
        </w:rPr>
        <w:t>案例</w:t>
      </w:r>
      <w:r>
        <w:rPr>
          <w:rFonts w:ascii="Arial" w:eastAsia="仿宋" w:hAnsi="Arial" w:cs="Arial"/>
          <w:sz w:val="28"/>
          <w:szCs w:val="28"/>
        </w:rPr>
        <w:t>F</w:t>
      </w:r>
    </w:p>
    <w:p w14:paraId="36E6740A" w14:textId="77777777" w:rsidR="0062768B" w:rsidRDefault="00136729">
      <w:pPr>
        <w:spacing w:after="26" w:line="360" w:lineRule="auto"/>
        <w:ind w:firstLineChars="200" w:firstLine="480"/>
        <w:jc w:val="both"/>
        <w:rPr>
          <w:rFonts w:ascii="Arial" w:eastAsia="仿宋" w:hAnsi="Arial" w:cs="Arial"/>
          <w:sz w:val="28"/>
          <w:szCs w:val="28"/>
        </w:rPr>
      </w:pPr>
      <w:r>
        <w:rPr>
          <w:noProof/>
        </w:rPr>
        <w:drawing>
          <wp:inline distT="0" distB="0" distL="0" distR="0" wp14:anchorId="62AF184B" wp14:editId="7243E33D">
            <wp:extent cx="1403350" cy="1052830"/>
            <wp:effectExtent l="0" t="0" r="0"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1403350" cy="1052830"/>
                    </a:xfrm>
                    <a:prstGeom prst="rect">
                      <a:avLst/>
                    </a:prstGeom>
                    <a:noFill/>
                    <a:ln>
                      <a:noFill/>
                    </a:ln>
                  </pic:spPr>
                </pic:pic>
              </a:graphicData>
            </a:graphic>
          </wp:inline>
        </w:drawing>
      </w:r>
      <w:r>
        <w:t xml:space="preserve">     </w:t>
      </w:r>
      <w:r>
        <w:rPr>
          <w:noProof/>
        </w:rPr>
        <w:drawing>
          <wp:inline distT="0" distB="0" distL="0" distR="0" wp14:anchorId="31718DE0" wp14:editId="6C5CA7CF">
            <wp:extent cx="1424940" cy="1042035"/>
            <wp:effectExtent l="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424940" cy="1042035"/>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399E9D72" wp14:editId="150AF1F6">
            <wp:extent cx="1424940" cy="1052830"/>
            <wp:effectExtent l="0" t="0" r="0"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1424940" cy="1052830"/>
                    </a:xfrm>
                    <a:prstGeom prst="rect">
                      <a:avLst/>
                    </a:prstGeom>
                    <a:noFill/>
                    <a:ln>
                      <a:noFill/>
                    </a:ln>
                  </pic:spPr>
                </pic:pic>
              </a:graphicData>
            </a:graphic>
          </wp:inline>
        </w:drawing>
      </w:r>
      <w:r>
        <w:rPr>
          <w:rFonts w:ascii="Arial" w:hAnsi="Arial" w:cs="Arial"/>
        </w:rPr>
        <w:t xml:space="preserve">   </w:t>
      </w:r>
    </w:p>
    <w:p w14:paraId="41FE8291" w14:textId="77777777" w:rsidR="0062768B" w:rsidRDefault="00136729">
      <w:pPr>
        <w:spacing w:line="360" w:lineRule="auto"/>
        <w:jc w:val="center"/>
        <w:rPr>
          <w:rFonts w:ascii="Arial" w:eastAsia="仿宋" w:hAnsi="Arial" w:cs="Arial"/>
          <w:sz w:val="28"/>
          <w:szCs w:val="28"/>
        </w:rPr>
      </w:pPr>
      <w:r>
        <w:rPr>
          <w:rFonts w:ascii="Arial" w:eastAsia="仿宋" w:hAnsi="Arial" w:cs="Arial"/>
          <w:b/>
          <w:bCs/>
          <w:sz w:val="28"/>
          <w:szCs w:val="28"/>
        </w:rPr>
        <w:t>表</w:t>
      </w:r>
      <w:r>
        <w:rPr>
          <w:rFonts w:ascii="Arial" w:eastAsia="仿宋" w:hAnsi="Arial" w:cs="Arial"/>
          <w:b/>
          <w:bCs/>
          <w:sz w:val="28"/>
          <w:szCs w:val="28"/>
        </w:rPr>
        <w:t>3</w:t>
      </w:r>
      <w:r>
        <w:rPr>
          <w:rFonts w:ascii="Arial" w:eastAsia="仿宋" w:hAnsi="Arial" w:cs="Arial"/>
          <w:b/>
          <w:bCs/>
          <w:sz w:val="28"/>
          <w:szCs w:val="28"/>
        </w:rPr>
        <w:t>：比较因素条件说明及指数表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66"/>
        <w:gridCol w:w="764"/>
        <w:gridCol w:w="1414"/>
        <w:gridCol w:w="564"/>
        <w:gridCol w:w="1554"/>
        <w:gridCol w:w="566"/>
        <w:gridCol w:w="1403"/>
        <w:gridCol w:w="481"/>
        <w:gridCol w:w="1506"/>
        <w:gridCol w:w="566"/>
      </w:tblGrid>
      <w:tr w:rsidR="0062768B" w14:paraId="3484804D" w14:textId="77777777">
        <w:trPr>
          <w:trHeight w:val="280"/>
          <w:tblHeader/>
          <w:jc w:val="center"/>
        </w:trPr>
        <w:tc>
          <w:tcPr>
            <w:tcW w:w="615" w:type="pct"/>
            <w:gridSpan w:val="2"/>
            <w:vMerge w:val="restart"/>
            <w:tcBorders>
              <w:tl2br w:val="single" w:sz="4" w:space="0" w:color="auto"/>
            </w:tcBorders>
            <w:vAlign w:val="center"/>
          </w:tcPr>
          <w:p w14:paraId="5BE3D3D5" w14:textId="77777777" w:rsidR="0062768B" w:rsidRDefault="00136729">
            <w:pPr>
              <w:widowControl/>
              <w:adjustRightInd/>
              <w:spacing w:line="240" w:lineRule="exact"/>
              <w:jc w:val="right"/>
              <w:textAlignment w:val="auto"/>
              <w:rPr>
                <w:rFonts w:ascii="Arial" w:eastAsia="仿宋" w:hAnsi="Arial" w:cs="Arial"/>
                <w:snapToGrid w:val="0"/>
                <w:sz w:val="18"/>
                <w:szCs w:val="21"/>
              </w:rPr>
            </w:pPr>
            <w:r>
              <w:rPr>
                <w:rFonts w:ascii="Arial" w:eastAsia="仿宋" w:hAnsi="Arial" w:cs="Arial"/>
                <w:snapToGrid w:val="0"/>
                <w:sz w:val="18"/>
                <w:szCs w:val="21"/>
              </w:rPr>
              <w:t>估价对象及</w:t>
            </w:r>
          </w:p>
          <w:p w14:paraId="4E428671" w14:textId="77777777" w:rsidR="0062768B" w:rsidRDefault="00136729">
            <w:pPr>
              <w:widowControl/>
              <w:adjustRightInd/>
              <w:spacing w:line="240" w:lineRule="exact"/>
              <w:jc w:val="right"/>
              <w:textAlignment w:val="auto"/>
              <w:rPr>
                <w:rFonts w:ascii="Arial" w:eastAsia="仿宋" w:hAnsi="Arial" w:cs="Arial"/>
                <w:snapToGrid w:val="0"/>
                <w:sz w:val="18"/>
                <w:szCs w:val="21"/>
              </w:rPr>
            </w:pPr>
            <w:r>
              <w:rPr>
                <w:rFonts w:ascii="Arial" w:eastAsia="仿宋" w:hAnsi="Arial" w:cs="Arial"/>
                <w:snapToGrid w:val="0"/>
                <w:sz w:val="18"/>
                <w:szCs w:val="21"/>
              </w:rPr>
              <w:t>可比案例</w:t>
            </w:r>
          </w:p>
          <w:p w14:paraId="692C84C0"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p w14:paraId="6BEDA293"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p w14:paraId="1682BFAA" w14:textId="77777777" w:rsidR="0062768B" w:rsidRDefault="00136729">
            <w:pPr>
              <w:widowControl/>
              <w:adjustRightInd/>
              <w:spacing w:line="240" w:lineRule="exact"/>
              <w:textAlignment w:val="auto"/>
              <w:rPr>
                <w:rFonts w:ascii="Arial" w:eastAsia="仿宋" w:hAnsi="Arial" w:cs="Arial"/>
                <w:snapToGrid w:val="0"/>
                <w:sz w:val="18"/>
                <w:szCs w:val="21"/>
              </w:rPr>
            </w:pPr>
            <w:r>
              <w:rPr>
                <w:rFonts w:ascii="Arial" w:eastAsia="仿宋" w:hAnsi="Arial" w:cs="Arial"/>
                <w:snapToGrid w:val="0"/>
                <w:sz w:val="18"/>
                <w:szCs w:val="21"/>
              </w:rPr>
              <w:t>比较因素</w:t>
            </w:r>
          </w:p>
          <w:p w14:paraId="30FFA3B7"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tc>
        <w:tc>
          <w:tcPr>
            <w:tcW w:w="1077" w:type="pct"/>
            <w:gridSpan w:val="2"/>
            <w:vAlign w:val="center"/>
          </w:tcPr>
          <w:p w14:paraId="5A387DD8" w14:textId="77777777" w:rsidR="0062768B" w:rsidRDefault="00136729">
            <w:pPr>
              <w:widowControl/>
              <w:adjustRightInd/>
              <w:spacing w:line="240" w:lineRule="exact"/>
              <w:jc w:val="both"/>
              <w:textAlignment w:val="auto"/>
              <w:rPr>
                <w:rFonts w:ascii="Arial" w:eastAsia="仿宋" w:hAnsi="Arial" w:cs="Arial"/>
                <w:snapToGrid w:val="0"/>
                <w:sz w:val="18"/>
                <w:szCs w:val="21"/>
              </w:rPr>
            </w:pPr>
            <w:r>
              <w:rPr>
                <w:rFonts w:ascii="Arial" w:eastAsia="仿宋" w:hAnsi="Arial" w:cs="Arial"/>
                <w:snapToGrid w:val="0"/>
                <w:sz w:val="18"/>
                <w:szCs w:val="21"/>
              </w:rPr>
              <w:t>估价对象</w:t>
            </w:r>
          </w:p>
        </w:tc>
        <w:tc>
          <w:tcPr>
            <w:tcW w:w="1154" w:type="pct"/>
            <w:gridSpan w:val="2"/>
            <w:vAlign w:val="center"/>
          </w:tcPr>
          <w:p w14:paraId="4440A38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案例</w:t>
            </w:r>
            <w:r>
              <w:rPr>
                <w:rFonts w:ascii="Arial" w:eastAsia="仿宋" w:hAnsi="Arial" w:cs="Arial"/>
                <w:snapToGrid w:val="0"/>
                <w:sz w:val="18"/>
                <w:szCs w:val="21"/>
              </w:rPr>
              <w:t>D</w:t>
            </w:r>
          </w:p>
        </w:tc>
        <w:tc>
          <w:tcPr>
            <w:tcW w:w="1026" w:type="pct"/>
            <w:gridSpan w:val="2"/>
            <w:vAlign w:val="center"/>
          </w:tcPr>
          <w:p w14:paraId="7ECF617D"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案例</w:t>
            </w:r>
            <w:r>
              <w:rPr>
                <w:rFonts w:ascii="Arial" w:eastAsia="仿宋" w:hAnsi="Arial" w:cs="Arial"/>
                <w:snapToGrid w:val="0"/>
                <w:sz w:val="18"/>
                <w:szCs w:val="21"/>
              </w:rPr>
              <w:t>E</w:t>
            </w:r>
          </w:p>
        </w:tc>
        <w:tc>
          <w:tcPr>
            <w:tcW w:w="1128" w:type="pct"/>
            <w:gridSpan w:val="2"/>
            <w:vAlign w:val="center"/>
          </w:tcPr>
          <w:p w14:paraId="74DBEF9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案例</w:t>
            </w:r>
            <w:r>
              <w:rPr>
                <w:rFonts w:ascii="Arial" w:eastAsia="仿宋" w:hAnsi="Arial" w:cs="Arial"/>
                <w:snapToGrid w:val="0"/>
                <w:sz w:val="18"/>
                <w:szCs w:val="21"/>
              </w:rPr>
              <w:t>F</w:t>
            </w:r>
          </w:p>
        </w:tc>
      </w:tr>
      <w:tr w:rsidR="0062768B" w14:paraId="258CA074" w14:textId="77777777">
        <w:trPr>
          <w:trHeight w:val="280"/>
          <w:tblHeader/>
          <w:jc w:val="center"/>
        </w:trPr>
        <w:tc>
          <w:tcPr>
            <w:tcW w:w="615" w:type="pct"/>
            <w:gridSpan w:val="2"/>
            <w:vMerge/>
            <w:tcBorders>
              <w:tl2br w:val="single" w:sz="4" w:space="0" w:color="auto"/>
            </w:tcBorders>
            <w:vAlign w:val="center"/>
          </w:tcPr>
          <w:p w14:paraId="5A3AE635"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tc>
        <w:tc>
          <w:tcPr>
            <w:tcW w:w="770" w:type="pct"/>
            <w:vAlign w:val="center"/>
          </w:tcPr>
          <w:p w14:paraId="209E7019"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lang w:eastAsia="zh-Hans"/>
              </w:rPr>
              <w:t>北京市顺义区高丽营副中心区</w:t>
            </w:r>
            <w:r>
              <w:rPr>
                <w:rFonts w:ascii="Arial" w:eastAsia="仿宋" w:hAnsi="Arial" w:cs="Arial"/>
                <w:snapToGrid w:val="0"/>
                <w:sz w:val="18"/>
                <w:szCs w:val="21"/>
                <w:lang w:eastAsia="zh-Hans"/>
              </w:rPr>
              <w:t>SY02-0102-6003</w:t>
            </w:r>
            <w:r>
              <w:rPr>
                <w:rFonts w:ascii="Arial" w:eastAsia="仿宋" w:hAnsi="Arial" w:cs="Arial"/>
                <w:snapToGrid w:val="0"/>
                <w:sz w:val="18"/>
                <w:szCs w:val="21"/>
                <w:lang w:eastAsia="zh-Hans"/>
              </w:rPr>
              <w:t>号地块</w:t>
            </w:r>
          </w:p>
        </w:tc>
        <w:tc>
          <w:tcPr>
            <w:tcW w:w="307" w:type="pct"/>
            <w:vAlign w:val="center"/>
          </w:tcPr>
          <w:p w14:paraId="793F37AF"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系数</w:t>
            </w:r>
          </w:p>
        </w:tc>
        <w:tc>
          <w:tcPr>
            <w:tcW w:w="846" w:type="pct"/>
            <w:vAlign w:val="center"/>
          </w:tcPr>
          <w:p w14:paraId="09483528" w14:textId="77777777" w:rsidR="0062768B" w:rsidRDefault="00136729">
            <w:pPr>
              <w:widowControl/>
              <w:adjustRightInd/>
              <w:spacing w:line="240" w:lineRule="exact"/>
              <w:jc w:val="center"/>
              <w:textAlignment w:val="auto"/>
              <w:rPr>
                <w:rFonts w:ascii="Arial" w:eastAsia="仿宋" w:hAnsi="Arial" w:cs="Arial"/>
                <w:snapToGrid w:val="0"/>
                <w:sz w:val="18"/>
                <w:szCs w:val="21"/>
              </w:rPr>
            </w:pPr>
            <w:proofErr w:type="gramStart"/>
            <w:r>
              <w:rPr>
                <w:rFonts w:ascii="Arial" w:eastAsia="仿宋" w:hAnsi="Arial" w:cs="Arial" w:hint="eastAsia"/>
                <w:snapToGrid w:val="0"/>
                <w:sz w:val="18"/>
                <w:szCs w:val="21"/>
              </w:rPr>
              <w:t>顺义金街</w:t>
            </w:r>
            <w:proofErr w:type="gramEnd"/>
            <w:r>
              <w:rPr>
                <w:rFonts w:ascii="Arial" w:eastAsia="仿宋" w:hAnsi="Arial" w:cs="Arial" w:hint="eastAsia"/>
                <w:snapToGrid w:val="0"/>
                <w:sz w:val="18"/>
                <w:szCs w:val="21"/>
              </w:rPr>
              <w:t>华联购物中心商铺</w:t>
            </w:r>
          </w:p>
        </w:tc>
        <w:tc>
          <w:tcPr>
            <w:tcW w:w="308" w:type="pct"/>
            <w:vAlign w:val="center"/>
          </w:tcPr>
          <w:p w14:paraId="322BE752"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系数</w:t>
            </w:r>
          </w:p>
        </w:tc>
        <w:tc>
          <w:tcPr>
            <w:tcW w:w="764" w:type="pct"/>
            <w:vAlign w:val="center"/>
          </w:tcPr>
          <w:p w14:paraId="5955F992"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中粮祥云小镇商铺</w:t>
            </w:r>
          </w:p>
        </w:tc>
        <w:tc>
          <w:tcPr>
            <w:tcW w:w="262" w:type="pct"/>
            <w:vAlign w:val="center"/>
          </w:tcPr>
          <w:p w14:paraId="52544C80"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系数</w:t>
            </w:r>
          </w:p>
        </w:tc>
        <w:tc>
          <w:tcPr>
            <w:tcW w:w="820" w:type="pct"/>
            <w:vAlign w:val="center"/>
          </w:tcPr>
          <w:p w14:paraId="0707AB03"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府前</w:t>
            </w:r>
            <w:proofErr w:type="gramStart"/>
            <w:r>
              <w:rPr>
                <w:rFonts w:ascii="Arial" w:eastAsia="仿宋" w:hAnsi="Arial" w:cs="Arial" w:hint="eastAsia"/>
                <w:snapToGrid w:val="0"/>
                <w:sz w:val="18"/>
                <w:szCs w:val="21"/>
              </w:rPr>
              <w:t>西街商铺</w:t>
            </w:r>
            <w:proofErr w:type="gramEnd"/>
          </w:p>
        </w:tc>
        <w:tc>
          <w:tcPr>
            <w:tcW w:w="308" w:type="pct"/>
            <w:vAlign w:val="center"/>
          </w:tcPr>
          <w:p w14:paraId="4C3843C4"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系数</w:t>
            </w:r>
          </w:p>
        </w:tc>
      </w:tr>
      <w:tr w:rsidR="0062768B" w14:paraId="222584F4" w14:textId="77777777">
        <w:trPr>
          <w:trHeight w:val="290"/>
          <w:jc w:val="center"/>
        </w:trPr>
        <w:tc>
          <w:tcPr>
            <w:tcW w:w="615" w:type="pct"/>
            <w:gridSpan w:val="2"/>
            <w:vAlign w:val="center"/>
          </w:tcPr>
          <w:p w14:paraId="1EF44B59"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交易时间</w:t>
            </w:r>
          </w:p>
        </w:tc>
        <w:tc>
          <w:tcPr>
            <w:tcW w:w="770" w:type="pct"/>
            <w:vAlign w:val="center"/>
          </w:tcPr>
          <w:p w14:paraId="1CFB5A91" w14:textId="77777777" w:rsidR="0062768B" w:rsidRDefault="00550FB0">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2023</w:t>
            </w:r>
            <w:r>
              <w:rPr>
                <w:rFonts w:ascii="Arial" w:eastAsia="仿宋" w:hAnsi="Arial" w:cs="Arial"/>
                <w:snapToGrid w:val="0"/>
                <w:sz w:val="18"/>
                <w:szCs w:val="21"/>
              </w:rPr>
              <w:t>年</w:t>
            </w:r>
            <w:r>
              <w:rPr>
                <w:rFonts w:ascii="Arial" w:eastAsia="仿宋" w:hAnsi="Arial" w:cs="Arial"/>
                <w:snapToGrid w:val="0"/>
                <w:sz w:val="18"/>
                <w:szCs w:val="21"/>
              </w:rPr>
              <w:t>6</w:t>
            </w:r>
            <w:r>
              <w:rPr>
                <w:rFonts w:ascii="Arial" w:eastAsia="仿宋" w:hAnsi="Arial" w:cs="Arial"/>
                <w:snapToGrid w:val="0"/>
                <w:sz w:val="18"/>
                <w:szCs w:val="21"/>
              </w:rPr>
              <w:t>月</w:t>
            </w:r>
            <w:r>
              <w:rPr>
                <w:rFonts w:ascii="Arial" w:eastAsia="仿宋" w:hAnsi="Arial" w:cs="Arial"/>
                <w:snapToGrid w:val="0"/>
                <w:sz w:val="18"/>
                <w:szCs w:val="21"/>
              </w:rPr>
              <w:t>20</w:t>
            </w:r>
            <w:r>
              <w:rPr>
                <w:rFonts w:ascii="Arial" w:eastAsia="仿宋" w:hAnsi="Arial" w:cs="Arial"/>
                <w:snapToGrid w:val="0"/>
                <w:sz w:val="18"/>
                <w:szCs w:val="21"/>
              </w:rPr>
              <w:t>日</w:t>
            </w:r>
          </w:p>
        </w:tc>
        <w:tc>
          <w:tcPr>
            <w:tcW w:w="307" w:type="pct"/>
            <w:vAlign w:val="center"/>
          </w:tcPr>
          <w:p w14:paraId="71CE4038"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46" w:type="pct"/>
            <w:vAlign w:val="center"/>
          </w:tcPr>
          <w:p w14:paraId="1082927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2023</w:t>
            </w:r>
            <w:r>
              <w:rPr>
                <w:rFonts w:ascii="Arial" w:eastAsia="仿宋" w:hAnsi="Arial" w:cs="Arial"/>
                <w:snapToGrid w:val="0"/>
                <w:sz w:val="18"/>
                <w:szCs w:val="21"/>
              </w:rPr>
              <w:t>年</w:t>
            </w:r>
            <w:r>
              <w:rPr>
                <w:rFonts w:ascii="Arial" w:eastAsia="仿宋" w:hAnsi="Arial" w:cs="Arial"/>
                <w:snapToGrid w:val="0"/>
                <w:sz w:val="18"/>
                <w:szCs w:val="21"/>
              </w:rPr>
              <w:t>5</w:t>
            </w:r>
            <w:r>
              <w:rPr>
                <w:rFonts w:ascii="Arial" w:eastAsia="仿宋" w:hAnsi="Arial" w:cs="Arial"/>
                <w:snapToGrid w:val="0"/>
                <w:sz w:val="18"/>
                <w:szCs w:val="21"/>
              </w:rPr>
              <w:t>月</w:t>
            </w:r>
          </w:p>
        </w:tc>
        <w:tc>
          <w:tcPr>
            <w:tcW w:w="308" w:type="pct"/>
            <w:vAlign w:val="center"/>
          </w:tcPr>
          <w:p w14:paraId="7C3A9FD8"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764" w:type="pct"/>
            <w:vAlign w:val="center"/>
          </w:tcPr>
          <w:p w14:paraId="70132AE2"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2023</w:t>
            </w:r>
            <w:r>
              <w:rPr>
                <w:rFonts w:ascii="Arial" w:eastAsia="仿宋" w:hAnsi="Arial" w:cs="Arial"/>
                <w:snapToGrid w:val="0"/>
                <w:sz w:val="18"/>
                <w:szCs w:val="21"/>
              </w:rPr>
              <w:t>年</w:t>
            </w:r>
            <w:r>
              <w:rPr>
                <w:rFonts w:ascii="Arial" w:eastAsia="仿宋" w:hAnsi="Arial" w:cs="Arial"/>
                <w:snapToGrid w:val="0"/>
                <w:sz w:val="18"/>
                <w:szCs w:val="21"/>
              </w:rPr>
              <w:t>5</w:t>
            </w:r>
            <w:r>
              <w:rPr>
                <w:rFonts w:ascii="Arial" w:eastAsia="仿宋" w:hAnsi="Arial" w:cs="Arial"/>
                <w:snapToGrid w:val="0"/>
                <w:sz w:val="18"/>
                <w:szCs w:val="21"/>
              </w:rPr>
              <w:t>月</w:t>
            </w:r>
          </w:p>
        </w:tc>
        <w:tc>
          <w:tcPr>
            <w:tcW w:w="262" w:type="pct"/>
            <w:vAlign w:val="center"/>
          </w:tcPr>
          <w:p w14:paraId="2A612567"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20" w:type="pct"/>
            <w:vAlign w:val="center"/>
          </w:tcPr>
          <w:p w14:paraId="6BE49949"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2023</w:t>
            </w:r>
            <w:r>
              <w:rPr>
                <w:rFonts w:ascii="Arial" w:eastAsia="仿宋" w:hAnsi="Arial" w:cs="Arial"/>
                <w:snapToGrid w:val="0"/>
                <w:sz w:val="18"/>
                <w:szCs w:val="21"/>
              </w:rPr>
              <w:t>年</w:t>
            </w:r>
            <w:r>
              <w:rPr>
                <w:rFonts w:ascii="Arial" w:eastAsia="仿宋" w:hAnsi="Arial" w:cs="Arial"/>
                <w:snapToGrid w:val="0"/>
                <w:sz w:val="18"/>
                <w:szCs w:val="21"/>
              </w:rPr>
              <w:t>5</w:t>
            </w:r>
            <w:r>
              <w:rPr>
                <w:rFonts w:ascii="Arial" w:eastAsia="仿宋" w:hAnsi="Arial" w:cs="Arial"/>
                <w:snapToGrid w:val="0"/>
                <w:sz w:val="18"/>
                <w:szCs w:val="21"/>
              </w:rPr>
              <w:t>月</w:t>
            </w:r>
          </w:p>
        </w:tc>
        <w:tc>
          <w:tcPr>
            <w:tcW w:w="308" w:type="pct"/>
            <w:vAlign w:val="center"/>
          </w:tcPr>
          <w:p w14:paraId="3BD9808D"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r>
      <w:tr w:rsidR="0062768B" w14:paraId="29CCD936" w14:textId="77777777">
        <w:trPr>
          <w:trHeight w:val="290"/>
          <w:jc w:val="center"/>
        </w:trPr>
        <w:tc>
          <w:tcPr>
            <w:tcW w:w="615" w:type="pct"/>
            <w:gridSpan w:val="2"/>
            <w:vAlign w:val="center"/>
          </w:tcPr>
          <w:p w14:paraId="146A556B"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交易情况</w:t>
            </w:r>
          </w:p>
        </w:tc>
        <w:tc>
          <w:tcPr>
            <w:tcW w:w="770" w:type="pct"/>
            <w:vAlign w:val="center"/>
          </w:tcPr>
          <w:p w14:paraId="4E5B9601"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正常</w:t>
            </w:r>
          </w:p>
        </w:tc>
        <w:tc>
          <w:tcPr>
            <w:tcW w:w="307" w:type="pct"/>
            <w:vAlign w:val="center"/>
          </w:tcPr>
          <w:p w14:paraId="2A967DA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46" w:type="pct"/>
            <w:vAlign w:val="center"/>
          </w:tcPr>
          <w:p w14:paraId="6A604377"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正常</w:t>
            </w:r>
          </w:p>
        </w:tc>
        <w:tc>
          <w:tcPr>
            <w:tcW w:w="308" w:type="pct"/>
            <w:vAlign w:val="center"/>
          </w:tcPr>
          <w:p w14:paraId="0A092279"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764" w:type="pct"/>
            <w:vAlign w:val="center"/>
          </w:tcPr>
          <w:p w14:paraId="1B7C2133"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正常</w:t>
            </w:r>
          </w:p>
        </w:tc>
        <w:tc>
          <w:tcPr>
            <w:tcW w:w="262" w:type="pct"/>
            <w:vAlign w:val="center"/>
          </w:tcPr>
          <w:p w14:paraId="04125F92"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20" w:type="pct"/>
            <w:vAlign w:val="center"/>
          </w:tcPr>
          <w:p w14:paraId="4FE926CD"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正常</w:t>
            </w:r>
          </w:p>
        </w:tc>
        <w:tc>
          <w:tcPr>
            <w:tcW w:w="308" w:type="pct"/>
            <w:vAlign w:val="center"/>
          </w:tcPr>
          <w:p w14:paraId="3E825A3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r>
      <w:tr w:rsidR="0062768B" w14:paraId="385D1AF1" w14:textId="77777777">
        <w:trPr>
          <w:trHeight w:val="280"/>
          <w:jc w:val="center"/>
        </w:trPr>
        <w:tc>
          <w:tcPr>
            <w:tcW w:w="615" w:type="pct"/>
            <w:gridSpan w:val="2"/>
            <w:vAlign w:val="center"/>
          </w:tcPr>
          <w:p w14:paraId="32B5BA8B"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用途</w:t>
            </w:r>
          </w:p>
        </w:tc>
        <w:tc>
          <w:tcPr>
            <w:tcW w:w="770" w:type="pct"/>
            <w:vAlign w:val="center"/>
          </w:tcPr>
          <w:p w14:paraId="00C23CB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商业</w:t>
            </w:r>
          </w:p>
        </w:tc>
        <w:tc>
          <w:tcPr>
            <w:tcW w:w="307" w:type="pct"/>
            <w:vAlign w:val="center"/>
          </w:tcPr>
          <w:p w14:paraId="36A0FB1F"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46" w:type="pct"/>
            <w:vAlign w:val="center"/>
          </w:tcPr>
          <w:p w14:paraId="58CEB3A5"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商业</w:t>
            </w:r>
          </w:p>
        </w:tc>
        <w:tc>
          <w:tcPr>
            <w:tcW w:w="308" w:type="pct"/>
            <w:vAlign w:val="center"/>
          </w:tcPr>
          <w:p w14:paraId="0CCEAF04"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764" w:type="pct"/>
            <w:vAlign w:val="center"/>
          </w:tcPr>
          <w:p w14:paraId="701CD968"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商业</w:t>
            </w:r>
          </w:p>
        </w:tc>
        <w:tc>
          <w:tcPr>
            <w:tcW w:w="262" w:type="pct"/>
            <w:vAlign w:val="center"/>
          </w:tcPr>
          <w:p w14:paraId="1DCD6A63"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20" w:type="pct"/>
            <w:vAlign w:val="center"/>
          </w:tcPr>
          <w:p w14:paraId="6C771853"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商业</w:t>
            </w:r>
          </w:p>
        </w:tc>
        <w:tc>
          <w:tcPr>
            <w:tcW w:w="308" w:type="pct"/>
            <w:vAlign w:val="center"/>
          </w:tcPr>
          <w:p w14:paraId="2FED297B"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r>
      <w:tr w:rsidR="0062768B" w14:paraId="58FEB3A9" w14:textId="77777777">
        <w:trPr>
          <w:trHeight w:val="1375"/>
          <w:jc w:val="center"/>
        </w:trPr>
        <w:tc>
          <w:tcPr>
            <w:tcW w:w="199" w:type="pct"/>
            <w:vMerge w:val="restart"/>
            <w:vAlign w:val="center"/>
          </w:tcPr>
          <w:p w14:paraId="66DF5F6C"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区域</w:t>
            </w:r>
          </w:p>
          <w:p w14:paraId="225CA434"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因素</w:t>
            </w:r>
          </w:p>
          <w:p w14:paraId="57141CEE"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tc>
        <w:tc>
          <w:tcPr>
            <w:tcW w:w="416" w:type="pct"/>
            <w:vAlign w:val="center"/>
          </w:tcPr>
          <w:p w14:paraId="39A6BF96"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商业繁华度</w:t>
            </w:r>
          </w:p>
        </w:tc>
        <w:tc>
          <w:tcPr>
            <w:tcW w:w="770" w:type="pct"/>
            <w:vAlign w:val="center"/>
          </w:tcPr>
          <w:p w14:paraId="4D10B143"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估价对象位于北京市顺义区高丽营镇夏县营村，周边</w:t>
            </w:r>
            <w:r>
              <w:rPr>
                <w:rFonts w:ascii="Arial" w:eastAsia="仿宋" w:hAnsi="Arial" w:cs="Arial"/>
                <w:snapToGrid w:val="0"/>
                <w:sz w:val="18"/>
                <w:szCs w:val="21"/>
              </w:rPr>
              <w:t>2</w:t>
            </w:r>
            <w:r>
              <w:rPr>
                <w:rFonts w:ascii="Arial" w:eastAsia="仿宋" w:hAnsi="Arial" w:cs="Arial" w:hint="eastAsia"/>
                <w:snapToGrid w:val="0"/>
                <w:sz w:val="18"/>
                <w:szCs w:val="21"/>
              </w:rPr>
              <w:t>公里范围内有社区商业街，北京超天商贸中心、</w:t>
            </w:r>
            <w:proofErr w:type="gramStart"/>
            <w:r>
              <w:rPr>
                <w:rFonts w:ascii="Arial" w:eastAsia="仿宋" w:hAnsi="Arial" w:cs="Arial" w:hint="eastAsia"/>
                <w:snapToGrid w:val="0"/>
                <w:sz w:val="18"/>
                <w:szCs w:val="21"/>
              </w:rPr>
              <w:t>隆华购物中心</w:t>
            </w:r>
            <w:proofErr w:type="gramEnd"/>
            <w:r>
              <w:rPr>
                <w:rFonts w:ascii="Arial" w:eastAsia="仿宋" w:hAnsi="Arial" w:cs="Arial" w:hint="eastAsia"/>
                <w:snapToGrid w:val="0"/>
                <w:sz w:val="18"/>
                <w:szCs w:val="21"/>
              </w:rPr>
              <w:t>以及零星临街商铺，无大型购物中心，商业繁华度较差。</w:t>
            </w:r>
          </w:p>
        </w:tc>
        <w:tc>
          <w:tcPr>
            <w:tcW w:w="307" w:type="pct"/>
            <w:vAlign w:val="center"/>
          </w:tcPr>
          <w:p w14:paraId="146D3407" w14:textId="77777777" w:rsidR="0062768B" w:rsidRDefault="00136729">
            <w:pPr>
              <w:spacing w:line="240" w:lineRule="exact"/>
              <w:jc w:val="center"/>
              <w:rPr>
                <w:rFonts w:ascii="Arial" w:eastAsia="仿宋" w:hAnsi="Arial" w:cs="Arial"/>
                <w:snapToGrid w:val="0"/>
                <w:sz w:val="18"/>
                <w:szCs w:val="21"/>
              </w:rPr>
            </w:pPr>
            <w:r>
              <w:rPr>
                <w:rFonts w:ascii="Arial" w:eastAsia="仿宋" w:hAnsi="Arial" w:cs="Arial"/>
                <w:snapToGrid w:val="0"/>
                <w:sz w:val="18"/>
                <w:szCs w:val="21"/>
              </w:rPr>
              <w:t>100</w:t>
            </w:r>
          </w:p>
        </w:tc>
        <w:tc>
          <w:tcPr>
            <w:tcW w:w="846" w:type="pct"/>
            <w:vAlign w:val="center"/>
          </w:tcPr>
          <w:p w14:paraId="3C71BE78" w14:textId="77777777" w:rsidR="0062768B" w:rsidRDefault="00136729">
            <w:pPr>
              <w:spacing w:line="240" w:lineRule="exact"/>
              <w:jc w:val="center"/>
              <w:rPr>
                <w:rFonts w:ascii="Arial" w:eastAsia="仿宋" w:hAnsi="Arial" w:cs="Arial"/>
                <w:snapToGrid w:val="0"/>
                <w:sz w:val="18"/>
                <w:szCs w:val="21"/>
              </w:rPr>
            </w:pPr>
            <w:r>
              <w:rPr>
                <w:rFonts w:ascii="Arial" w:eastAsia="仿宋" w:hAnsi="Arial" w:cs="Arial" w:hint="eastAsia"/>
                <w:snapToGrid w:val="0"/>
                <w:sz w:val="18"/>
                <w:szCs w:val="21"/>
              </w:rPr>
              <w:t>案例</w:t>
            </w:r>
            <w:r>
              <w:rPr>
                <w:rFonts w:ascii="Arial" w:eastAsia="仿宋" w:hAnsi="Arial" w:cs="Arial" w:hint="eastAsia"/>
                <w:snapToGrid w:val="0"/>
                <w:sz w:val="18"/>
                <w:szCs w:val="21"/>
              </w:rPr>
              <w:t>D</w:t>
            </w:r>
            <w:r>
              <w:rPr>
                <w:rFonts w:ascii="Arial" w:eastAsia="仿宋" w:hAnsi="Arial" w:cs="Arial" w:hint="eastAsia"/>
                <w:snapToGrid w:val="0"/>
                <w:sz w:val="18"/>
                <w:szCs w:val="21"/>
              </w:rPr>
              <w:t>周边</w:t>
            </w:r>
            <w:r>
              <w:rPr>
                <w:rFonts w:ascii="Arial" w:eastAsia="仿宋" w:hAnsi="Arial" w:cs="Arial" w:hint="eastAsia"/>
                <w:snapToGrid w:val="0"/>
                <w:sz w:val="18"/>
                <w:szCs w:val="21"/>
              </w:rPr>
              <w:t>2</w:t>
            </w:r>
            <w:r>
              <w:rPr>
                <w:rFonts w:ascii="Arial" w:eastAsia="仿宋" w:hAnsi="Arial" w:cs="Arial" w:hint="eastAsia"/>
                <w:snapToGrid w:val="0"/>
                <w:sz w:val="18"/>
                <w:szCs w:val="21"/>
              </w:rPr>
              <w:t>公里范围内有北京华联</w:t>
            </w:r>
            <w:proofErr w:type="gramStart"/>
            <w:r>
              <w:rPr>
                <w:rFonts w:ascii="Arial" w:eastAsia="仿宋" w:hAnsi="Arial" w:cs="Arial" w:hint="eastAsia"/>
                <w:snapToGrid w:val="0"/>
                <w:sz w:val="18"/>
                <w:szCs w:val="21"/>
              </w:rPr>
              <w:t>顺义金街</w:t>
            </w:r>
            <w:proofErr w:type="gramEnd"/>
            <w:r>
              <w:rPr>
                <w:rFonts w:ascii="Arial" w:eastAsia="仿宋" w:hAnsi="Arial" w:cs="Arial" w:hint="eastAsia"/>
                <w:snapToGrid w:val="0"/>
                <w:sz w:val="18"/>
                <w:szCs w:val="21"/>
              </w:rPr>
              <w:t>购物中心、新世界百货（新顺南大街千姿店）、国泰百货（新顺南大街店）等购物广场，商业繁华度较好</w:t>
            </w:r>
          </w:p>
        </w:tc>
        <w:tc>
          <w:tcPr>
            <w:tcW w:w="308" w:type="pct"/>
            <w:vAlign w:val="center"/>
          </w:tcPr>
          <w:p w14:paraId="72A4D7D5" w14:textId="77777777" w:rsidR="0062768B" w:rsidRDefault="00136729">
            <w:pPr>
              <w:spacing w:line="240" w:lineRule="exact"/>
              <w:jc w:val="center"/>
              <w:rPr>
                <w:rFonts w:ascii="Arial" w:eastAsia="仿宋" w:hAnsi="Arial" w:cs="Arial"/>
                <w:snapToGrid w:val="0"/>
                <w:sz w:val="18"/>
                <w:szCs w:val="21"/>
              </w:rPr>
            </w:pPr>
            <w:r>
              <w:rPr>
                <w:rFonts w:ascii="Arial" w:eastAsia="仿宋" w:hAnsi="Arial" w:cs="Arial"/>
                <w:snapToGrid w:val="0"/>
                <w:sz w:val="18"/>
                <w:szCs w:val="21"/>
              </w:rPr>
              <w:t>104</w:t>
            </w:r>
          </w:p>
        </w:tc>
        <w:tc>
          <w:tcPr>
            <w:tcW w:w="764" w:type="pct"/>
            <w:vAlign w:val="center"/>
          </w:tcPr>
          <w:p w14:paraId="38F90934" w14:textId="77777777" w:rsidR="0062768B" w:rsidRDefault="00136729">
            <w:pPr>
              <w:spacing w:line="240" w:lineRule="exact"/>
              <w:jc w:val="center"/>
              <w:rPr>
                <w:rFonts w:ascii="Arial" w:eastAsia="仿宋" w:hAnsi="Arial" w:cs="Arial"/>
                <w:snapToGrid w:val="0"/>
                <w:sz w:val="18"/>
                <w:szCs w:val="21"/>
              </w:rPr>
            </w:pPr>
            <w:r>
              <w:rPr>
                <w:rFonts w:ascii="Arial" w:eastAsia="仿宋" w:hAnsi="Arial" w:cs="Arial" w:hint="eastAsia"/>
                <w:snapToGrid w:val="0"/>
                <w:sz w:val="18"/>
                <w:szCs w:val="21"/>
              </w:rPr>
              <w:t>案例</w:t>
            </w:r>
            <w:r>
              <w:rPr>
                <w:rFonts w:ascii="Arial" w:eastAsia="仿宋" w:hAnsi="Arial" w:cs="Arial" w:hint="eastAsia"/>
                <w:snapToGrid w:val="0"/>
                <w:sz w:val="18"/>
                <w:szCs w:val="21"/>
              </w:rPr>
              <w:t>E</w:t>
            </w:r>
            <w:r>
              <w:rPr>
                <w:rFonts w:ascii="Arial" w:eastAsia="仿宋" w:hAnsi="Arial" w:cs="Arial" w:hint="eastAsia"/>
                <w:snapToGrid w:val="0"/>
                <w:sz w:val="18"/>
                <w:szCs w:val="21"/>
              </w:rPr>
              <w:t>周边</w:t>
            </w:r>
            <w:r>
              <w:rPr>
                <w:rFonts w:ascii="Arial" w:eastAsia="仿宋" w:hAnsi="Arial" w:cs="Arial" w:hint="eastAsia"/>
                <w:snapToGrid w:val="0"/>
                <w:sz w:val="18"/>
                <w:szCs w:val="21"/>
              </w:rPr>
              <w:t>2</w:t>
            </w:r>
            <w:r>
              <w:rPr>
                <w:rFonts w:ascii="Arial" w:eastAsia="仿宋" w:hAnsi="Arial" w:cs="Arial" w:hint="eastAsia"/>
                <w:snapToGrid w:val="0"/>
                <w:sz w:val="18"/>
                <w:szCs w:val="21"/>
              </w:rPr>
              <w:t>公里范围内有中粮祥云小镇商业街、艾迪城等购物广场及临街商业，商业繁华度一般</w:t>
            </w:r>
          </w:p>
        </w:tc>
        <w:tc>
          <w:tcPr>
            <w:tcW w:w="262" w:type="pct"/>
            <w:vAlign w:val="center"/>
          </w:tcPr>
          <w:p w14:paraId="44E2EF6D" w14:textId="77777777" w:rsidR="0062768B" w:rsidRDefault="00136729">
            <w:pPr>
              <w:spacing w:line="240" w:lineRule="exact"/>
              <w:jc w:val="center"/>
              <w:rPr>
                <w:rFonts w:ascii="Arial" w:eastAsia="仿宋" w:hAnsi="Arial" w:cs="Arial"/>
                <w:snapToGrid w:val="0"/>
                <w:sz w:val="18"/>
                <w:szCs w:val="21"/>
              </w:rPr>
            </w:pPr>
            <w:r>
              <w:rPr>
                <w:rFonts w:ascii="Arial" w:eastAsia="仿宋" w:hAnsi="Arial" w:cs="Arial"/>
                <w:snapToGrid w:val="0"/>
                <w:sz w:val="18"/>
                <w:szCs w:val="21"/>
              </w:rPr>
              <w:t>102</w:t>
            </w:r>
          </w:p>
        </w:tc>
        <w:tc>
          <w:tcPr>
            <w:tcW w:w="820" w:type="pct"/>
            <w:vAlign w:val="center"/>
          </w:tcPr>
          <w:p w14:paraId="5107F2C7" w14:textId="77777777" w:rsidR="0062768B" w:rsidRDefault="00136729">
            <w:pPr>
              <w:spacing w:line="240" w:lineRule="exact"/>
              <w:jc w:val="center"/>
              <w:rPr>
                <w:rFonts w:ascii="Arial" w:eastAsia="仿宋" w:hAnsi="Arial" w:cs="Arial"/>
                <w:snapToGrid w:val="0"/>
                <w:sz w:val="18"/>
                <w:szCs w:val="21"/>
              </w:rPr>
            </w:pPr>
            <w:r>
              <w:rPr>
                <w:rFonts w:ascii="Arial" w:eastAsia="仿宋" w:hAnsi="Arial" w:cs="Arial" w:hint="eastAsia"/>
                <w:snapToGrid w:val="0"/>
                <w:sz w:val="18"/>
                <w:szCs w:val="21"/>
              </w:rPr>
              <w:t>案例</w:t>
            </w:r>
            <w:r>
              <w:rPr>
                <w:rFonts w:ascii="Arial" w:eastAsia="仿宋" w:hAnsi="Arial" w:cs="Arial" w:hint="eastAsia"/>
                <w:snapToGrid w:val="0"/>
                <w:sz w:val="18"/>
                <w:szCs w:val="21"/>
              </w:rPr>
              <w:t>F</w:t>
            </w:r>
            <w:r>
              <w:rPr>
                <w:rFonts w:ascii="Arial" w:eastAsia="仿宋" w:hAnsi="Arial" w:cs="Arial" w:hint="eastAsia"/>
                <w:snapToGrid w:val="0"/>
                <w:sz w:val="18"/>
                <w:szCs w:val="21"/>
              </w:rPr>
              <w:t>周边</w:t>
            </w:r>
            <w:r>
              <w:rPr>
                <w:rFonts w:ascii="Arial" w:eastAsia="仿宋" w:hAnsi="Arial" w:cs="Arial" w:hint="eastAsia"/>
                <w:snapToGrid w:val="0"/>
                <w:sz w:val="18"/>
                <w:szCs w:val="21"/>
              </w:rPr>
              <w:t>2</w:t>
            </w:r>
            <w:r>
              <w:rPr>
                <w:rFonts w:ascii="Arial" w:eastAsia="仿宋" w:hAnsi="Arial" w:cs="Arial" w:hint="eastAsia"/>
                <w:snapToGrid w:val="0"/>
                <w:sz w:val="18"/>
                <w:szCs w:val="21"/>
              </w:rPr>
              <w:t>公里范围内有北京华联</w:t>
            </w:r>
            <w:proofErr w:type="gramStart"/>
            <w:r>
              <w:rPr>
                <w:rFonts w:ascii="Arial" w:eastAsia="仿宋" w:hAnsi="Arial" w:cs="Arial" w:hint="eastAsia"/>
                <w:snapToGrid w:val="0"/>
                <w:sz w:val="18"/>
                <w:szCs w:val="21"/>
              </w:rPr>
              <w:t>顺义金街</w:t>
            </w:r>
            <w:proofErr w:type="gramEnd"/>
            <w:r>
              <w:rPr>
                <w:rFonts w:ascii="Arial" w:eastAsia="仿宋" w:hAnsi="Arial" w:cs="Arial" w:hint="eastAsia"/>
                <w:snapToGrid w:val="0"/>
                <w:sz w:val="18"/>
                <w:szCs w:val="21"/>
              </w:rPr>
              <w:t>购物中心、新世界百货（新顺南大街千姿店）、国泰百货（新顺南大街店）等购物广场，商业繁华度较好</w:t>
            </w:r>
          </w:p>
        </w:tc>
        <w:tc>
          <w:tcPr>
            <w:tcW w:w="308" w:type="pct"/>
            <w:vAlign w:val="center"/>
          </w:tcPr>
          <w:p w14:paraId="38F98F64" w14:textId="77777777" w:rsidR="0062768B" w:rsidRDefault="00136729">
            <w:pPr>
              <w:spacing w:line="240" w:lineRule="exact"/>
              <w:jc w:val="center"/>
              <w:rPr>
                <w:rFonts w:ascii="Arial" w:eastAsia="仿宋" w:hAnsi="Arial" w:cs="Arial"/>
                <w:snapToGrid w:val="0"/>
                <w:sz w:val="18"/>
                <w:szCs w:val="21"/>
              </w:rPr>
            </w:pPr>
            <w:r>
              <w:rPr>
                <w:rFonts w:ascii="Arial" w:eastAsia="仿宋" w:hAnsi="Arial" w:cs="Arial"/>
                <w:snapToGrid w:val="0"/>
                <w:sz w:val="18"/>
                <w:szCs w:val="21"/>
              </w:rPr>
              <w:t>104</w:t>
            </w:r>
          </w:p>
        </w:tc>
      </w:tr>
      <w:tr w:rsidR="0062768B" w14:paraId="3E297D83" w14:textId="77777777">
        <w:trPr>
          <w:trHeight w:val="2520"/>
          <w:jc w:val="center"/>
        </w:trPr>
        <w:tc>
          <w:tcPr>
            <w:tcW w:w="199" w:type="pct"/>
            <w:vMerge/>
            <w:vAlign w:val="center"/>
          </w:tcPr>
          <w:p w14:paraId="3E3F4D69"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tc>
        <w:tc>
          <w:tcPr>
            <w:tcW w:w="416" w:type="pct"/>
            <w:vAlign w:val="center"/>
          </w:tcPr>
          <w:p w14:paraId="1D898805"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交通便捷度</w:t>
            </w:r>
          </w:p>
        </w:tc>
        <w:tc>
          <w:tcPr>
            <w:tcW w:w="770" w:type="pct"/>
            <w:vAlign w:val="center"/>
          </w:tcPr>
          <w:p w14:paraId="4033D73F"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估价对象属于北京市顺义区高丽营镇夏县营村，估价对象紧</w:t>
            </w:r>
            <w:proofErr w:type="gramStart"/>
            <w:r>
              <w:rPr>
                <w:rFonts w:ascii="Arial" w:eastAsia="仿宋" w:hAnsi="Arial" w:cs="Arial" w:hint="eastAsia"/>
                <w:snapToGrid w:val="0"/>
                <w:sz w:val="18"/>
                <w:szCs w:val="21"/>
              </w:rPr>
              <w:t>临城市</w:t>
            </w:r>
            <w:proofErr w:type="gramEnd"/>
            <w:r>
              <w:rPr>
                <w:rFonts w:ascii="Arial" w:eastAsia="仿宋" w:hAnsi="Arial" w:cs="Arial" w:hint="eastAsia"/>
                <w:snapToGrid w:val="0"/>
                <w:sz w:val="18"/>
                <w:szCs w:val="21"/>
              </w:rPr>
              <w:t>主干道——</w:t>
            </w:r>
            <w:proofErr w:type="gramStart"/>
            <w:r>
              <w:rPr>
                <w:rFonts w:ascii="Arial" w:eastAsia="仿宋" w:hAnsi="Arial" w:cs="Arial" w:hint="eastAsia"/>
                <w:snapToGrid w:val="0"/>
                <w:sz w:val="18"/>
                <w:szCs w:val="21"/>
              </w:rPr>
              <w:t>火寺路</w:t>
            </w:r>
            <w:proofErr w:type="gramEnd"/>
            <w:r>
              <w:rPr>
                <w:rFonts w:ascii="Arial" w:eastAsia="仿宋" w:hAnsi="Arial" w:cs="Arial" w:hint="eastAsia"/>
                <w:snapToGrid w:val="0"/>
                <w:sz w:val="18"/>
                <w:szCs w:val="21"/>
              </w:rPr>
              <w:t>、周边</w:t>
            </w:r>
            <w:r>
              <w:rPr>
                <w:rFonts w:ascii="Arial" w:eastAsia="仿宋" w:hAnsi="Arial" w:cs="Arial"/>
                <w:snapToGrid w:val="0"/>
                <w:sz w:val="18"/>
                <w:szCs w:val="21"/>
              </w:rPr>
              <w:t>1</w:t>
            </w:r>
            <w:r>
              <w:rPr>
                <w:rFonts w:ascii="Arial" w:eastAsia="仿宋" w:hAnsi="Arial" w:cs="Arial" w:hint="eastAsia"/>
                <w:snapToGrid w:val="0"/>
                <w:sz w:val="18"/>
                <w:szCs w:val="21"/>
              </w:rPr>
              <w:t>公里范围内有顺</w:t>
            </w:r>
            <w:r>
              <w:rPr>
                <w:rFonts w:ascii="Arial" w:eastAsia="仿宋" w:hAnsi="Arial" w:cs="Arial"/>
                <w:snapToGrid w:val="0"/>
                <w:sz w:val="18"/>
                <w:szCs w:val="21"/>
              </w:rPr>
              <w:t>25</w:t>
            </w:r>
            <w:r>
              <w:rPr>
                <w:rFonts w:ascii="Arial" w:eastAsia="仿宋" w:hAnsi="Arial" w:cs="Arial" w:hint="eastAsia"/>
                <w:snapToGrid w:val="0"/>
                <w:sz w:val="18"/>
                <w:szCs w:val="21"/>
              </w:rPr>
              <w:t>路、顺</w:t>
            </w:r>
            <w:r>
              <w:rPr>
                <w:rFonts w:ascii="Arial" w:eastAsia="仿宋" w:hAnsi="Arial" w:cs="Arial"/>
                <w:snapToGrid w:val="0"/>
                <w:sz w:val="18"/>
                <w:szCs w:val="21"/>
              </w:rPr>
              <w:t>42</w:t>
            </w:r>
            <w:r>
              <w:rPr>
                <w:rFonts w:ascii="Arial" w:eastAsia="仿宋" w:hAnsi="Arial" w:cs="Arial" w:hint="eastAsia"/>
                <w:snapToGrid w:val="0"/>
                <w:sz w:val="18"/>
                <w:szCs w:val="21"/>
              </w:rPr>
              <w:t>路、顺</w:t>
            </w:r>
            <w:r>
              <w:rPr>
                <w:rFonts w:ascii="Arial" w:eastAsia="仿宋" w:hAnsi="Arial" w:cs="Arial"/>
                <w:snapToGrid w:val="0"/>
                <w:sz w:val="18"/>
                <w:szCs w:val="21"/>
              </w:rPr>
              <w:t>49</w:t>
            </w:r>
            <w:r>
              <w:rPr>
                <w:rFonts w:ascii="Arial" w:eastAsia="仿宋" w:hAnsi="Arial" w:cs="Arial" w:hint="eastAsia"/>
                <w:snapToGrid w:val="0"/>
                <w:sz w:val="18"/>
                <w:szCs w:val="21"/>
              </w:rPr>
              <w:t>路、顺</w:t>
            </w:r>
            <w:r>
              <w:rPr>
                <w:rFonts w:ascii="Arial" w:eastAsia="仿宋" w:hAnsi="Arial" w:cs="Arial"/>
                <w:snapToGrid w:val="0"/>
                <w:sz w:val="18"/>
                <w:szCs w:val="21"/>
              </w:rPr>
              <w:t>69</w:t>
            </w:r>
            <w:r>
              <w:rPr>
                <w:rFonts w:ascii="Arial" w:eastAsia="仿宋" w:hAnsi="Arial" w:cs="Arial" w:hint="eastAsia"/>
                <w:snapToGrid w:val="0"/>
                <w:sz w:val="18"/>
                <w:szCs w:val="21"/>
              </w:rPr>
              <w:t>路等公交线路，区域内交通一般，区域间通达性较差，综合评价交通便捷度较差。</w:t>
            </w:r>
          </w:p>
        </w:tc>
        <w:tc>
          <w:tcPr>
            <w:tcW w:w="307" w:type="pct"/>
            <w:vAlign w:val="center"/>
          </w:tcPr>
          <w:p w14:paraId="1FD564E7"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46" w:type="pct"/>
            <w:vAlign w:val="center"/>
          </w:tcPr>
          <w:p w14:paraId="588CC3AA"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案例</w:t>
            </w:r>
            <w:r>
              <w:rPr>
                <w:rFonts w:ascii="Arial" w:eastAsia="仿宋" w:hAnsi="Arial" w:cs="Arial" w:hint="eastAsia"/>
                <w:snapToGrid w:val="0"/>
                <w:sz w:val="18"/>
                <w:szCs w:val="21"/>
              </w:rPr>
              <w:t>D</w:t>
            </w:r>
            <w:r>
              <w:rPr>
                <w:rFonts w:ascii="Arial" w:eastAsia="仿宋" w:hAnsi="Arial" w:cs="Arial" w:hint="eastAsia"/>
                <w:snapToGrid w:val="0"/>
                <w:sz w:val="18"/>
                <w:szCs w:val="21"/>
              </w:rPr>
              <w:t>周边</w:t>
            </w:r>
            <w:r>
              <w:rPr>
                <w:rFonts w:ascii="Arial" w:eastAsia="仿宋" w:hAnsi="Arial" w:cs="Arial" w:hint="eastAsia"/>
                <w:snapToGrid w:val="0"/>
                <w:sz w:val="18"/>
                <w:szCs w:val="21"/>
              </w:rPr>
              <w:t>1</w:t>
            </w:r>
            <w:r>
              <w:rPr>
                <w:rFonts w:ascii="Arial" w:eastAsia="仿宋" w:hAnsi="Arial" w:cs="Arial" w:hint="eastAsia"/>
                <w:snapToGrid w:val="0"/>
                <w:sz w:val="18"/>
                <w:szCs w:val="21"/>
              </w:rPr>
              <w:t>公里范围内有顺</w:t>
            </w:r>
            <w:r>
              <w:rPr>
                <w:rFonts w:ascii="Arial" w:eastAsia="仿宋" w:hAnsi="Arial" w:cs="Arial" w:hint="eastAsia"/>
                <w:snapToGrid w:val="0"/>
                <w:sz w:val="18"/>
                <w:szCs w:val="21"/>
              </w:rPr>
              <w:t>12</w:t>
            </w:r>
            <w:r>
              <w:rPr>
                <w:rFonts w:ascii="Arial" w:eastAsia="仿宋" w:hAnsi="Arial" w:cs="Arial" w:hint="eastAsia"/>
                <w:snapToGrid w:val="0"/>
                <w:sz w:val="18"/>
                <w:szCs w:val="21"/>
              </w:rPr>
              <w:t>路、顺</w:t>
            </w:r>
            <w:r>
              <w:rPr>
                <w:rFonts w:ascii="Arial" w:eastAsia="仿宋" w:hAnsi="Arial" w:cs="Arial" w:hint="eastAsia"/>
                <w:snapToGrid w:val="0"/>
                <w:sz w:val="18"/>
                <w:szCs w:val="21"/>
              </w:rPr>
              <w:t>13</w:t>
            </w:r>
            <w:r>
              <w:rPr>
                <w:rFonts w:ascii="Arial" w:eastAsia="仿宋" w:hAnsi="Arial" w:cs="Arial" w:hint="eastAsia"/>
                <w:snapToGrid w:val="0"/>
                <w:sz w:val="18"/>
                <w:szCs w:val="21"/>
              </w:rPr>
              <w:t>路、顺</w:t>
            </w:r>
            <w:r>
              <w:rPr>
                <w:rFonts w:ascii="Arial" w:eastAsia="仿宋" w:hAnsi="Arial" w:cs="Arial" w:hint="eastAsia"/>
                <w:snapToGrid w:val="0"/>
                <w:sz w:val="18"/>
                <w:szCs w:val="21"/>
              </w:rPr>
              <w:t>14</w:t>
            </w:r>
            <w:r>
              <w:rPr>
                <w:rFonts w:ascii="Arial" w:eastAsia="仿宋" w:hAnsi="Arial" w:cs="Arial" w:hint="eastAsia"/>
                <w:snapToGrid w:val="0"/>
                <w:sz w:val="18"/>
                <w:szCs w:val="21"/>
              </w:rPr>
              <w:t>路、顺</w:t>
            </w:r>
            <w:r>
              <w:rPr>
                <w:rFonts w:ascii="Arial" w:eastAsia="仿宋" w:hAnsi="Arial" w:cs="Arial" w:hint="eastAsia"/>
                <w:snapToGrid w:val="0"/>
                <w:sz w:val="18"/>
                <w:szCs w:val="21"/>
              </w:rPr>
              <w:t>15</w:t>
            </w:r>
            <w:r>
              <w:rPr>
                <w:rFonts w:ascii="Arial" w:eastAsia="仿宋" w:hAnsi="Arial" w:cs="Arial" w:hint="eastAsia"/>
                <w:snapToGrid w:val="0"/>
                <w:sz w:val="18"/>
                <w:szCs w:val="21"/>
              </w:rPr>
              <w:t>路、顺</w:t>
            </w:r>
            <w:r>
              <w:rPr>
                <w:rFonts w:ascii="Arial" w:eastAsia="仿宋" w:hAnsi="Arial" w:cs="Arial" w:hint="eastAsia"/>
                <w:snapToGrid w:val="0"/>
                <w:sz w:val="18"/>
                <w:szCs w:val="21"/>
              </w:rPr>
              <w:t>16</w:t>
            </w:r>
            <w:r>
              <w:rPr>
                <w:rFonts w:ascii="Arial" w:eastAsia="仿宋" w:hAnsi="Arial" w:cs="Arial" w:hint="eastAsia"/>
                <w:snapToGrid w:val="0"/>
                <w:sz w:val="18"/>
                <w:szCs w:val="21"/>
              </w:rPr>
              <w:t>路、顺</w:t>
            </w:r>
            <w:r>
              <w:rPr>
                <w:rFonts w:ascii="Arial" w:eastAsia="仿宋" w:hAnsi="Arial" w:cs="Arial" w:hint="eastAsia"/>
                <w:snapToGrid w:val="0"/>
                <w:sz w:val="18"/>
                <w:szCs w:val="21"/>
              </w:rPr>
              <w:t>18</w:t>
            </w:r>
            <w:r>
              <w:rPr>
                <w:rFonts w:ascii="Arial" w:eastAsia="仿宋" w:hAnsi="Arial" w:cs="Arial" w:hint="eastAsia"/>
                <w:snapToGrid w:val="0"/>
                <w:sz w:val="18"/>
                <w:szCs w:val="21"/>
              </w:rPr>
              <w:t>路、顺</w:t>
            </w:r>
            <w:r>
              <w:rPr>
                <w:rFonts w:ascii="Arial" w:eastAsia="仿宋" w:hAnsi="Arial" w:cs="Arial" w:hint="eastAsia"/>
                <w:snapToGrid w:val="0"/>
                <w:sz w:val="18"/>
                <w:szCs w:val="21"/>
              </w:rPr>
              <w:t>22</w:t>
            </w:r>
            <w:r>
              <w:rPr>
                <w:rFonts w:ascii="Arial" w:eastAsia="仿宋" w:hAnsi="Arial" w:cs="Arial" w:hint="eastAsia"/>
                <w:snapToGrid w:val="0"/>
                <w:sz w:val="18"/>
                <w:szCs w:val="21"/>
              </w:rPr>
              <w:t>路、顺</w:t>
            </w:r>
            <w:r>
              <w:rPr>
                <w:rFonts w:ascii="Arial" w:eastAsia="仿宋" w:hAnsi="Arial" w:cs="Arial" w:hint="eastAsia"/>
                <w:snapToGrid w:val="0"/>
                <w:sz w:val="18"/>
                <w:szCs w:val="21"/>
              </w:rPr>
              <w:t>45</w:t>
            </w:r>
            <w:r>
              <w:rPr>
                <w:rFonts w:ascii="Arial" w:eastAsia="仿宋" w:hAnsi="Arial" w:cs="Arial" w:hint="eastAsia"/>
                <w:snapToGrid w:val="0"/>
                <w:sz w:val="18"/>
                <w:szCs w:val="21"/>
              </w:rPr>
              <w:t>路等多条公交线路，距离地铁</w:t>
            </w:r>
            <w:r>
              <w:rPr>
                <w:rFonts w:ascii="Arial" w:eastAsia="仿宋" w:hAnsi="Arial" w:cs="Arial" w:hint="eastAsia"/>
                <w:snapToGrid w:val="0"/>
                <w:sz w:val="18"/>
                <w:szCs w:val="21"/>
              </w:rPr>
              <w:t>15</w:t>
            </w:r>
            <w:r>
              <w:rPr>
                <w:rFonts w:ascii="Arial" w:eastAsia="仿宋" w:hAnsi="Arial" w:cs="Arial" w:hint="eastAsia"/>
                <w:snapToGrid w:val="0"/>
                <w:sz w:val="18"/>
                <w:szCs w:val="21"/>
              </w:rPr>
              <w:t>号线</w:t>
            </w:r>
            <w:proofErr w:type="gramStart"/>
            <w:r>
              <w:rPr>
                <w:rFonts w:ascii="Arial" w:eastAsia="仿宋" w:hAnsi="Arial" w:cs="Arial" w:hint="eastAsia"/>
                <w:snapToGrid w:val="0"/>
                <w:sz w:val="18"/>
                <w:szCs w:val="21"/>
              </w:rPr>
              <w:t>顺义站</w:t>
            </w:r>
            <w:proofErr w:type="gramEnd"/>
            <w:r>
              <w:rPr>
                <w:rFonts w:ascii="Arial" w:eastAsia="仿宋" w:hAnsi="Arial" w:cs="Arial" w:hint="eastAsia"/>
                <w:snapToGrid w:val="0"/>
                <w:sz w:val="18"/>
                <w:szCs w:val="21"/>
              </w:rPr>
              <w:t>450</w:t>
            </w:r>
            <w:r>
              <w:rPr>
                <w:rFonts w:ascii="Arial" w:eastAsia="仿宋" w:hAnsi="Arial" w:cs="Arial" w:hint="eastAsia"/>
                <w:snapToGrid w:val="0"/>
                <w:sz w:val="18"/>
                <w:szCs w:val="21"/>
              </w:rPr>
              <w:t>米左右，区域内交通较好，区域间通达性较好，综合评价交通便捷度较好。</w:t>
            </w:r>
          </w:p>
        </w:tc>
        <w:tc>
          <w:tcPr>
            <w:tcW w:w="308" w:type="pct"/>
            <w:vAlign w:val="center"/>
          </w:tcPr>
          <w:p w14:paraId="2B3B311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104</w:t>
            </w:r>
          </w:p>
        </w:tc>
        <w:tc>
          <w:tcPr>
            <w:tcW w:w="764" w:type="pct"/>
            <w:vAlign w:val="center"/>
          </w:tcPr>
          <w:p w14:paraId="18D81601"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案例</w:t>
            </w:r>
            <w:r>
              <w:rPr>
                <w:rFonts w:ascii="Arial" w:eastAsia="仿宋" w:hAnsi="Arial" w:cs="Arial" w:hint="eastAsia"/>
                <w:snapToGrid w:val="0"/>
                <w:sz w:val="18"/>
                <w:szCs w:val="21"/>
              </w:rPr>
              <w:t>E</w:t>
            </w:r>
            <w:r>
              <w:rPr>
                <w:rFonts w:ascii="Arial" w:eastAsia="仿宋" w:hAnsi="Arial" w:cs="Arial" w:hint="eastAsia"/>
                <w:snapToGrid w:val="0"/>
                <w:sz w:val="18"/>
                <w:szCs w:val="21"/>
              </w:rPr>
              <w:t>周边</w:t>
            </w:r>
            <w:r>
              <w:rPr>
                <w:rFonts w:ascii="Arial" w:eastAsia="仿宋" w:hAnsi="Arial" w:cs="Arial" w:hint="eastAsia"/>
                <w:snapToGrid w:val="0"/>
                <w:sz w:val="18"/>
                <w:szCs w:val="21"/>
              </w:rPr>
              <w:t>1</w:t>
            </w:r>
            <w:r>
              <w:rPr>
                <w:rFonts w:ascii="Arial" w:eastAsia="仿宋" w:hAnsi="Arial" w:cs="Arial" w:hint="eastAsia"/>
                <w:snapToGrid w:val="0"/>
                <w:sz w:val="18"/>
                <w:szCs w:val="21"/>
              </w:rPr>
              <w:t>公里范围内有顺</w:t>
            </w:r>
            <w:r>
              <w:rPr>
                <w:rFonts w:ascii="Arial" w:eastAsia="仿宋" w:hAnsi="Arial" w:cs="Arial" w:hint="eastAsia"/>
                <w:snapToGrid w:val="0"/>
                <w:sz w:val="18"/>
                <w:szCs w:val="21"/>
              </w:rPr>
              <w:t>22</w:t>
            </w:r>
            <w:r>
              <w:rPr>
                <w:rFonts w:ascii="Arial" w:eastAsia="仿宋" w:hAnsi="Arial" w:cs="Arial" w:hint="eastAsia"/>
                <w:snapToGrid w:val="0"/>
                <w:sz w:val="18"/>
                <w:szCs w:val="21"/>
              </w:rPr>
              <w:t>路、顺</w:t>
            </w:r>
            <w:r>
              <w:rPr>
                <w:rFonts w:ascii="Arial" w:eastAsia="仿宋" w:hAnsi="Arial" w:cs="Arial" w:hint="eastAsia"/>
                <w:snapToGrid w:val="0"/>
                <w:sz w:val="18"/>
                <w:szCs w:val="21"/>
              </w:rPr>
              <w:t>28</w:t>
            </w:r>
            <w:r>
              <w:rPr>
                <w:rFonts w:ascii="Arial" w:eastAsia="仿宋" w:hAnsi="Arial" w:cs="Arial" w:hint="eastAsia"/>
                <w:snapToGrid w:val="0"/>
                <w:sz w:val="18"/>
                <w:szCs w:val="21"/>
              </w:rPr>
              <w:t>路、顺</w:t>
            </w:r>
            <w:r>
              <w:rPr>
                <w:rFonts w:ascii="Arial" w:eastAsia="仿宋" w:hAnsi="Arial" w:cs="Arial" w:hint="eastAsia"/>
                <w:snapToGrid w:val="0"/>
                <w:sz w:val="18"/>
                <w:szCs w:val="21"/>
              </w:rPr>
              <w:t>58</w:t>
            </w:r>
            <w:r>
              <w:rPr>
                <w:rFonts w:ascii="Arial" w:eastAsia="仿宋" w:hAnsi="Arial" w:cs="Arial" w:hint="eastAsia"/>
                <w:snapToGrid w:val="0"/>
                <w:sz w:val="18"/>
                <w:szCs w:val="21"/>
              </w:rPr>
              <w:t>路、顺</w:t>
            </w:r>
            <w:r>
              <w:rPr>
                <w:rFonts w:ascii="Arial" w:eastAsia="仿宋" w:hAnsi="Arial" w:cs="Arial" w:hint="eastAsia"/>
                <w:snapToGrid w:val="0"/>
                <w:sz w:val="18"/>
                <w:szCs w:val="21"/>
              </w:rPr>
              <w:t>62</w:t>
            </w:r>
            <w:r>
              <w:rPr>
                <w:rFonts w:ascii="Arial" w:eastAsia="仿宋" w:hAnsi="Arial" w:cs="Arial" w:hint="eastAsia"/>
                <w:snapToGrid w:val="0"/>
                <w:sz w:val="18"/>
                <w:szCs w:val="21"/>
              </w:rPr>
              <w:t>路、顺</w:t>
            </w:r>
            <w:r>
              <w:rPr>
                <w:rFonts w:ascii="Arial" w:eastAsia="仿宋" w:hAnsi="Arial" w:cs="Arial" w:hint="eastAsia"/>
                <w:snapToGrid w:val="0"/>
                <w:sz w:val="18"/>
                <w:szCs w:val="21"/>
              </w:rPr>
              <w:t>65</w:t>
            </w:r>
            <w:r>
              <w:rPr>
                <w:rFonts w:ascii="Arial" w:eastAsia="仿宋" w:hAnsi="Arial" w:cs="Arial" w:hint="eastAsia"/>
                <w:snapToGrid w:val="0"/>
                <w:sz w:val="18"/>
                <w:szCs w:val="21"/>
              </w:rPr>
              <w:t>路、顺</w:t>
            </w:r>
            <w:r>
              <w:rPr>
                <w:rFonts w:ascii="Arial" w:eastAsia="仿宋" w:hAnsi="Arial" w:cs="Arial" w:hint="eastAsia"/>
                <w:snapToGrid w:val="0"/>
                <w:sz w:val="18"/>
                <w:szCs w:val="21"/>
              </w:rPr>
              <w:t>71</w:t>
            </w:r>
            <w:r>
              <w:rPr>
                <w:rFonts w:ascii="Arial" w:eastAsia="仿宋" w:hAnsi="Arial" w:cs="Arial" w:hint="eastAsia"/>
                <w:snapToGrid w:val="0"/>
                <w:sz w:val="18"/>
                <w:szCs w:val="21"/>
              </w:rPr>
              <w:t>路等多条公交线路，距离地铁</w:t>
            </w:r>
            <w:r>
              <w:rPr>
                <w:rFonts w:ascii="Arial" w:eastAsia="仿宋" w:hAnsi="Arial" w:cs="Arial" w:hint="eastAsia"/>
                <w:snapToGrid w:val="0"/>
                <w:sz w:val="18"/>
                <w:szCs w:val="21"/>
              </w:rPr>
              <w:t>15</w:t>
            </w:r>
            <w:r>
              <w:rPr>
                <w:rFonts w:ascii="Arial" w:eastAsia="仿宋" w:hAnsi="Arial" w:cs="Arial" w:hint="eastAsia"/>
                <w:snapToGrid w:val="0"/>
                <w:sz w:val="18"/>
                <w:szCs w:val="21"/>
              </w:rPr>
              <w:t>号</w:t>
            </w:r>
            <w:proofErr w:type="gramStart"/>
            <w:r>
              <w:rPr>
                <w:rFonts w:ascii="Arial" w:eastAsia="仿宋" w:hAnsi="Arial" w:cs="Arial" w:hint="eastAsia"/>
                <w:snapToGrid w:val="0"/>
                <w:sz w:val="18"/>
                <w:szCs w:val="21"/>
              </w:rPr>
              <w:t>线花梨坎站</w:t>
            </w:r>
            <w:proofErr w:type="gramEnd"/>
            <w:r>
              <w:rPr>
                <w:rFonts w:ascii="Arial" w:eastAsia="仿宋" w:hAnsi="Arial" w:cs="Arial" w:hint="eastAsia"/>
                <w:snapToGrid w:val="0"/>
                <w:sz w:val="18"/>
                <w:szCs w:val="21"/>
              </w:rPr>
              <w:t>2</w:t>
            </w:r>
            <w:r>
              <w:rPr>
                <w:rFonts w:ascii="Arial" w:eastAsia="仿宋" w:hAnsi="Arial" w:cs="Arial" w:hint="eastAsia"/>
                <w:snapToGrid w:val="0"/>
                <w:sz w:val="18"/>
                <w:szCs w:val="21"/>
              </w:rPr>
              <w:t>公里左右，区域内交通一般，区域间通达性一般，综合评价交通便捷度一般</w:t>
            </w:r>
          </w:p>
        </w:tc>
        <w:tc>
          <w:tcPr>
            <w:tcW w:w="262" w:type="pct"/>
            <w:vAlign w:val="center"/>
          </w:tcPr>
          <w:p w14:paraId="34D0F07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102</w:t>
            </w:r>
          </w:p>
        </w:tc>
        <w:tc>
          <w:tcPr>
            <w:tcW w:w="820" w:type="pct"/>
            <w:vAlign w:val="center"/>
          </w:tcPr>
          <w:p w14:paraId="4EA6DA3B"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案例</w:t>
            </w:r>
            <w:r>
              <w:rPr>
                <w:rFonts w:ascii="Arial" w:eastAsia="仿宋" w:hAnsi="Arial" w:cs="Arial" w:hint="eastAsia"/>
                <w:snapToGrid w:val="0"/>
                <w:sz w:val="18"/>
                <w:szCs w:val="21"/>
              </w:rPr>
              <w:t>F</w:t>
            </w:r>
            <w:r>
              <w:rPr>
                <w:rFonts w:ascii="Arial" w:eastAsia="仿宋" w:hAnsi="Arial" w:cs="Arial" w:hint="eastAsia"/>
                <w:snapToGrid w:val="0"/>
                <w:sz w:val="18"/>
                <w:szCs w:val="21"/>
              </w:rPr>
              <w:t>周边</w:t>
            </w:r>
            <w:r>
              <w:rPr>
                <w:rFonts w:ascii="Arial" w:eastAsia="仿宋" w:hAnsi="Arial" w:cs="Arial" w:hint="eastAsia"/>
                <w:snapToGrid w:val="0"/>
                <w:sz w:val="18"/>
                <w:szCs w:val="21"/>
              </w:rPr>
              <w:t>1</w:t>
            </w:r>
            <w:r>
              <w:rPr>
                <w:rFonts w:ascii="Arial" w:eastAsia="仿宋" w:hAnsi="Arial" w:cs="Arial" w:hint="eastAsia"/>
                <w:snapToGrid w:val="0"/>
                <w:sz w:val="18"/>
                <w:szCs w:val="21"/>
              </w:rPr>
              <w:t>公里范围内有顺</w:t>
            </w:r>
            <w:r>
              <w:rPr>
                <w:rFonts w:ascii="Arial" w:eastAsia="仿宋" w:hAnsi="Arial" w:cs="Arial" w:hint="eastAsia"/>
                <w:snapToGrid w:val="0"/>
                <w:sz w:val="18"/>
                <w:szCs w:val="21"/>
              </w:rPr>
              <w:t>12</w:t>
            </w:r>
            <w:r>
              <w:rPr>
                <w:rFonts w:ascii="Arial" w:eastAsia="仿宋" w:hAnsi="Arial" w:cs="Arial" w:hint="eastAsia"/>
                <w:snapToGrid w:val="0"/>
                <w:sz w:val="18"/>
                <w:szCs w:val="21"/>
              </w:rPr>
              <w:t>路、顺</w:t>
            </w:r>
            <w:r>
              <w:rPr>
                <w:rFonts w:ascii="Arial" w:eastAsia="仿宋" w:hAnsi="Arial" w:cs="Arial" w:hint="eastAsia"/>
                <w:snapToGrid w:val="0"/>
                <w:sz w:val="18"/>
                <w:szCs w:val="21"/>
              </w:rPr>
              <w:t>14</w:t>
            </w:r>
            <w:r>
              <w:rPr>
                <w:rFonts w:ascii="Arial" w:eastAsia="仿宋" w:hAnsi="Arial" w:cs="Arial" w:hint="eastAsia"/>
                <w:snapToGrid w:val="0"/>
                <w:sz w:val="18"/>
                <w:szCs w:val="21"/>
              </w:rPr>
              <w:t>路、顺</w:t>
            </w:r>
            <w:r>
              <w:rPr>
                <w:rFonts w:ascii="Arial" w:eastAsia="仿宋" w:hAnsi="Arial" w:cs="Arial" w:hint="eastAsia"/>
                <w:snapToGrid w:val="0"/>
                <w:sz w:val="18"/>
                <w:szCs w:val="21"/>
              </w:rPr>
              <w:t>15</w:t>
            </w:r>
            <w:r>
              <w:rPr>
                <w:rFonts w:ascii="Arial" w:eastAsia="仿宋" w:hAnsi="Arial" w:cs="Arial" w:hint="eastAsia"/>
                <w:snapToGrid w:val="0"/>
                <w:sz w:val="18"/>
                <w:szCs w:val="21"/>
              </w:rPr>
              <w:t>路、顺</w:t>
            </w:r>
            <w:r>
              <w:rPr>
                <w:rFonts w:ascii="Arial" w:eastAsia="仿宋" w:hAnsi="Arial" w:cs="Arial" w:hint="eastAsia"/>
                <w:snapToGrid w:val="0"/>
                <w:sz w:val="18"/>
                <w:szCs w:val="21"/>
              </w:rPr>
              <w:t>16</w:t>
            </w:r>
            <w:r>
              <w:rPr>
                <w:rFonts w:ascii="Arial" w:eastAsia="仿宋" w:hAnsi="Arial" w:cs="Arial" w:hint="eastAsia"/>
                <w:snapToGrid w:val="0"/>
                <w:sz w:val="18"/>
                <w:szCs w:val="21"/>
              </w:rPr>
              <w:t>路、顺</w:t>
            </w:r>
            <w:r>
              <w:rPr>
                <w:rFonts w:ascii="Arial" w:eastAsia="仿宋" w:hAnsi="Arial" w:cs="Arial" w:hint="eastAsia"/>
                <w:snapToGrid w:val="0"/>
                <w:sz w:val="18"/>
                <w:szCs w:val="21"/>
              </w:rPr>
              <w:t>17</w:t>
            </w:r>
            <w:r>
              <w:rPr>
                <w:rFonts w:ascii="Arial" w:eastAsia="仿宋" w:hAnsi="Arial" w:cs="Arial" w:hint="eastAsia"/>
                <w:snapToGrid w:val="0"/>
                <w:sz w:val="18"/>
                <w:szCs w:val="21"/>
              </w:rPr>
              <w:t>路、顺</w:t>
            </w:r>
            <w:r>
              <w:rPr>
                <w:rFonts w:ascii="Arial" w:eastAsia="仿宋" w:hAnsi="Arial" w:cs="Arial" w:hint="eastAsia"/>
                <w:snapToGrid w:val="0"/>
                <w:sz w:val="18"/>
                <w:szCs w:val="21"/>
              </w:rPr>
              <w:t>18</w:t>
            </w:r>
            <w:r>
              <w:rPr>
                <w:rFonts w:ascii="Arial" w:eastAsia="仿宋" w:hAnsi="Arial" w:cs="Arial" w:hint="eastAsia"/>
                <w:snapToGrid w:val="0"/>
                <w:sz w:val="18"/>
                <w:szCs w:val="21"/>
              </w:rPr>
              <w:t>路、顺</w:t>
            </w:r>
            <w:r>
              <w:rPr>
                <w:rFonts w:ascii="Arial" w:eastAsia="仿宋" w:hAnsi="Arial" w:cs="Arial" w:hint="eastAsia"/>
                <w:snapToGrid w:val="0"/>
                <w:sz w:val="18"/>
                <w:szCs w:val="21"/>
              </w:rPr>
              <w:t>22</w:t>
            </w:r>
            <w:r>
              <w:rPr>
                <w:rFonts w:ascii="Arial" w:eastAsia="仿宋" w:hAnsi="Arial" w:cs="Arial" w:hint="eastAsia"/>
                <w:snapToGrid w:val="0"/>
                <w:sz w:val="18"/>
                <w:szCs w:val="21"/>
              </w:rPr>
              <w:t>路、顺</w:t>
            </w:r>
            <w:r>
              <w:rPr>
                <w:rFonts w:ascii="Arial" w:eastAsia="仿宋" w:hAnsi="Arial" w:cs="Arial" w:hint="eastAsia"/>
                <w:snapToGrid w:val="0"/>
                <w:sz w:val="18"/>
                <w:szCs w:val="21"/>
              </w:rPr>
              <w:t>39</w:t>
            </w:r>
            <w:r>
              <w:rPr>
                <w:rFonts w:ascii="Arial" w:eastAsia="仿宋" w:hAnsi="Arial" w:cs="Arial" w:hint="eastAsia"/>
                <w:snapToGrid w:val="0"/>
                <w:sz w:val="18"/>
                <w:szCs w:val="21"/>
              </w:rPr>
              <w:t>路等多条公交线路，距离地铁</w:t>
            </w:r>
            <w:r>
              <w:rPr>
                <w:rFonts w:ascii="Arial" w:eastAsia="仿宋" w:hAnsi="Arial" w:cs="Arial" w:hint="eastAsia"/>
                <w:snapToGrid w:val="0"/>
                <w:sz w:val="18"/>
                <w:szCs w:val="21"/>
              </w:rPr>
              <w:t>15</w:t>
            </w:r>
            <w:r>
              <w:rPr>
                <w:rFonts w:ascii="Arial" w:eastAsia="仿宋" w:hAnsi="Arial" w:cs="Arial" w:hint="eastAsia"/>
                <w:snapToGrid w:val="0"/>
                <w:sz w:val="18"/>
                <w:szCs w:val="21"/>
              </w:rPr>
              <w:t>号线</w:t>
            </w:r>
            <w:proofErr w:type="gramStart"/>
            <w:r>
              <w:rPr>
                <w:rFonts w:ascii="Arial" w:eastAsia="仿宋" w:hAnsi="Arial" w:cs="Arial" w:hint="eastAsia"/>
                <w:snapToGrid w:val="0"/>
                <w:sz w:val="18"/>
                <w:szCs w:val="21"/>
              </w:rPr>
              <w:t>顺义站</w:t>
            </w:r>
            <w:proofErr w:type="gramEnd"/>
            <w:r>
              <w:rPr>
                <w:rFonts w:ascii="Arial" w:eastAsia="仿宋" w:hAnsi="Arial" w:cs="Arial" w:hint="eastAsia"/>
                <w:snapToGrid w:val="0"/>
                <w:sz w:val="18"/>
                <w:szCs w:val="21"/>
              </w:rPr>
              <w:t>500</w:t>
            </w:r>
            <w:r>
              <w:rPr>
                <w:rFonts w:ascii="Arial" w:eastAsia="仿宋" w:hAnsi="Arial" w:cs="Arial" w:hint="eastAsia"/>
                <w:snapToGrid w:val="0"/>
                <w:sz w:val="18"/>
                <w:szCs w:val="21"/>
              </w:rPr>
              <w:t>米左右，区域内交通较好，区域间通达性较好，综合评价交通便捷度较好。</w:t>
            </w:r>
          </w:p>
        </w:tc>
        <w:tc>
          <w:tcPr>
            <w:tcW w:w="308" w:type="pct"/>
            <w:vAlign w:val="center"/>
          </w:tcPr>
          <w:p w14:paraId="720ED5B5"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104</w:t>
            </w:r>
          </w:p>
        </w:tc>
      </w:tr>
      <w:tr w:rsidR="0062768B" w14:paraId="01DD2ECE" w14:textId="77777777">
        <w:trPr>
          <w:trHeight w:val="1454"/>
          <w:jc w:val="center"/>
        </w:trPr>
        <w:tc>
          <w:tcPr>
            <w:tcW w:w="199" w:type="pct"/>
            <w:vMerge/>
            <w:vAlign w:val="center"/>
          </w:tcPr>
          <w:p w14:paraId="58C0CEB3"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tc>
        <w:tc>
          <w:tcPr>
            <w:tcW w:w="416" w:type="pct"/>
            <w:vAlign w:val="center"/>
          </w:tcPr>
          <w:p w14:paraId="77C68722"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公共配套设施</w:t>
            </w:r>
          </w:p>
        </w:tc>
        <w:tc>
          <w:tcPr>
            <w:tcW w:w="770" w:type="pct"/>
            <w:vAlign w:val="center"/>
          </w:tcPr>
          <w:p w14:paraId="163B28F4"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估价对象周边</w:t>
            </w:r>
            <w:r>
              <w:rPr>
                <w:rFonts w:ascii="Arial" w:eastAsia="仿宋" w:hAnsi="Arial" w:cs="Arial"/>
                <w:snapToGrid w:val="0"/>
                <w:sz w:val="18"/>
                <w:szCs w:val="21"/>
              </w:rPr>
              <w:t>2</w:t>
            </w:r>
            <w:r>
              <w:rPr>
                <w:rFonts w:ascii="Arial" w:eastAsia="仿宋" w:hAnsi="Arial" w:cs="Arial" w:hint="eastAsia"/>
                <w:snapToGrid w:val="0"/>
                <w:sz w:val="18"/>
                <w:szCs w:val="21"/>
              </w:rPr>
              <w:t>公里范围内有北京超天商贸中心、</w:t>
            </w:r>
            <w:proofErr w:type="gramStart"/>
            <w:r>
              <w:rPr>
                <w:rFonts w:ascii="Arial" w:eastAsia="仿宋" w:hAnsi="Arial" w:cs="Arial" w:hint="eastAsia"/>
                <w:snapToGrid w:val="0"/>
                <w:sz w:val="18"/>
                <w:szCs w:val="21"/>
              </w:rPr>
              <w:t>隆华购物中心</w:t>
            </w:r>
            <w:proofErr w:type="gramEnd"/>
            <w:r>
              <w:rPr>
                <w:rFonts w:ascii="Arial" w:eastAsia="仿宋" w:hAnsi="Arial" w:cs="Arial" w:hint="eastAsia"/>
                <w:snapToGrid w:val="0"/>
                <w:sz w:val="18"/>
                <w:szCs w:val="21"/>
              </w:rPr>
              <w:t>、社区商业街、</w:t>
            </w:r>
            <w:proofErr w:type="gramStart"/>
            <w:r>
              <w:rPr>
                <w:rFonts w:ascii="Arial" w:eastAsia="仿宋" w:hAnsi="Arial" w:cs="Arial" w:hint="eastAsia"/>
                <w:snapToGrid w:val="0"/>
                <w:sz w:val="18"/>
                <w:szCs w:val="21"/>
              </w:rPr>
              <w:t>世纪华</w:t>
            </w:r>
            <w:proofErr w:type="gramEnd"/>
            <w:r>
              <w:rPr>
                <w:rFonts w:ascii="Arial" w:eastAsia="仿宋" w:hAnsi="Arial" w:cs="Arial" w:hint="eastAsia"/>
                <w:snapToGrid w:val="0"/>
                <w:sz w:val="18"/>
                <w:szCs w:val="21"/>
              </w:rPr>
              <w:t>联超</w:t>
            </w:r>
            <w:r>
              <w:rPr>
                <w:rFonts w:ascii="Arial" w:eastAsia="仿宋" w:hAnsi="Arial" w:cs="Arial" w:hint="eastAsia"/>
                <w:snapToGrid w:val="0"/>
                <w:sz w:val="18"/>
                <w:szCs w:val="21"/>
              </w:rPr>
              <w:lastRenderedPageBreak/>
              <w:t>市等商业服务设施；北京农商银行张喜庄分理处、北京</w:t>
            </w:r>
            <w:proofErr w:type="gramStart"/>
            <w:r>
              <w:rPr>
                <w:rFonts w:ascii="Arial" w:eastAsia="仿宋" w:hAnsi="Arial" w:cs="Arial" w:hint="eastAsia"/>
                <w:snapToGrid w:val="0"/>
                <w:sz w:val="18"/>
                <w:szCs w:val="21"/>
              </w:rPr>
              <w:t>顺义银</w:t>
            </w:r>
            <w:proofErr w:type="gramEnd"/>
            <w:r>
              <w:rPr>
                <w:rFonts w:ascii="Arial" w:eastAsia="仿宋" w:hAnsi="Arial" w:cs="Arial" w:hint="eastAsia"/>
                <w:snapToGrid w:val="0"/>
                <w:sz w:val="18"/>
                <w:szCs w:val="21"/>
              </w:rPr>
              <w:t>座村镇银行高丽营支行、中国邮政储蓄银行</w:t>
            </w:r>
            <w:proofErr w:type="gramStart"/>
            <w:r>
              <w:rPr>
                <w:rFonts w:ascii="Arial" w:eastAsia="仿宋" w:hAnsi="Arial" w:cs="Arial" w:hint="eastAsia"/>
                <w:snapToGrid w:val="0"/>
                <w:sz w:val="18"/>
                <w:szCs w:val="21"/>
              </w:rPr>
              <w:t>张喜庄邮政储蓄</w:t>
            </w:r>
            <w:proofErr w:type="gramEnd"/>
            <w:r>
              <w:rPr>
                <w:rFonts w:ascii="Arial" w:eastAsia="仿宋" w:hAnsi="Arial" w:cs="Arial" w:hint="eastAsia"/>
                <w:snapToGrid w:val="0"/>
                <w:sz w:val="18"/>
                <w:szCs w:val="21"/>
              </w:rPr>
              <w:t>等金融机构；高丽营第一幼儿园、高丽营第二小学、高丽营第二中学等教育资源；北京顺义天苑医院、北京市顺义区高丽营镇</w:t>
            </w:r>
            <w:proofErr w:type="gramStart"/>
            <w:r>
              <w:rPr>
                <w:rFonts w:ascii="Arial" w:eastAsia="仿宋" w:hAnsi="Arial" w:cs="Arial" w:hint="eastAsia"/>
                <w:snapToGrid w:val="0"/>
                <w:sz w:val="18"/>
                <w:szCs w:val="21"/>
              </w:rPr>
              <w:t>张喜庄卫生院</w:t>
            </w:r>
            <w:proofErr w:type="gramEnd"/>
            <w:r>
              <w:rPr>
                <w:rFonts w:ascii="Arial" w:eastAsia="仿宋" w:hAnsi="Arial" w:cs="Arial" w:hint="eastAsia"/>
                <w:snapToGrid w:val="0"/>
                <w:sz w:val="18"/>
                <w:szCs w:val="21"/>
              </w:rPr>
              <w:t>、北京市顺义区高丽营镇河津营村卫生室等医疗设施，公共配套设施齐备情况一般。</w:t>
            </w:r>
          </w:p>
        </w:tc>
        <w:tc>
          <w:tcPr>
            <w:tcW w:w="307" w:type="pct"/>
            <w:vAlign w:val="center"/>
          </w:tcPr>
          <w:p w14:paraId="769EC705"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lastRenderedPageBreak/>
              <w:t>100</w:t>
            </w:r>
          </w:p>
        </w:tc>
        <w:tc>
          <w:tcPr>
            <w:tcW w:w="846" w:type="pct"/>
            <w:vAlign w:val="center"/>
          </w:tcPr>
          <w:p w14:paraId="4445F55D"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案例</w:t>
            </w:r>
            <w:r>
              <w:rPr>
                <w:rFonts w:ascii="Arial" w:eastAsia="仿宋" w:hAnsi="Arial" w:cs="Arial" w:hint="eastAsia"/>
                <w:snapToGrid w:val="0"/>
                <w:sz w:val="18"/>
                <w:szCs w:val="21"/>
              </w:rPr>
              <w:t>D</w:t>
            </w:r>
            <w:r>
              <w:rPr>
                <w:rFonts w:ascii="Arial" w:eastAsia="仿宋" w:hAnsi="Arial" w:cs="Arial" w:hint="eastAsia"/>
                <w:snapToGrid w:val="0"/>
                <w:sz w:val="18"/>
                <w:szCs w:val="21"/>
              </w:rPr>
              <w:t>周边</w:t>
            </w:r>
            <w:r>
              <w:rPr>
                <w:rFonts w:ascii="Arial" w:eastAsia="仿宋" w:hAnsi="Arial" w:cs="Arial" w:hint="eastAsia"/>
                <w:snapToGrid w:val="0"/>
                <w:sz w:val="18"/>
                <w:szCs w:val="21"/>
              </w:rPr>
              <w:t>2</w:t>
            </w:r>
            <w:r>
              <w:rPr>
                <w:rFonts w:ascii="Arial" w:eastAsia="仿宋" w:hAnsi="Arial" w:cs="Arial" w:hint="eastAsia"/>
                <w:snapToGrid w:val="0"/>
                <w:sz w:val="18"/>
                <w:szCs w:val="21"/>
              </w:rPr>
              <w:t>公里范围内有北京华联</w:t>
            </w:r>
            <w:proofErr w:type="gramStart"/>
            <w:r>
              <w:rPr>
                <w:rFonts w:ascii="Arial" w:eastAsia="仿宋" w:hAnsi="Arial" w:cs="Arial" w:hint="eastAsia"/>
                <w:snapToGrid w:val="0"/>
                <w:sz w:val="18"/>
                <w:szCs w:val="21"/>
              </w:rPr>
              <w:t>顺义金街</w:t>
            </w:r>
            <w:proofErr w:type="gramEnd"/>
            <w:r>
              <w:rPr>
                <w:rFonts w:ascii="Arial" w:eastAsia="仿宋" w:hAnsi="Arial" w:cs="Arial" w:hint="eastAsia"/>
                <w:snapToGrid w:val="0"/>
                <w:sz w:val="18"/>
                <w:szCs w:val="21"/>
              </w:rPr>
              <w:t>购物中心、新世界百货（新顺南大街千姿店）、国泰百货</w:t>
            </w:r>
            <w:r>
              <w:rPr>
                <w:rFonts w:ascii="Arial" w:eastAsia="仿宋" w:hAnsi="Arial" w:cs="Arial" w:hint="eastAsia"/>
                <w:snapToGrid w:val="0"/>
                <w:sz w:val="18"/>
                <w:szCs w:val="21"/>
              </w:rPr>
              <w:lastRenderedPageBreak/>
              <w:t>（新顺南大街店）等商业服务设施；广发银行（北京顺义支行）、招商银行（北京顺义支行）、中国农业银行（北京顺义支行营业部）、中国银行（北京顺义支行）等金融机构；仁和中学、顺义区第三中学、东风小学、北京市顺义区第四中学等教育资源；北京市顺义中医医院、北京市顺义区医院、北京京顺医院、中国人民解放军六六</w:t>
            </w:r>
            <w:proofErr w:type="gramStart"/>
            <w:r>
              <w:rPr>
                <w:rFonts w:ascii="Arial" w:eastAsia="仿宋" w:hAnsi="Arial" w:cs="Arial" w:hint="eastAsia"/>
                <w:snapToGrid w:val="0"/>
                <w:sz w:val="18"/>
                <w:szCs w:val="21"/>
              </w:rPr>
              <w:t>0</w:t>
            </w:r>
            <w:r>
              <w:rPr>
                <w:rFonts w:ascii="Arial" w:eastAsia="仿宋" w:hAnsi="Arial" w:cs="Arial" w:hint="eastAsia"/>
                <w:snapToGrid w:val="0"/>
                <w:sz w:val="18"/>
                <w:szCs w:val="21"/>
              </w:rPr>
              <w:t>五五</w:t>
            </w:r>
            <w:proofErr w:type="gramEnd"/>
            <w:r>
              <w:rPr>
                <w:rFonts w:ascii="Arial" w:eastAsia="仿宋" w:hAnsi="Arial" w:cs="Arial" w:hint="eastAsia"/>
                <w:snapToGrid w:val="0"/>
                <w:sz w:val="18"/>
                <w:szCs w:val="21"/>
              </w:rPr>
              <w:t>等医疗设施，公共配套设施齐备情况较好</w:t>
            </w:r>
          </w:p>
        </w:tc>
        <w:tc>
          <w:tcPr>
            <w:tcW w:w="308" w:type="pct"/>
            <w:vAlign w:val="center"/>
          </w:tcPr>
          <w:p w14:paraId="4AE2D603"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lastRenderedPageBreak/>
              <w:t>101</w:t>
            </w:r>
          </w:p>
        </w:tc>
        <w:tc>
          <w:tcPr>
            <w:tcW w:w="764" w:type="pct"/>
            <w:vAlign w:val="center"/>
          </w:tcPr>
          <w:p w14:paraId="7B391A23"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案例</w:t>
            </w:r>
            <w:r>
              <w:rPr>
                <w:rFonts w:ascii="Arial" w:eastAsia="仿宋" w:hAnsi="Arial" w:cs="Arial" w:hint="eastAsia"/>
                <w:snapToGrid w:val="0"/>
                <w:sz w:val="18"/>
                <w:szCs w:val="21"/>
              </w:rPr>
              <w:t>E</w:t>
            </w:r>
            <w:r>
              <w:rPr>
                <w:rFonts w:ascii="Arial" w:eastAsia="仿宋" w:hAnsi="Arial" w:cs="Arial" w:hint="eastAsia"/>
                <w:snapToGrid w:val="0"/>
                <w:sz w:val="18"/>
                <w:szCs w:val="21"/>
              </w:rPr>
              <w:t>周边</w:t>
            </w:r>
            <w:r>
              <w:rPr>
                <w:rFonts w:ascii="Arial" w:eastAsia="仿宋" w:hAnsi="Arial" w:cs="Arial" w:hint="eastAsia"/>
                <w:snapToGrid w:val="0"/>
                <w:sz w:val="18"/>
                <w:szCs w:val="21"/>
              </w:rPr>
              <w:t>2</w:t>
            </w:r>
            <w:r>
              <w:rPr>
                <w:rFonts w:ascii="Arial" w:eastAsia="仿宋" w:hAnsi="Arial" w:cs="Arial" w:hint="eastAsia"/>
                <w:snapToGrid w:val="0"/>
                <w:sz w:val="18"/>
                <w:szCs w:val="21"/>
              </w:rPr>
              <w:t>公里范围内有中粮祥云小镇商业街、艾迪城、临街商业等商业服务设施；中国工</w:t>
            </w:r>
            <w:r>
              <w:rPr>
                <w:rFonts w:ascii="Arial" w:eastAsia="仿宋" w:hAnsi="Arial" w:cs="Arial" w:hint="eastAsia"/>
                <w:snapToGrid w:val="0"/>
                <w:sz w:val="18"/>
                <w:szCs w:val="21"/>
              </w:rPr>
              <w:lastRenderedPageBreak/>
              <w:t>商银行、中国建设银行（北京自贸试验区临</w:t>
            </w:r>
            <w:proofErr w:type="gramStart"/>
            <w:r>
              <w:rPr>
                <w:rFonts w:ascii="Arial" w:eastAsia="仿宋" w:hAnsi="Arial" w:cs="Arial" w:hint="eastAsia"/>
                <w:snapToGrid w:val="0"/>
                <w:sz w:val="18"/>
                <w:szCs w:val="21"/>
              </w:rPr>
              <w:t>空经济</w:t>
            </w:r>
            <w:proofErr w:type="gramEnd"/>
            <w:r>
              <w:rPr>
                <w:rFonts w:ascii="Arial" w:eastAsia="仿宋" w:hAnsi="Arial" w:cs="Arial" w:hint="eastAsia"/>
                <w:snapToGrid w:val="0"/>
                <w:sz w:val="18"/>
                <w:szCs w:val="21"/>
              </w:rPr>
              <w:t>核心区支行）、招商银行</w:t>
            </w:r>
            <w:r>
              <w:rPr>
                <w:rFonts w:ascii="Arial" w:eastAsia="仿宋" w:hAnsi="Arial" w:cs="Arial" w:hint="eastAsia"/>
                <w:snapToGrid w:val="0"/>
                <w:sz w:val="18"/>
                <w:szCs w:val="21"/>
              </w:rPr>
              <w:t>24</w:t>
            </w:r>
            <w:r>
              <w:rPr>
                <w:rFonts w:ascii="Arial" w:eastAsia="仿宋" w:hAnsi="Arial" w:cs="Arial" w:hint="eastAsia"/>
                <w:snapToGrid w:val="0"/>
                <w:sz w:val="18"/>
                <w:szCs w:val="21"/>
              </w:rPr>
              <w:t>小时自助银行（北京自贸试验区祥云小镇支行）等金融机构；北京市顺义区空港小学、北京顺义国际学校等教育资源；北京市顺义区空港医院、北京瀚洁吉源医院等医疗设施，公共配套设施齐备情况一般</w:t>
            </w:r>
          </w:p>
        </w:tc>
        <w:tc>
          <w:tcPr>
            <w:tcW w:w="262" w:type="pct"/>
            <w:vAlign w:val="center"/>
          </w:tcPr>
          <w:p w14:paraId="58ACA3E1"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lastRenderedPageBreak/>
              <w:t>100</w:t>
            </w:r>
          </w:p>
        </w:tc>
        <w:tc>
          <w:tcPr>
            <w:tcW w:w="820" w:type="pct"/>
            <w:vAlign w:val="center"/>
          </w:tcPr>
          <w:p w14:paraId="7217CF9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案例</w:t>
            </w:r>
            <w:r>
              <w:rPr>
                <w:rFonts w:ascii="Arial" w:eastAsia="仿宋" w:hAnsi="Arial" w:cs="Arial" w:hint="eastAsia"/>
                <w:snapToGrid w:val="0"/>
                <w:sz w:val="18"/>
                <w:szCs w:val="21"/>
              </w:rPr>
              <w:t>F</w:t>
            </w:r>
            <w:r>
              <w:rPr>
                <w:rFonts w:ascii="Arial" w:eastAsia="仿宋" w:hAnsi="Arial" w:cs="Arial" w:hint="eastAsia"/>
                <w:snapToGrid w:val="0"/>
                <w:sz w:val="18"/>
                <w:szCs w:val="21"/>
              </w:rPr>
              <w:t>周边</w:t>
            </w:r>
            <w:r>
              <w:rPr>
                <w:rFonts w:ascii="Arial" w:eastAsia="仿宋" w:hAnsi="Arial" w:cs="Arial" w:hint="eastAsia"/>
                <w:snapToGrid w:val="0"/>
                <w:sz w:val="18"/>
                <w:szCs w:val="21"/>
              </w:rPr>
              <w:t>2</w:t>
            </w:r>
            <w:r>
              <w:rPr>
                <w:rFonts w:ascii="Arial" w:eastAsia="仿宋" w:hAnsi="Arial" w:cs="Arial" w:hint="eastAsia"/>
                <w:snapToGrid w:val="0"/>
                <w:sz w:val="18"/>
                <w:szCs w:val="21"/>
              </w:rPr>
              <w:t>公里范围内有北京华联</w:t>
            </w:r>
            <w:proofErr w:type="gramStart"/>
            <w:r>
              <w:rPr>
                <w:rFonts w:ascii="Arial" w:eastAsia="仿宋" w:hAnsi="Arial" w:cs="Arial" w:hint="eastAsia"/>
                <w:snapToGrid w:val="0"/>
                <w:sz w:val="18"/>
                <w:szCs w:val="21"/>
              </w:rPr>
              <w:t>顺义金街</w:t>
            </w:r>
            <w:proofErr w:type="gramEnd"/>
            <w:r>
              <w:rPr>
                <w:rFonts w:ascii="Arial" w:eastAsia="仿宋" w:hAnsi="Arial" w:cs="Arial" w:hint="eastAsia"/>
                <w:snapToGrid w:val="0"/>
                <w:sz w:val="18"/>
                <w:szCs w:val="21"/>
              </w:rPr>
              <w:t>购物中心、新世界百货（新顺南大街千姿店）、国</w:t>
            </w:r>
            <w:r>
              <w:rPr>
                <w:rFonts w:ascii="Arial" w:eastAsia="仿宋" w:hAnsi="Arial" w:cs="Arial" w:hint="eastAsia"/>
                <w:snapToGrid w:val="0"/>
                <w:sz w:val="18"/>
                <w:szCs w:val="21"/>
              </w:rPr>
              <w:lastRenderedPageBreak/>
              <w:t>泰百货（新顺南大街店）等商业服务设施；广发银行（北京顺义支行）、招商银行（北京顺义支行）、中国农业银行（北京顺义支行营业部）、中国银行（北京顺义支行）等金融机构；仁和中学、顺义区第三中学、东风小学、北京市顺义区第四中学等教育资源；北京市顺义中医医院、北京市顺义区医院、北京京顺医院、中国人民解放军六六</w:t>
            </w:r>
            <w:proofErr w:type="gramStart"/>
            <w:r>
              <w:rPr>
                <w:rFonts w:ascii="Arial" w:eastAsia="仿宋" w:hAnsi="Arial" w:cs="Arial" w:hint="eastAsia"/>
                <w:snapToGrid w:val="0"/>
                <w:sz w:val="18"/>
                <w:szCs w:val="21"/>
              </w:rPr>
              <w:t>0</w:t>
            </w:r>
            <w:r>
              <w:rPr>
                <w:rFonts w:ascii="Arial" w:eastAsia="仿宋" w:hAnsi="Arial" w:cs="Arial" w:hint="eastAsia"/>
                <w:snapToGrid w:val="0"/>
                <w:sz w:val="18"/>
                <w:szCs w:val="21"/>
              </w:rPr>
              <w:t>五五</w:t>
            </w:r>
            <w:proofErr w:type="gramEnd"/>
            <w:r>
              <w:rPr>
                <w:rFonts w:ascii="Arial" w:eastAsia="仿宋" w:hAnsi="Arial" w:cs="Arial" w:hint="eastAsia"/>
                <w:snapToGrid w:val="0"/>
                <w:sz w:val="18"/>
                <w:szCs w:val="21"/>
              </w:rPr>
              <w:t>等医疗设施，公共配套设施齐备情况较好</w:t>
            </w:r>
          </w:p>
        </w:tc>
        <w:tc>
          <w:tcPr>
            <w:tcW w:w="308" w:type="pct"/>
            <w:vAlign w:val="center"/>
          </w:tcPr>
          <w:p w14:paraId="1684DB49"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lastRenderedPageBreak/>
              <w:t>101</w:t>
            </w:r>
          </w:p>
        </w:tc>
      </w:tr>
      <w:tr w:rsidR="0062768B" w14:paraId="2FA76BDA" w14:textId="77777777">
        <w:trPr>
          <w:trHeight w:val="840"/>
          <w:jc w:val="center"/>
        </w:trPr>
        <w:tc>
          <w:tcPr>
            <w:tcW w:w="199" w:type="pct"/>
            <w:vMerge/>
            <w:vAlign w:val="center"/>
          </w:tcPr>
          <w:p w14:paraId="1D59398E"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tc>
        <w:tc>
          <w:tcPr>
            <w:tcW w:w="416" w:type="pct"/>
            <w:vAlign w:val="center"/>
          </w:tcPr>
          <w:p w14:paraId="0301B038"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基础设施水平</w:t>
            </w:r>
          </w:p>
        </w:tc>
        <w:tc>
          <w:tcPr>
            <w:tcW w:w="770" w:type="pct"/>
            <w:vAlign w:val="center"/>
          </w:tcPr>
          <w:p w14:paraId="72D1FE3A" w14:textId="77777777" w:rsidR="0062768B" w:rsidRDefault="00136729">
            <w:pPr>
              <w:widowControl/>
              <w:adjustRightInd/>
              <w:spacing w:line="240" w:lineRule="auto"/>
              <w:jc w:val="center"/>
              <w:textAlignment w:val="auto"/>
              <w:rPr>
                <w:rFonts w:ascii="仿宋" w:eastAsia="仿宋" w:hAnsi="仿宋"/>
                <w:color w:val="000000"/>
                <w:sz w:val="18"/>
                <w:szCs w:val="21"/>
              </w:rPr>
            </w:pPr>
            <w:r>
              <w:rPr>
                <w:rFonts w:ascii="仿宋" w:eastAsia="仿宋" w:hAnsi="仿宋" w:hint="eastAsia"/>
                <w:color w:val="000000"/>
                <w:sz w:val="18"/>
                <w:szCs w:val="21"/>
              </w:rPr>
              <w:t>估价对象所在区域基础设施水平达到七通。</w:t>
            </w:r>
          </w:p>
        </w:tc>
        <w:tc>
          <w:tcPr>
            <w:tcW w:w="307" w:type="pct"/>
            <w:vAlign w:val="center"/>
          </w:tcPr>
          <w:p w14:paraId="7D12E583" w14:textId="77777777" w:rsidR="0062768B" w:rsidRDefault="00136729">
            <w:pPr>
              <w:jc w:val="center"/>
              <w:rPr>
                <w:rFonts w:ascii="Arial" w:hAnsi="Arial" w:cs="Arial"/>
                <w:color w:val="000000"/>
                <w:sz w:val="18"/>
                <w:szCs w:val="21"/>
              </w:rPr>
            </w:pPr>
            <w:r>
              <w:rPr>
                <w:rFonts w:ascii="Arial" w:hAnsi="Arial" w:cs="Arial"/>
                <w:color w:val="000000"/>
                <w:sz w:val="18"/>
                <w:szCs w:val="21"/>
              </w:rPr>
              <w:t>100</w:t>
            </w:r>
          </w:p>
        </w:tc>
        <w:tc>
          <w:tcPr>
            <w:tcW w:w="846" w:type="pct"/>
            <w:vAlign w:val="center"/>
          </w:tcPr>
          <w:p w14:paraId="58FBDFD4" w14:textId="77777777" w:rsidR="0062768B" w:rsidRDefault="00136729">
            <w:pPr>
              <w:jc w:val="center"/>
              <w:rPr>
                <w:rFonts w:ascii="仿宋" w:eastAsia="仿宋" w:hAnsi="仿宋" w:cs="宋体"/>
                <w:color w:val="000000"/>
                <w:sz w:val="18"/>
                <w:szCs w:val="21"/>
              </w:rPr>
            </w:pPr>
            <w:r>
              <w:rPr>
                <w:rFonts w:ascii="仿宋" w:eastAsia="仿宋" w:hAnsi="仿宋" w:hint="eastAsia"/>
                <w:color w:val="000000"/>
                <w:sz w:val="18"/>
                <w:szCs w:val="21"/>
              </w:rPr>
              <w:t>所在区域基础设施水平达到七通。</w:t>
            </w:r>
          </w:p>
        </w:tc>
        <w:tc>
          <w:tcPr>
            <w:tcW w:w="308" w:type="pct"/>
            <w:vAlign w:val="center"/>
          </w:tcPr>
          <w:p w14:paraId="51C6B0FD" w14:textId="77777777" w:rsidR="0062768B" w:rsidRDefault="00136729">
            <w:pPr>
              <w:jc w:val="center"/>
              <w:rPr>
                <w:rFonts w:ascii="Arial" w:hAnsi="Arial" w:cs="Arial"/>
                <w:color w:val="000000"/>
                <w:sz w:val="18"/>
                <w:szCs w:val="21"/>
              </w:rPr>
            </w:pPr>
            <w:r>
              <w:rPr>
                <w:rFonts w:ascii="Arial" w:hAnsi="Arial" w:cs="Arial"/>
                <w:color w:val="000000"/>
                <w:sz w:val="18"/>
                <w:szCs w:val="21"/>
              </w:rPr>
              <w:t>100</w:t>
            </w:r>
          </w:p>
        </w:tc>
        <w:tc>
          <w:tcPr>
            <w:tcW w:w="764" w:type="pct"/>
            <w:vAlign w:val="center"/>
          </w:tcPr>
          <w:p w14:paraId="4E80C61B" w14:textId="77777777" w:rsidR="0062768B" w:rsidRDefault="00136729">
            <w:pPr>
              <w:jc w:val="center"/>
              <w:rPr>
                <w:rFonts w:ascii="仿宋" w:eastAsia="仿宋" w:hAnsi="仿宋" w:cs="宋体"/>
                <w:color w:val="000000"/>
                <w:sz w:val="18"/>
                <w:szCs w:val="21"/>
              </w:rPr>
            </w:pPr>
            <w:r>
              <w:rPr>
                <w:rFonts w:ascii="仿宋" w:eastAsia="仿宋" w:hAnsi="仿宋" w:hint="eastAsia"/>
                <w:color w:val="000000"/>
                <w:sz w:val="18"/>
                <w:szCs w:val="21"/>
              </w:rPr>
              <w:t>所在区域基础设施水平达到七通。</w:t>
            </w:r>
          </w:p>
        </w:tc>
        <w:tc>
          <w:tcPr>
            <w:tcW w:w="262" w:type="pct"/>
            <w:vAlign w:val="center"/>
          </w:tcPr>
          <w:p w14:paraId="3D3CDEBD" w14:textId="77777777" w:rsidR="0062768B" w:rsidRDefault="00136729">
            <w:pPr>
              <w:jc w:val="center"/>
              <w:rPr>
                <w:rFonts w:ascii="Arial" w:hAnsi="Arial" w:cs="Arial"/>
                <w:color w:val="000000"/>
                <w:sz w:val="18"/>
                <w:szCs w:val="21"/>
              </w:rPr>
            </w:pPr>
            <w:r>
              <w:rPr>
                <w:rFonts w:ascii="Arial" w:hAnsi="Arial" w:cs="Arial"/>
                <w:color w:val="000000"/>
                <w:sz w:val="18"/>
                <w:szCs w:val="21"/>
              </w:rPr>
              <w:t>100</w:t>
            </w:r>
          </w:p>
        </w:tc>
        <w:tc>
          <w:tcPr>
            <w:tcW w:w="820" w:type="pct"/>
            <w:vAlign w:val="center"/>
          </w:tcPr>
          <w:p w14:paraId="6339C5D6" w14:textId="77777777" w:rsidR="0062768B" w:rsidRDefault="00136729">
            <w:pPr>
              <w:jc w:val="center"/>
              <w:rPr>
                <w:rFonts w:ascii="仿宋" w:eastAsia="仿宋" w:hAnsi="仿宋" w:cs="宋体"/>
                <w:color w:val="000000"/>
                <w:sz w:val="18"/>
                <w:szCs w:val="21"/>
              </w:rPr>
            </w:pPr>
            <w:r>
              <w:rPr>
                <w:rFonts w:ascii="仿宋" w:eastAsia="仿宋" w:hAnsi="仿宋" w:hint="eastAsia"/>
                <w:color w:val="000000"/>
                <w:sz w:val="18"/>
                <w:szCs w:val="21"/>
              </w:rPr>
              <w:t>所在区域基础设施水平达到七通。</w:t>
            </w:r>
          </w:p>
        </w:tc>
        <w:tc>
          <w:tcPr>
            <w:tcW w:w="308" w:type="pct"/>
            <w:vAlign w:val="center"/>
          </w:tcPr>
          <w:p w14:paraId="3A678007" w14:textId="77777777" w:rsidR="0062768B" w:rsidRDefault="00136729">
            <w:pPr>
              <w:jc w:val="center"/>
              <w:rPr>
                <w:rFonts w:ascii="Arial" w:hAnsi="Arial" w:cs="Arial"/>
                <w:color w:val="000000"/>
                <w:sz w:val="18"/>
                <w:szCs w:val="21"/>
              </w:rPr>
            </w:pPr>
            <w:r>
              <w:rPr>
                <w:rFonts w:ascii="Arial" w:hAnsi="Arial" w:cs="Arial"/>
                <w:color w:val="000000"/>
                <w:sz w:val="18"/>
                <w:szCs w:val="21"/>
              </w:rPr>
              <w:t>100</w:t>
            </w:r>
          </w:p>
        </w:tc>
      </w:tr>
      <w:tr w:rsidR="0062768B" w14:paraId="58987895" w14:textId="77777777">
        <w:trPr>
          <w:trHeight w:val="320"/>
          <w:jc w:val="center"/>
        </w:trPr>
        <w:tc>
          <w:tcPr>
            <w:tcW w:w="199" w:type="pct"/>
            <w:vMerge/>
            <w:vAlign w:val="center"/>
          </w:tcPr>
          <w:p w14:paraId="44E165D5"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tc>
        <w:tc>
          <w:tcPr>
            <w:tcW w:w="416" w:type="pct"/>
            <w:vAlign w:val="center"/>
          </w:tcPr>
          <w:p w14:paraId="160C7BD7"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自然及人文环境</w:t>
            </w:r>
          </w:p>
        </w:tc>
        <w:tc>
          <w:tcPr>
            <w:tcW w:w="770" w:type="pct"/>
            <w:vAlign w:val="center"/>
          </w:tcPr>
          <w:p w14:paraId="77F7AA50"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估价对位于北京市顺义区高丽营镇夏县营村，周边</w:t>
            </w:r>
            <w:r>
              <w:rPr>
                <w:rFonts w:ascii="Arial" w:eastAsia="仿宋" w:hAnsi="Arial" w:cs="Arial"/>
                <w:snapToGrid w:val="0"/>
                <w:sz w:val="18"/>
                <w:szCs w:val="21"/>
              </w:rPr>
              <w:t>2</w:t>
            </w:r>
            <w:r>
              <w:rPr>
                <w:rFonts w:ascii="Arial" w:eastAsia="仿宋" w:hAnsi="Arial" w:cs="Arial" w:hint="eastAsia"/>
                <w:snapToGrid w:val="0"/>
                <w:sz w:val="18"/>
                <w:szCs w:val="21"/>
              </w:rPr>
              <w:t>公里南郎中休闲公园、口袋公园、方氏渠等自然环境；无人文环境；综合评价环境状况一般。</w:t>
            </w:r>
          </w:p>
        </w:tc>
        <w:tc>
          <w:tcPr>
            <w:tcW w:w="307" w:type="pct"/>
            <w:vAlign w:val="center"/>
          </w:tcPr>
          <w:p w14:paraId="734DBCA4"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46" w:type="pct"/>
            <w:vAlign w:val="center"/>
          </w:tcPr>
          <w:p w14:paraId="084AC9E8"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周边</w:t>
            </w:r>
            <w:r>
              <w:rPr>
                <w:rFonts w:ascii="Arial" w:eastAsia="仿宋" w:hAnsi="Arial" w:cs="Arial" w:hint="eastAsia"/>
                <w:snapToGrid w:val="0"/>
                <w:sz w:val="18"/>
                <w:szCs w:val="21"/>
              </w:rPr>
              <w:t>2</w:t>
            </w:r>
            <w:r>
              <w:rPr>
                <w:rFonts w:ascii="Arial" w:eastAsia="仿宋" w:hAnsi="Arial" w:cs="Arial" w:hint="eastAsia"/>
                <w:snapToGrid w:val="0"/>
                <w:sz w:val="18"/>
                <w:szCs w:val="21"/>
              </w:rPr>
              <w:t>公里顺义公园、潮白河森林公园、光明文化广场、顺义区工人文化宫、潮白河等自然环境及无人文环境；综合评价环境状况较好</w:t>
            </w:r>
          </w:p>
        </w:tc>
        <w:tc>
          <w:tcPr>
            <w:tcW w:w="308" w:type="pct"/>
            <w:vAlign w:val="center"/>
          </w:tcPr>
          <w:p w14:paraId="3830732B"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101</w:t>
            </w:r>
          </w:p>
        </w:tc>
        <w:tc>
          <w:tcPr>
            <w:tcW w:w="764" w:type="pct"/>
            <w:vAlign w:val="center"/>
          </w:tcPr>
          <w:p w14:paraId="35BF00B4" w14:textId="77777777" w:rsidR="0062768B" w:rsidRDefault="00136729">
            <w:pPr>
              <w:widowControl/>
              <w:adjustRightInd/>
              <w:spacing w:line="240" w:lineRule="exact"/>
              <w:textAlignment w:val="auto"/>
              <w:rPr>
                <w:rFonts w:ascii="Arial" w:eastAsia="仿宋" w:hAnsi="Arial" w:cs="Arial"/>
                <w:snapToGrid w:val="0"/>
                <w:sz w:val="18"/>
                <w:szCs w:val="21"/>
              </w:rPr>
            </w:pPr>
            <w:r>
              <w:rPr>
                <w:rFonts w:ascii="Arial" w:eastAsia="仿宋" w:hAnsi="Arial" w:cs="Arial" w:hint="eastAsia"/>
                <w:snapToGrid w:val="0"/>
                <w:sz w:val="18"/>
                <w:szCs w:val="21"/>
              </w:rPr>
              <w:t>周边</w:t>
            </w:r>
            <w:r>
              <w:rPr>
                <w:rFonts w:ascii="Arial" w:eastAsia="仿宋" w:hAnsi="Arial" w:cs="Arial" w:hint="eastAsia"/>
                <w:snapToGrid w:val="0"/>
                <w:sz w:val="18"/>
                <w:szCs w:val="21"/>
              </w:rPr>
              <w:t>2</w:t>
            </w:r>
            <w:r>
              <w:rPr>
                <w:rFonts w:ascii="Arial" w:eastAsia="仿宋" w:hAnsi="Arial" w:cs="Arial" w:hint="eastAsia"/>
                <w:snapToGrid w:val="0"/>
                <w:sz w:val="18"/>
                <w:szCs w:val="21"/>
              </w:rPr>
              <w:t>公里罗马湖公园、安宁大街公园、温榆河公园、温榆河、中国国际展览中心（顺义馆）龙腾世纪文化广场等自然环境及无人文环境；综合评价环境状况较好</w:t>
            </w:r>
          </w:p>
        </w:tc>
        <w:tc>
          <w:tcPr>
            <w:tcW w:w="262" w:type="pct"/>
            <w:vAlign w:val="center"/>
          </w:tcPr>
          <w:p w14:paraId="7B8AC930"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101</w:t>
            </w:r>
          </w:p>
        </w:tc>
        <w:tc>
          <w:tcPr>
            <w:tcW w:w="820" w:type="pct"/>
            <w:vAlign w:val="center"/>
          </w:tcPr>
          <w:p w14:paraId="16552170"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周边</w:t>
            </w:r>
            <w:r>
              <w:rPr>
                <w:rFonts w:ascii="Arial" w:eastAsia="仿宋" w:hAnsi="Arial" w:cs="Arial" w:hint="eastAsia"/>
                <w:snapToGrid w:val="0"/>
                <w:sz w:val="18"/>
                <w:szCs w:val="21"/>
              </w:rPr>
              <w:t>2</w:t>
            </w:r>
            <w:r>
              <w:rPr>
                <w:rFonts w:ascii="Arial" w:eastAsia="仿宋" w:hAnsi="Arial" w:cs="Arial" w:hint="eastAsia"/>
                <w:snapToGrid w:val="0"/>
                <w:sz w:val="18"/>
                <w:szCs w:val="21"/>
              </w:rPr>
              <w:t>公里顺义公园、潮白河森林公园、光明文化广场、顺义区工人文化宫、潮白河等自然环境及无人文环境；综合评价环境状况较好</w:t>
            </w:r>
          </w:p>
        </w:tc>
        <w:tc>
          <w:tcPr>
            <w:tcW w:w="308" w:type="pct"/>
            <w:vAlign w:val="center"/>
          </w:tcPr>
          <w:p w14:paraId="5AF087D9"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101</w:t>
            </w:r>
          </w:p>
        </w:tc>
      </w:tr>
      <w:tr w:rsidR="0062768B" w14:paraId="48931359" w14:textId="77777777">
        <w:trPr>
          <w:trHeight w:val="320"/>
          <w:jc w:val="center"/>
        </w:trPr>
        <w:tc>
          <w:tcPr>
            <w:tcW w:w="199" w:type="pct"/>
            <w:vMerge/>
            <w:vAlign w:val="center"/>
          </w:tcPr>
          <w:p w14:paraId="6C56C36B"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tc>
        <w:tc>
          <w:tcPr>
            <w:tcW w:w="416" w:type="pct"/>
            <w:vAlign w:val="center"/>
          </w:tcPr>
          <w:p w14:paraId="5793D129"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临街状况</w:t>
            </w:r>
          </w:p>
        </w:tc>
        <w:tc>
          <w:tcPr>
            <w:tcW w:w="770" w:type="pct"/>
            <w:vAlign w:val="center"/>
          </w:tcPr>
          <w:p w14:paraId="5CCC044F"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单面临街</w:t>
            </w:r>
          </w:p>
        </w:tc>
        <w:tc>
          <w:tcPr>
            <w:tcW w:w="307" w:type="pct"/>
            <w:vAlign w:val="center"/>
          </w:tcPr>
          <w:p w14:paraId="19CE328D"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46" w:type="pct"/>
            <w:vAlign w:val="center"/>
          </w:tcPr>
          <w:p w14:paraId="16761BA0"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单面临街</w:t>
            </w:r>
          </w:p>
        </w:tc>
        <w:tc>
          <w:tcPr>
            <w:tcW w:w="308" w:type="pct"/>
            <w:vAlign w:val="center"/>
          </w:tcPr>
          <w:p w14:paraId="4C0E78C7"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764" w:type="pct"/>
            <w:vAlign w:val="center"/>
          </w:tcPr>
          <w:p w14:paraId="623C5836"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单面临街</w:t>
            </w:r>
          </w:p>
        </w:tc>
        <w:tc>
          <w:tcPr>
            <w:tcW w:w="262" w:type="pct"/>
            <w:vAlign w:val="center"/>
          </w:tcPr>
          <w:p w14:paraId="4010FB5D"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20" w:type="pct"/>
            <w:vAlign w:val="center"/>
          </w:tcPr>
          <w:p w14:paraId="66880044"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双面临街</w:t>
            </w:r>
          </w:p>
        </w:tc>
        <w:tc>
          <w:tcPr>
            <w:tcW w:w="308" w:type="pct"/>
            <w:vAlign w:val="center"/>
          </w:tcPr>
          <w:p w14:paraId="0A7F169C"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101</w:t>
            </w:r>
          </w:p>
        </w:tc>
      </w:tr>
      <w:tr w:rsidR="0062768B" w14:paraId="4637F9EB" w14:textId="77777777">
        <w:trPr>
          <w:trHeight w:val="320"/>
          <w:jc w:val="center"/>
        </w:trPr>
        <w:tc>
          <w:tcPr>
            <w:tcW w:w="199" w:type="pct"/>
            <w:vMerge/>
            <w:vAlign w:val="center"/>
          </w:tcPr>
          <w:p w14:paraId="4D5A0B68"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tc>
        <w:tc>
          <w:tcPr>
            <w:tcW w:w="416" w:type="pct"/>
            <w:vAlign w:val="center"/>
          </w:tcPr>
          <w:p w14:paraId="127478F7"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人流量</w:t>
            </w:r>
          </w:p>
        </w:tc>
        <w:tc>
          <w:tcPr>
            <w:tcW w:w="770" w:type="pct"/>
            <w:vAlign w:val="center"/>
          </w:tcPr>
          <w:p w14:paraId="19514997"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较差</w:t>
            </w:r>
          </w:p>
        </w:tc>
        <w:tc>
          <w:tcPr>
            <w:tcW w:w="307" w:type="pct"/>
            <w:vAlign w:val="center"/>
          </w:tcPr>
          <w:p w14:paraId="5E80DFA0"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46" w:type="pct"/>
            <w:vAlign w:val="center"/>
          </w:tcPr>
          <w:p w14:paraId="110FD8B1"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较好</w:t>
            </w:r>
          </w:p>
        </w:tc>
        <w:tc>
          <w:tcPr>
            <w:tcW w:w="308" w:type="pct"/>
            <w:vAlign w:val="center"/>
          </w:tcPr>
          <w:p w14:paraId="27F8B06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104</w:t>
            </w:r>
          </w:p>
        </w:tc>
        <w:tc>
          <w:tcPr>
            <w:tcW w:w="764" w:type="pct"/>
            <w:vAlign w:val="center"/>
          </w:tcPr>
          <w:p w14:paraId="0A95334C"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一般</w:t>
            </w:r>
          </w:p>
        </w:tc>
        <w:tc>
          <w:tcPr>
            <w:tcW w:w="262" w:type="pct"/>
            <w:vAlign w:val="center"/>
          </w:tcPr>
          <w:p w14:paraId="18DD9B17"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102</w:t>
            </w:r>
          </w:p>
        </w:tc>
        <w:tc>
          <w:tcPr>
            <w:tcW w:w="820" w:type="pct"/>
            <w:vAlign w:val="center"/>
          </w:tcPr>
          <w:p w14:paraId="089388D7"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较好</w:t>
            </w:r>
          </w:p>
        </w:tc>
        <w:tc>
          <w:tcPr>
            <w:tcW w:w="308" w:type="pct"/>
            <w:vAlign w:val="center"/>
          </w:tcPr>
          <w:p w14:paraId="1EF55E86"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104</w:t>
            </w:r>
          </w:p>
        </w:tc>
      </w:tr>
      <w:tr w:rsidR="0062768B" w14:paraId="56565531" w14:textId="77777777">
        <w:trPr>
          <w:trHeight w:val="320"/>
          <w:jc w:val="center"/>
        </w:trPr>
        <w:tc>
          <w:tcPr>
            <w:tcW w:w="199" w:type="pct"/>
            <w:vMerge/>
            <w:vAlign w:val="center"/>
          </w:tcPr>
          <w:p w14:paraId="6C7B91E6"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tc>
        <w:tc>
          <w:tcPr>
            <w:tcW w:w="416" w:type="pct"/>
            <w:vAlign w:val="center"/>
          </w:tcPr>
          <w:p w14:paraId="5B99031D"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楼层</w:t>
            </w:r>
          </w:p>
        </w:tc>
        <w:tc>
          <w:tcPr>
            <w:tcW w:w="770" w:type="pct"/>
            <w:vAlign w:val="center"/>
          </w:tcPr>
          <w:p w14:paraId="1819525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w:t>
            </w:r>
            <w:r>
              <w:rPr>
                <w:rFonts w:ascii="Arial" w:eastAsia="仿宋" w:hAnsi="Arial" w:cs="Arial" w:hint="eastAsia"/>
                <w:snapToGrid w:val="0"/>
                <w:sz w:val="18"/>
                <w:szCs w:val="21"/>
              </w:rPr>
              <w:t>层</w:t>
            </w:r>
          </w:p>
        </w:tc>
        <w:tc>
          <w:tcPr>
            <w:tcW w:w="307" w:type="pct"/>
            <w:vAlign w:val="center"/>
          </w:tcPr>
          <w:p w14:paraId="1E79AA08"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46" w:type="pct"/>
            <w:vAlign w:val="center"/>
          </w:tcPr>
          <w:p w14:paraId="3C7CAC21"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w:t>
            </w:r>
            <w:r>
              <w:rPr>
                <w:rFonts w:ascii="Arial" w:eastAsia="仿宋" w:hAnsi="Arial" w:cs="Arial"/>
                <w:snapToGrid w:val="0"/>
                <w:sz w:val="18"/>
                <w:szCs w:val="21"/>
              </w:rPr>
              <w:t>层</w:t>
            </w:r>
          </w:p>
        </w:tc>
        <w:tc>
          <w:tcPr>
            <w:tcW w:w="308" w:type="pct"/>
            <w:vAlign w:val="center"/>
          </w:tcPr>
          <w:p w14:paraId="15E442CF"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764" w:type="pct"/>
            <w:vAlign w:val="center"/>
          </w:tcPr>
          <w:p w14:paraId="70E3CA5A"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1-2</w:t>
            </w:r>
            <w:r>
              <w:rPr>
                <w:rFonts w:ascii="Arial" w:eastAsia="仿宋" w:hAnsi="Arial" w:cs="Arial"/>
                <w:snapToGrid w:val="0"/>
                <w:sz w:val="18"/>
                <w:szCs w:val="21"/>
              </w:rPr>
              <w:t>层</w:t>
            </w:r>
          </w:p>
        </w:tc>
        <w:tc>
          <w:tcPr>
            <w:tcW w:w="262" w:type="pct"/>
            <w:vAlign w:val="center"/>
          </w:tcPr>
          <w:p w14:paraId="6DD6BFA6"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90</w:t>
            </w:r>
          </w:p>
        </w:tc>
        <w:tc>
          <w:tcPr>
            <w:tcW w:w="820" w:type="pct"/>
            <w:vAlign w:val="center"/>
          </w:tcPr>
          <w:p w14:paraId="6283454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w:t>
            </w:r>
            <w:r>
              <w:rPr>
                <w:rFonts w:ascii="Arial" w:eastAsia="仿宋" w:hAnsi="Arial" w:cs="Arial"/>
                <w:snapToGrid w:val="0"/>
                <w:sz w:val="18"/>
                <w:szCs w:val="21"/>
              </w:rPr>
              <w:t>层</w:t>
            </w:r>
          </w:p>
        </w:tc>
        <w:tc>
          <w:tcPr>
            <w:tcW w:w="308" w:type="pct"/>
            <w:vAlign w:val="center"/>
          </w:tcPr>
          <w:p w14:paraId="6106A0D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r>
      <w:tr w:rsidR="0062768B" w14:paraId="5F181AA7" w14:textId="77777777">
        <w:trPr>
          <w:trHeight w:val="310"/>
          <w:jc w:val="center"/>
        </w:trPr>
        <w:tc>
          <w:tcPr>
            <w:tcW w:w="199" w:type="pct"/>
            <w:vMerge w:val="restart"/>
            <w:vAlign w:val="center"/>
          </w:tcPr>
          <w:p w14:paraId="490F0BE5"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个别</w:t>
            </w:r>
          </w:p>
          <w:p w14:paraId="61483AE3"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lastRenderedPageBreak/>
              <w:t>因素</w:t>
            </w:r>
          </w:p>
        </w:tc>
        <w:tc>
          <w:tcPr>
            <w:tcW w:w="416" w:type="pct"/>
            <w:vAlign w:val="center"/>
          </w:tcPr>
          <w:p w14:paraId="2B08097B"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lastRenderedPageBreak/>
              <w:t>商业类型</w:t>
            </w:r>
          </w:p>
        </w:tc>
        <w:tc>
          <w:tcPr>
            <w:tcW w:w="770" w:type="pct"/>
            <w:vAlign w:val="center"/>
          </w:tcPr>
          <w:p w14:paraId="6E60868D"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住宅配套商业</w:t>
            </w:r>
          </w:p>
        </w:tc>
        <w:tc>
          <w:tcPr>
            <w:tcW w:w="307" w:type="pct"/>
            <w:vAlign w:val="center"/>
          </w:tcPr>
          <w:p w14:paraId="0816CB62" w14:textId="77777777" w:rsidR="0062768B" w:rsidRDefault="00136729">
            <w:pPr>
              <w:spacing w:line="240" w:lineRule="exact"/>
              <w:jc w:val="center"/>
              <w:rPr>
                <w:rFonts w:ascii="Arial" w:eastAsia="仿宋" w:hAnsi="Arial" w:cs="Arial"/>
                <w:snapToGrid w:val="0"/>
                <w:sz w:val="18"/>
                <w:szCs w:val="21"/>
              </w:rPr>
            </w:pPr>
            <w:r>
              <w:rPr>
                <w:rFonts w:ascii="Arial" w:eastAsia="仿宋" w:hAnsi="Arial" w:cs="Arial"/>
                <w:snapToGrid w:val="0"/>
                <w:sz w:val="18"/>
                <w:szCs w:val="21"/>
              </w:rPr>
              <w:t>100</w:t>
            </w:r>
          </w:p>
        </w:tc>
        <w:tc>
          <w:tcPr>
            <w:tcW w:w="846" w:type="pct"/>
            <w:vAlign w:val="center"/>
          </w:tcPr>
          <w:p w14:paraId="6D852153" w14:textId="77777777" w:rsidR="0062768B" w:rsidRDefault="00136729">
            <w:pPr>
              <w:spacing w:line="240" w:lineRule="exact"/>
              <w:jc w:val="center"/>
              <w:rPr>
                <w:rFonts w:ascii="Arial" w:eastAsia="仿宋" w:hAnsi="Arial" w:cs="Arial"/>
                <w:snapToGrid w:val="0"/>
                <w:sz w:val="18"/>
                <w:szCs w:val="21"/>
              </w:rPr>
            </w:pPr>
            <w:r>
              <w:rPr>
                <w:rFonts w:ascii="Arial" w:eastAsia="仿宋" w:hAnsi="Arial" w:cs="Arial" w:hint="eastAsia"/>
                <w:snapToGrid w:val="0"/>
                <w:sz w:val="18"/>
                <w:szCs w:val="21"/>
              </w:rPr>
              <w:t>商业街商铺</w:t>
            </w:r>
          </w:p>
        </w:tc>
        <w:tc>
          <w:tcPr>
            <w:tcW w:w="308" w:type="pct"/>
            <w:vAlign w:val="center"/>
          </w:tcPr>
          <w:p w14:paraId="275C6C3C" w14:textId="77777777" w:rsidR="0062768B" w:rsidRDefault="00136729">
            <w:pPr>
              <w:spacing w:line="240" w:lineRule="exact"/>
              <w:jc w:val="center"/>
              <w:rPr>
                <w:rFonts w:ascii="Arial" w:eastAsia="仿宋" w:hAnsi="Arial" w:cs="Arial"/>
                <w:snapToGrid w:val="0"/>
                <w:sz w:val="18"/>
                <w:szCs w:val="21"/>
              </w:rPr>
            </w:pPr>
            <w:r>
              <w:rPr>
                <w:rFonts w:ascii="Arial" w:eastAsia="仿宋" w:hAnsi="Arial" w:cs="Arial"/>
                <w:snapToGrid w:val="0"/>
                <w:sz w:val="18"/>
                <w:szCs w:val="21"/>
              </w:rPr>
              <w:t>104</w:t>
            </w:r>
          </w:p>
        </w:tc>
        <w:tc>
          <w:tcPr>
            <w:tcW w:w="764" w:type="pct"/>
            <w:vAlign w:val="center"/>
          </w:tcPr>
          <w:p w14:paraId="1FB0EFAC" w14:textId="77777777" w:rsidR="0062768B" w:rsidRDefault="00136729">
            <w:pPr>
              <w:spacing w:line="240" w:lineRule="exact"/>
              <w:jc w:val="center"/>
              <w:rPr>
                <w:rFonts w:ascii="Arial" w:eastAsia="仿宋" w:hAnsi="Arial" w:cs="Arial"/>
                <w:snapToGrid w:val="0"/>
                <w:sz w:val="18"/>
                <w:szCs w:val="21"/>
              </w:rPr>
            </w:pPr>
            <w:r>
              <w:rPr>
                <w:rFonts w:ascii="Arial" w:eastAsia="仿宋" w:hAnsi="Arial" w:cs="Arial" w:hint="eastAsia"/>
                <w:snapToGrid w:val="0"/>
                <w:sz w:val="18"/>
                <w:szCs w:val="21"/>
              </w:rPr>
              <w:t>临街商铺</w:t>
            </w:r>
          </w:p>
        </w:tc>
        <w:tc>
          <w:tcPr>
            <w:tcW w:w="262" w:type="pct"/>
            <w:vAlign w:val="center"/>
          </w:tcPr>
          <w:p w14:paraId="61E763F6" w14:textId="77777777" w:rsidR="0062768B" w:rsidRDefault="00136729">
            <w:pPr>
              <w:spacing w:line="240" w:lineRule="exact"/>
              <w:jc w:val="center"/>
              <w:rPr>
                <w:rFonts w:ascii="Arial" w:eastAsia="仿宋" w:hAnsi="Arial" w:cs="Arial"/>
                <w:snapToGrid w:val="0"/>
                <w:sz w:val="18"/>
                <w:szCs w:val="21"/>
              </w:rPr>
            </w:pPr>
            <w:r>
              <w:rPr>
                <w:rFonts w:ascii="Arial" w:eastAsia="仿宋" w:hAnsi="Arial" w:cs="Arial"/>
                <w:snapToGrid w:val="0"/>
                <w:sz w:val="18"/>
                <w:szCs w:val="21"/>
              </w:rPr>
              <w:t>102</w:t>
            </w:r>
          </w:p>
        </w:tc>
        <w:tc>
          <w:tcPr>
            <w:tcW w:w="820" w:type="pct"/>
            <w:vAlign w:val="center"/>
          </w:tcPr>
          <w:p w14:paraId="04F2C357" w14:textId="77777777" w:rsidR="0062768B" w:rsidRDefault="00136729">
            <w:pPr>
              <w:spacing w:line="240" w:lineRule="exact"/>
              <w:jc w:val="center"/>
              <w:rPr>
                <w:rFonts w:ascii="Arial" w:eastAsia="仿宋" w:hAnsi="Arial" w:cs="Arial"/>
                <w:snapToGrid w:val="0"/>
                <w:sz w:val="18"/>
                <w:szCs w:val="21"/>
              </w:rPr>
            </w:pPr>
            <w:r>
              <w:rPr>
                <w:rFonts w:ascii="Arial" w:eastAsia="仿宋" w:hAnsi="Arial" w:cs="Arial"/>
                <w:snapToGrid w:val="0"/>
                <w:sz w:val="18"/>
                <w:szCs w:val="21"/>
              </w:rPr>
              <w:t>临街商铺</w:t>
            </w:r>
          </w:p>
        </w:tc>
        <w:tc>
          <w:tcPr>
            <w:tcW w:w="308" w:type="pct"/>
            <w:vAlign w:val="center"/>
          </w:tcPr>
          <w:p w14:paraId="703C9474" w14:textId="77777777" w:rsidR="0062768B" w:rsidRDefault="00136729">
            <w:pPr>
              <w:spacing w:line="240" w:lineRule="exact"/>
              <w:jc w:val="center"/>
              <w:rPr>
                <w:rFonts w:ascii="Arial" w:eastAsia="仿宋" w:hAnsi="Arial" w:cs="Arial"/>
                <w:snapToGrid w:val="0"/>
                <w:sz w:val="18"/>
                <w:szCs w:val="21"/>
              </w:rPr>
            </w:pPr>
            <w:r>
              <w:rPr>
                <w:rFonts w:ascii="Arial" w:eastAsia="仿宋" w:hAnsi="Arial" w:cs="Arial"/>
                <w:snapToGrid w:val="0"/>
                <w:sz w:val="18"/>
                <w:szCs w:val="21"/>
              </w:rPr>
              <w:t>102</w:t>
            </w:r>
          </w:p>
        </w:tc>
      </w:tr>
      <w:tr w:rsidR="0062768B" w14:paraId="7BA02072" w14:textId="77777777">
        <w:trPr>
          <w:trHeight w:val="310"/>
          <w:jc w:val="center"/>
        </w:trPr>
        <w:tc>
          <w:tcPr>
            <w:tcW w:w="199" w:type="pct"/>
            <w:vMerge/>
            <w:textDirection w:val="tbRlV"/>
            <w:vAlign w:val="center"/>
          </w:tcPr>
          <w:p w14:paraId="3AC363E4"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tc>
        <w:tc>
          <w:tcPr>
            <w:tcW w:w="416" w:type="pct"/>
            <w:vAlign w:val="center"/>
          </w:tcPr>
          <w:p w14:paraId="74DBF8E4"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项目建筑规模</w:t>
            </w:r>
          </w:p>
          <w:p w14:paraId="35E84594"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w:t>
            </w:r>
            <w:r>
              <w:rPr>
                <w:rFonts w:ascii="Arial" w:eastAsia="仿宋" w:hAnsi="Arial" w:cs="Arial"/>
                <w:snapToGrid w:val="0"/>
                <w:sz w:val="18"/>
                <w:szCs w:val="21"/>
              </w:rPr>
              <w:t>平方米</w:t>
            </w:r>
            <w:r>
              <w:rPr>
                <w:rFonts w:ascii="Arial" w:eastAsia="仿宋" w:hAnsi="Arial" w:cs="Arial"/>
                <w:snapToGrid w:val="0"/>
                <w:sz w:val="18"/>
                <w:szCs w:val="21"/>
              </w:rPr>
              <w:t>)</w:t>
            </w:r>
          </w:p>
        </w:tc>
        <w:tc>
          <w:tcPr>
            <w:tcW w:w="770" w:type="pct"/>
            <w:vAlign w:val="center"/>
          </w:tcPr>
          <w:p w14:paraId="2AC21742"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39</w:t>
            </w:r>
          </w:p>
        </w:tc>
        <w:tc>
          <w:tcPr>
            <w:tcW w:w="307" w:type="pct"/>
            <w:vAlign w:val="center"/>
          </w:tcPr>
          <w:p w14:paraId="7303064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46" w:type="pct"/>
            <w:vAlign w:val="center"/>
          </w:tcPr>
          <w:p w14:paraId="5615DB8A"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150</w:t>
            </w:r>
          </w:p>
        </w:tc>
        <w:tc>
          <w:tcPr>
            <w:tcW w:w="308" w:type="pct"/>
            <w:vAlign w:val="center"/>
          </w:tcPr>
          <w:p w14:paraId="1F942B0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764" w:type="pct"/>
            <w:vAlign w:val="center"/>
          </w:tcPr>
          <w:p w14:paraId="12447D79"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237.1</w:t>
            </w:r>
          </w:p>
        </w:tc>
        <w:tc>
          <w:tcPr>
            <w:tcW w:w="262" w:type="pct"/>
            <w:vAlign w:val="center"/>
          </w:tcPr>
          <w:p w14:paraId="688E4613"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20" w:type="pct"/>
            <w:vAlign w:val="center"/>
          </w:tcPr>
          <w:p w14:paraId="35232CC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1000</w:t>
            </w:r>
          </w:p>
        </w:tc>
        <w:tc>
          <w:tcPr>
            <w:tcW w:w="308" w:type="pct"/>
            <w:vAlign w:val="center"/>
          </w:tcPr>
          <w:p w14:paraId="217AB5E0"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98</w:t>
            </w:r>
          </w:p>
        </w:tc>
      </w:tr>
      <w:tr w:rsidR="0062768B" w14:paraId="165D89F8" w14:textId="77777777">
        <w:trPr>
          <w:trHeight w:val="310"/>
          <w:jc w:val="center"/>
        </w:trPr>
        <w:tc>
          <w:tcPr>
            <w:tcW w:w="199" w:type="pct"/>
            <w:vMerge/>
            <w:textDirection w:val="tbRlV"/>
            <w:vAlign w:val="center"/>
          </w:tcPr>
          <w:p w14:paraId="4909BFF5"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tc>
        <w:tc>
          <w:tcPr>
            <w:tcW w:w="416" w:type="pct"/>
            <w:vAlign w:val="center"/>
          </w:tcPr>
          <w:p w14:paraId="1615EE4D"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建筑结构</w:t>
            </w:r>
          </w:p>
        </w:tc>
        <w:tc>
          <w:tcPr>
            <w:tcW w:w="770" w:type="pct"/>
            <w:vAlign w:val="center"/>
          </w:tcPr>
          <w:p w14:paraId="6263C0B5"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钢混</w:t>
            </w:r>
          </w:p>
        </w:tc>
        <w:tc>
          <w:tcPr>
            <w:tcW w:w="307" w:type="pct"/>
            <w:vAlign w:val="center"/>
          </w:tcPr>
          <w:p w14:paraId="27E4DD8F"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46" w:type="pct"/>
            <w:vAlign w:val="center"/>
          </w:tcPr>
          <w:p w14:paraId="12148FD1"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钢混</w:t>
            </w:r>
          </w:p>
        </w:tc>
        <w:tc>
          <w:tcPr>
            <w:tcW w:w="308" w:type="pct"/>
            <w:vAlign w:val="center"/>
          </w:tcPr>
          <w:p w14:paraId="39DE08BD"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764" w:type="pct"/>
            <w:vAlign w:val="center"/>
          </w:tcPr>
          <w:p w14:paraId="1601FCE6"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钢混</w:t>
            </w:r>
          </w:p>
        </w:tc>
        <w:tc>
          <w:tcPr>
            <w:tcW w:w="262" w:type="pct"/>
            <w:vAlign w:val="center"/>
          </w:tcPr>
          <w:p w14:paraId="654FCCE8"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20" w:type="pct"/>
            <w:vAlign w:val="center"/>
          </w:tcPr>
          <w:p w14:paraId="4174D9D1"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钢混</w:t>
            </w:r>
          </w:p>
        </w:tc>
        <w:tc>
          <w:tcPr>
            <w:tcW w:w="308" w:type="pct"/>
            <w:vAlign w:val="center"/>
          </w:tcPr>
          <w:p w14:paraId="3AD4F23B"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r>
      <w:tr w:rsidR="0062768B" w14:paraId="6294D60C" w14:textId="77777777">
        <w:trPr>
          <w:trHeight w:val="310"/>
          <w:jc w:val="center"/>
        </w:trPr>
        <w:tc>
          <w:tcPr>
            <w:tcW w:w="199" w:type="pct"/>
            <w:vMerge/>
            <w:textDirection w:val="tbRlV"/>
            <w:vAlign w:val="center"/>
          </w:tcPr>
          <w:p w14:paraId="1D829BFA"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tc>
        <w:tc>
          <w:tcPr>
            <w:tcW w:w="416" w:type="pct"/>
            <w:vAlign w:val="center"/>
          </w:tcPr>
          <w:p w14:paraId="36A69818"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公共部分装修</w:t>
            </w:r>
          </w:p>
        </w:tc>
        <w:tc>
          <w:tcPr>
            <w:tcW w:w="770" w:type="pct"/>
            <w:vAlign w:val="center"/>
          </w:tcPr>
          <w:p w14:paraId="30259521"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精装修</w:t>
            </w:r>
          </w:p>
        </w:tc>
        <w:tc>
          <w:tcPr>
            <w:tcW w:w="307" w:type="pct"/>
            <w:vAlign w:val="center"/>
          </w:tcPr>
          <w:p w14:paraId="2CD6E69C"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46" w:type="pct"/>
            <w:vAlign w:val="center"/>
          </w:tcPr>
          <w:p w14:paraId="4B59BD6C"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精装修</w:t>
            </w:r>
          </w:p>
        </w:tc>
        <w:tc>
          <w:tcPr>
            <w:tcW w:w="308" w:type="pct"/>
            <w:vAlign w:val="center"/>
          </w:tcPr>
          <w:p w14:paraId="4CC4AE67"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764" w:type="pct"/>
            <w:vAlign w:val="center"/>
          </w:tcPr>
          <w:p w14:paraId="30637AEA"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精装修</w:t>
            </w:r>
          </w:p>
        </w:tc>
        <w:tc>
          <w:tcPr>
            <w:tcW w:w="262" w:type="pct"/>
            <w:vAlign w:val="center"/>
          </w:tcPr>
          <w:p w14:paraId="736F2026"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20" w:type="pct"/>
            <w:vAlign w:val="center"/>
          </w:tcPr>
          <w:p w14:paraId="0931340A"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精装修</w:t>
            </w:r>
          </w:p>
        </w:tc>
        <w:tc>
          <w:tcPr>
            <w:tcW w:w="308" w:type="pct"/>
            <w:vAlign w:val="center"/>
          </w:tcPr>
          <w:p w14:paraId="3FA61C34"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r>
      <w:tr w:rsidR="0062768B" w14:paraId="54FB4630" w14:textId="77777777">
        <w:trPr>
          <w:trHeight w:val="320"/>
          <w:jc w:val="center"/>
        </w:trPr>
        <w:tc>
          <w:tcPr>
            <w:tcW w:w="199" w:type="pct"/>
            <w:vMerge/>
            <w:textDirection w:val="tbRlV"/>
            <w:vAlign w:val="center"/>
          </w:tcPr>
          <w:p w14:paraId="02E47E6D"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tc>
        <w:tc>
          <w:tcPr>
            <w:tcW w:w="416" w:type="pct"/>
            <w:vAlign w:val="center"/>
          </w:tcPr>
          <w:p w14:paraId="12D2DCF0"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成新度</w:t>
            </w:r>
          </w:p>
        </w:tc>
        <w:tc>
          <w:tcPr>
            <w:tcW w:w="770" w:type="pct"/>
            <w:vAlign w:val="center"/>
          </w:tcPr>
          <w:p w14:paraId="3E72A5A7"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90%—100%</w:t>
            </w:r>
            <w:r>
              <w:rPr>
                <w:rFonts w:ascii="Arial" w:eastAsia="仿宋" w:hAnsi="Arial" w:cs="Arial" w:hint="eastAsia"/>
                <w:snapToGrid w:val="0"/>
                <w:sz w:val="18"/>
                <w:szCs w:val="21"/>
              </w:rPr>
              <w:t>（含）</w:t>
            </w:r>
          </w:p>
        </w:tc>
        <w:tc>
          <w:tcPr>
            <w:tcW w:w="307" w:type="pct"/>
            <w:vAlign w:val="center"/>
          </w:tcPr>
          <w:p w14:paraId="4F49C691"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46" w:type="pct"/>
            <w:vAlign w:val="center"/>
          </w:tcPr>
          <w:p w14:paraId="5C538CC7"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80%—90%</w:t>
            </w:r>
            <w:r>
              <w:rPr>
                <w:rFonts w:ascii="Arial" w:eastAsia="仿宋" w:hAnsi="Arial" w:cs="Arial" w:hint="eastAsia"/>
                <w:snapToGrid w:val="0"/>
                <w:sz w:val="18"/>
                <w:szCs w:val="21"/>
              </w:rPr>
              <w:t>（含）</w:t>
            </w:r>
          </w:p>
        </w:tc>
        <w:tc>
          <w:tcPr>
            <w:tcW w:w="308" w:type="pct"/>
            <w:vAlign w:val="center"/>
          </w:tcPr>
          <w:p w14:paraId="0C4CA1E9"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99</w:t>
            </w:r>
          </w:p>
        </w:tc>
        <w:tc>
          <w:tcPr>
            <w:tcW w:w="764" w:type="pct"/>
            <w:vAlign w:val="center"/>
          </w:tcPr>
          <w:p w14:paraId="72EC2588"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80%—90%</w:t>
            </w:r>
            <w:r>
              <w:rPr>
                <w:rFonts w:ascii="Arial" w:eastAsia="仿宋" w:hAnsi="Arial" w:cs="Arial" w:hint="eastAsia"/>
                <w:snapToGrid w:val="0"/>
                <w:sz w:val="18"/>
                <w:szCs w:val="21"/>
              </w:rPr>
              <w:t>（含）</w:t>
            </w:r>
          </w:p>
        </w:tc>
        <w:tc>
          <w:tcPr>
            <w:tcW w:w="262" w:type="pct"/>
            <w:vAlign w:val="center"/>
          </w:tcPr>
          <w:p w14:paraId="6868D3F5"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99</w:t>
            </w:r>
          </w:p>
        </w:tc>
        <w:tc>
          <w:tcPr>
            <w:tcW w:w="820" w:type="pct"/>
            <w:vAlign w:val="center"/>
          </w:tcPr>
          <w:p w14:paraId="18983A18"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80%—90%</w:t>
            </w:r>
            <w:r>
              <w:rPr>
                <w:rFonts w:ascii="Arial" w:eastAsia="仿宋" w:hAnsi="Arial" w:cs="Arial" w:hint="eastAsia"/>
                <w:snapToGrid w:val="0"/>
                <w:sz w:val="18"/>
                <w:szCs w:val="21"/>
              </w:rPr>
              <w:t>（含）</w:t>
            </w:r>
          </w:p>
        </w:tc>
        <w:tc>
          <w:tcPr>
            <w:tcW w:w="308" w:type="pct"/>
            <w:vAlign w:val="center"/>
          </w:tcPr>
          <w:p w14:paraId="22F96743"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99</w:t>
            </w:r>
          </w:p>
        </w:tc>
      </w:tr>
    </w:tbl>
    <w:p w14:paraId="46C078E7" w14:textId="77777777" w:rsidR="0062768B" w:rsidRDefault="0062768B">
      <w:pPr>
        <w:spacing w:line="360" w:lineRule="auto"/>
        <w:rPr>
          <w:rFonts w:ascii="Arial" w:eastAsia="仿宋_GB2312" w:hAnsi="Arial" w:cs="Arial"/>
          <w:bCs/>
        </w:rPr>
      </w:pPr>
    </w:p>
    <w:p w14:paraId="60EB0B1C" w14:textId="77777777" w:rsidR="0062768B" w:rsidRDefault="00136729">
      <w:pPr>
        <w:spacing w:line="360" w:lineRule="auto"/>
        <w:jc w:val="center"/>
        <w:rPr>
          <w:rFonts w:ascii="Arial" w:eastAsia="仿宋" w:hAnsi="Arial" w:cs="Arial"/>
          <w:b/>
          <w:bCs/>
          <w:sz w:val="28"/>
          <w:szCs w:val="28"/>
        </w:rPr>
      </w:pPr>
      <w:r>
        <w:rPr>
          <w:rFonts w:ascii="Arial" w:eastAsia="仿宋" w:hAnsi="Arial" w:cs="Arial"/>
          <w:b/>
          <w:bCs/>
          <w:sz w:val="28"/>
          <w:szCs w:val="28"/>
        </w:rPr>
        <w:t>表</w:t>
      </w:r>
      <w:r>
        <w:rPr>
          <w:rFonts w:ascii="Arial" w:eastAsia="仿宋" w:hAnsi="Arial" w:cs="Arial"/>
          <w:b/>
          <w:bCs/>
          <w:sz w:val="28"/>
          <w:szCs w:val="28"/>
        </w:rPr>
        <w:t>4</w:t>
      </w:r>
      <w:r>
        <w:rPr>
          <w:rFonts w:ascii="Arial" w:eastAsia="仿宋" w:hAnsi="Arial" w:cs="Arial"/>
          <w:b/>
          <w:bCs/>
          <w:sz w:val="28"/>
          <w:szCs w:val="28"/>
        </w:rPr>
        <w:t>：因素修正和调整系数表</w:t>
      </w:r>
    </w:p>
    <w:tbl>
      <w:tblPr>
        <w:tblW w:w="4938" w:type="pct"/>
        <w:jc w:val="center"/>
        <w:tblLayout w:type="fixed"/>
        <w:tblCellMar>
          <w:top w:w="57" w:type="dxa"/>
          <w:left w:w="57" w:type="dxa"/>
          <w:bottom w:w="57" w:type="dxa"/>
          <w:right w:w="57" w:type="dxa"/>
        </w:tblCellMar>
        <w:tblLook w:val="04A0" w:firstRow="1" w:lastRow="0" w:firstColumn="1" w:lastColumn="0" w:noHBand="0" w:noVBand="1"/>
      </w:tblPr>
      <w:tblGrid>
        <w:gridCol w:w="1136"/>
        <w:gridCol w:w="1778"/>
        <w:gridCol w:w="2052"/>
        <w:gridCol w:w="2052"/>
        <w:gridCol w:w="2052"/>
      </w:tblGrid>
      <w:tr w:rsidR="0062768B" w14:paraId="1858A89E" w14:textId="77777777">
        <w:trPr>
          <w:trHeight w:val="280"/>
          <w:tblHeader/>
          <w:jc w:val="center"/>
        </w:trPr>
        <w:tc>
          <w:tcPr>
            <w:tcW w:w="1606"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34161F2B" w14:textId="77777777" w:rsidR="0062768B" w:rsidRDefault="00136729">
            <w:pPr>
              <w:widowControl/>
              <w:adjustRightInd/>
              <w:spacing w:line="240" w:lineRule="exact"/>
              <w:jc w:val="right"/>
              <w:textAlignment w:val="auto"/>
              <w:rPr>
                <w:rFonts w:ascii="Arial" w:eastAsia="仿宋" w:hAnsi="Arial" w:cs="Arial"/>
                <w:snapToGrid w:val="0"/>
                <w:sz w:val="18"/>
                <w:szCs w:val="18"/>
              </w:rPr>
            </w:pPr>
            <w:r>
              <w:rPr>
                <w:rFonts w:ascii="Arial" w:eastAsia="仿宋" w:hAnsi="Arial" w:cs="Arial"/>
                <w:snapToGrid w:val="0"/>
                <w:sz w:val="18"/>
                <w:szCs w:val="18"/>
              </w:rPr>
              <w:t>可比案例</w:t>
            </w:r>
          </w:p>
          <w:p w14:paraId="4FB680F9" w14:textId="77777777" w:rsidR="0062768B" w:rsidRDefault="00136729">
            <w:pPr>
              <w:widowControl/>
              <w:adjustRightInd/>
              <w:spacing w:line="240" w:lineRule="exact"/>
              <w:textAlignment w:val="auto"/>
              <w:rPr>
                <w:rFonts w:ascii="Arial" w:eastAsia="仿宋" w:hAnsi="Arial" w:cs="Arial"/>
                <w:snapToGrid w:val="0"/>
                <w:sz w:val="18"/>
                <w:szCs w:val="18"/>
              </w:rPr>
            </w:pPr>
            <w:r>
              <w:rPr>
                <w:rFonts w:ascii="Arial" w:eastAsia="仿宋" w:hAnsi="Arial" w:cs="Arial"/>
                <w:snapToGrid w:val="0"/>
                <w:sz w:val="18"/>
                <w:szCs w:val="18"/>
              </w:rPr>
              <w:t>比较因素</w:t>
            </w:r>
          </w:p>
        </w:tc>
        <w:tc>
          <w:tcPr>
            <w:tcW w:w="1131" w:type="pct"/>
            <w:tcBorders>
              <w:top w:val="single" w:sz="4" w:space="0" w:color="auto"/>
              <w:left w:val="nil"/>
              <w:bottom w:val="single" w:sz="4" w:space="0" w:color="auto"/>
              <w:right w:val="single" w:sz="4" w:space="0" w:color="auto"/>
            </w:tcBorders>
            <w:noWrap/>
            <w:vAlign w:val="center"/>
          </w:tcPr>
          <w:p w14:paraId="277EADD2"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案例</w:t>
            </w:r>
            <w:r>
              <w:rPr>
                <w:rFonts w:ascii="Arial" w:eastAsia="仿宋" w:hAnsi="Arial" w:cs="Arial"/>
                <w:snapToGrid w:val="0"/>
                <w:sz w:val="18"/>
                <w:szCs w:val="18"/>
              </w:rPr>
              <w:t>D</w:t>
            </w:r>
          </w:p>
        </w:tc>
        <w:tc>
          <w:tcPr>
            <w:tcW w:w="1131" w:type="pct"/>
            <w:tcBorders>
              <w:top w:val="single" w:sz="4" w:space="0" w:color="auto"/>
              <w:left w:val="nil"/>
              <w:bottom w:val="single" w:sz="4" w:space="0" w:color="auto"/>
              <w:right w:val="single" w:sz="4" w:space="0" w:color="auto"/>
            </w:tcBorders>
            <w:noWrap/>
            <w:vAlign w:val="center"/>
          </w:tcPr>
          <w:p w14:paraId="41DF1134"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案例</w:t>
            </w:r>
            <w:r>
              <w:rPr>
                <w:rFonts w:ascii="Arial" w:eastAsia="仿宋" w:hAnsi="Arial" w:cs="Arial"/>
                <w:snapToGrid w:val="0"/>
                <w:sz w:val="18"/>
                <w:szCs w:val="18"/>
              </w:rPr>
              <w:t>E</w:t>
            </w:r>
          </w:p>
        </w:tc>
        <w:tc>
          <w:tcPr>
            <w:tcW w:w="1131" w:type="pct"/>
            <w:tcBorders>
              <w:top w:val="single" w:sz="4" w:space="0" w:color="auto"/>
              <w:left w:val="nil"/>
              <w:bottom w:val="single" w:sz="4" w:space="0" w:color="auto"/>
              <w:right w:val="single" w:sz="4" w:space="0" w:color="auto"/>
            </w:tcBorders>
            <w:noWrap/>
            <w:vAlign w:val="center"/>
          </w:tcPr>
          <w:p w14:paraId="25A3CF69"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案例</w:t>
            </w:r>
            <w:r>
              <w:rPr>
                <w:rFonts w:ascii="Arial" w:eastAsia="仿宋" w:hAnsi="Arial" w:cs="Arial"/>
                <w:snapToGrid w:val="0"/>
                <w:sz w:val="18"/>
                <w:szCs w:val="18"/>
              </w:rPr>
              <w:t>F</w:t>
            </w:r>
          </w:p>
        </w:tc>
      </w:tr>
      <w:tr w:rsidR="0062768B" w14:paraId="05DE2EB9" w14:textId="77777777">
        <w:trPr>
          <w:trHeight w:val="280"/>
          <w:tblHeader/>
          <w:jc w:val="center"/>
        </w:trPr>
        <w:tc>
          <w:tcPr>
            <w:tcW w:w="1606"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1C497517" w14:textId="77777777" w:rsidR="0062768B" w:rsidRDefault="0062768B">
            <w:pPr>
              <w:widowControl/>
              <w:adjustRightInd/>
              <w:spacing w:line="240" w:lineRule="exact"/>
              <w:textAlignment w:val="auto"/>
              <w:rPr>
                <w:rFonts w:ascii="Arial" w:eastAsia="仿宋" w:hAnsi="Arial" w:cs="Arial"/>
                <w:snapToGrid w:val="0"/>
                <w:sz w:val="18"/>
                <w:szCs w:val="18"/>
              </w:rPr>
            </w:pPr>
          </w:p>
        </w:tc>
        <w:tc>
          <w:tcPr>
            <w:tcW w:w="1131" w:type="pct"/>
            <w:tcBorders>
              <w:top w:val="nil"/>
              <w:left w:val="nil"/>
              <w:bottom w:val="single" w:sz="4" w:space="0" w:color="auto"/>
              <w:right w:val="single" w:sz="4" w:space="0" w:color="auto"/>
            </w:tcBorders>
            <w:noWrap/>
            <w:vAlign w:val="bottom"/>
          </w:tcPr>
          <w:p w14:paraId="491DB5F7" w14:textId="77777777" w:rsidR="0062768B" w:rsidRDefault="00136729">
            <w:pPr>
              <w:widowControl/>
              <w:adjustRightInd/>
              <w:spacing w:line="240" w:lineRule="exact"/>
              <w:jc w:val="center"/>
              <w:textAlignment w:val="auto"/>
              <w:rPr>
                <w:rFonts w:ascii="Arial" w:eastAsia="仿宋" w:hAnsi="Arial" w:cs="Arial"/>
                <w:snapToGrid w:val="0"/>
                <w:sz w:val="18"/>
                <w:szCs w:val="18"/>
                <w:lang w:eastAsia="zh-Hans"/>
              </w:rPr>
            </w:pPr>
            <w:proofErr w:type="gramStart"/>
            <w:r>
              <w:rPr>
                <w:rFonts w:ascii="Arial" w:eastAsia="仿宋" w:hAnsi="Arial" w:cs="Arial" w:hint="eastAsia"/>
                <w:snapToGrid w:val="0"/>
                <w:sz w:val="18"/>
                <w:szCs w:val="18"/>
              </w:rPr>
              <w:t>顺义金街</w:t>
            </w:r>
            <w:proofErr w:type="gramEnd"/>
            <w:r>
              <w:rPr>
                <w:rFonts w:ascii="Arial" w:eastAsia="仿宋" w:hAnsi="Arial" w:cs="Arial" w:hint="eastAsia"/>
                <w:snapToGrid w:val="0"/>
                <w:sz w:val="18"/>
                <w:szCs w:val="18"/>
              </w:rPr>
              <w:t>华联购物中心商铺</w:t>
            </w:r>
          </w:p>
        </w:tc>
        <w:tc>
          <w:tcPr>
            <w:tcW w:w="1131" w:type="pct"/>
            <w:tcBorders>
              <w:top w:val="nil"/>
              <w:left w:val="nil"/>
              <w:bottom w:val="single" w:sz="4" w:space="0" w:color="auto"/>
              <w:right w:val="single" w:sz="4" w:space="0" w:color="auto"/>
            </w:tcBorders>
            <w:noWrap/>
            <w:vAlign w:val="center"/>
          </w:tcPr>
          <w:p w14:paraId="13DAB0EE"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中粮祥云小镇商铺</w:t>
            </w:r>
          </w:p>
        </w:tc>
        <w:tc>
          <w:tcPr>
            <w:tcW w:w="1131" w:type="pct"/>
            <w:tcBorders>
              <w:top w:val="nil"/>
              <w:left w:val="nil"/>
              <w:bottom w:val="single" w:sz="4" w:space="0" w:color="auto"/>
              <w:right w:val="single" w:sz="4" w:space="0" w:color="auto"/>
            </w:tcBorders>
            <w:noWrap/>
            <w:vAlign w:val="center"/>
          </w:tcPr>
          <w:p w14:paraId="47C25907"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府前</w:t>
            </w:r>
            <w:proofErr w:type="gramStart"/>
            <w:r>
              <w:rPr>
                <w:rFonts w:ascii="Arial" w:eastAsia="仿宋" w:hAnsi="Arial" w:cs="Arial" w:hint="eastAsia"/>
                <w:snapToGrid w:val="0"/>
                <w:sz w:val="18"/>
                <w:szCs w:val="18"/>
              </w:rPr>
              <w:t>西街商铺</w:t>
            </w:r>
            <w:proofErr w:type="gramEnd"/>
          </w:p>
        </w:tc>
      </w:tr>
      <w:tr w:rsidR="0062768B" w14:paraId="72D19B7C" w14:textId="77777777">
        <w:trPr>
          <w:trHeight w:val="280"/>
          <w:jc w:val="center"/>
        </w:trPr>
        <w:tc>
          <w:tcPr>
            <w:tcW w:w="1606" w:type="pct"/>
            <w:gridSpan w:val="2"/>
            <w:tcBorders>
              <w:top w:val="single" w:sz="4" w:space="0" w:color="auto"/>
              <w:left w:val="single" w:sz="4" w:space="0" w:color="auto"/>
              <w:bottom w:val="single" w:sz="4" w:space="0" w:color="auto"/>
              <w:right w:val="single" w:sz="4" w:space="0" w:color="000000"/>
            </w:tcBorders>
            <w:noWrap/>
            <w:vAlign w:val="bottom"/>
          </w:tcPr>
          <w:p w14:paraId="37B32621"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交易时间</w:t>
            </w:r>
          </w:p>
        </w:tc>
        <w:tc>
          <w:tcPr>
            <w:tcW w:w="1131" w:type="pct"/>
            <w:tcBorders>
              <w:top w:val="nil"/>
              <w:left w:val="nil"/>
              <w:bottom w:val="single" w:sz="4" w:space="0" w:color="auto"/>
              <w:right w:val="single" w:sz="4" w:space="0" w:color="auto"/>
            </w:tcBorders>
            <w:noWrap/>
            <w:vAlign w:val="center"/>
          </w:tcPr>
          <w:p w14:paraId="6ECA9F4B"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6E4E023F" w14:textId="77777777" w:rsidR="0062768B" w:rsidRDefault="00136729">
            <w:pPr>
              <w:spacing w:line="240" w:lineRule="exact"/>
              <w:jc w:val="center"/>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41B90A6C" w14:textId="77777777" w:rsidR="0062768B" w:rsidRDefault="00136729">
            <w:pPr>
              <w:spacing w:line="240" w:lineRule="exact"/>
              <w:jc w:val="center"/>
              <w:rPr>
                <w:rFonts w:ascii="Arial" w:eastAsia="仿宋" w:hAnsi="Arial" w:cs="Arial"/>
                <w:snapToGrid w:val="0"/>
                <w:sz w:val="18"/>
                <w:szCs w:val="18"/>
              </w:rPr>
            </w:pPr>
            <w:r>
              <w:rPr>
                <w:rFonts w:ascii="Arial" w:eastAsia="仿宋" w:hAnsi="Arial" w:cs="Arial" w:hint="eastAsia"/>
                <w:snapToGrid w:val="0"/>
                <w:sz w:val="18"/>
                <w:szCs w:val="18"/>
              </w:rPr>
              <w:t>100/100</w:t>
            </w:r>
          </w:p>
        </w:tc>
      </w:tr>
      <w:tr w:rsidR="0062768B" w14:paraId="5ECBF759" w14:textId="77777777">
        <w:trPr>
          <w:trHeight w:val="280"/>
          <w:jc w:val="center"/>
        </w:trPr>
        <w:tc>
          <w:tcPr>
            <w:tcW w:w="1606" w:type="pct"/>
            <w:gridSpan w:val="2"/>
            <w:tcBorders>
              <w:top w:val="single" w:sz="4" w:space="0" w:color="auto"/>
              <w:left w:val="single" w:sz="4" w:space="0" w:color="auto"/>
              <w:bottom w:val="single" w:sz="4" w:space="0" w:color="auto"/>
              <w:right w:val="single" w:sz="4" w:space="0" w:color="000000"/>
            </w:tcBorders>
            <w:noWrap/>
            <w:vAlign w:val="bottom"/>
          </w:tcPr>
          <w:p w14:paraId="6E46E479"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交易情况</w:t>
            </w:r>
          </w:p>
        </w:tc>
        <w:tc>
          <w:tcPr>
            <w:tcW w:w="1131" w:type="pct"/>
            <w:tcBorders>
              <w:top w:val="nil"/>
              <w:left w:val="nil"/>
              <w:bottom w:val="single" w:sz="4" w:space="0" w:color="auto"/>
              <w:right w:val="single" w:sz="4" w:space="0" w:color="auto"/>
            </w:tcBorders>
            <w:noWrap/>
            <w:vAlign w:val="center"/>
          </w:tcPr>
          <w:p w14:paraId="30B7DCAF"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189A009D"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6716551C"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r>
      <w:tr w:rsidR="0062768B" w14:paraId="445EA5DF" w14:textId="77777777">
        <w:trPr>
          <w:trHeight w:val="296"/>
          <w:jc w:val="center"/>
        </w:trPr>
        <w:tc>
          <w:tcPr>
            <w:tcW w:w="1606" w:type="pct"/>
            <w:gridSpan w:val="2"/>
            <w:tcBorders>
              <w:top w:val="single" w:sz="4" w:space="0" w:color="auto"/>
              <w:left w:val="single" w:sz="4" w:space="0" w:color="auto"/>
              <w:bottom w:val="single" w:sz="4" w:space="0" w:color="auto"/>
              <w:right w:val="single" w:sz="4" w:space="0" w:color="auto"/>
            </w:tcBorders>
            <w:noWrap/>
            <w:vAlign w:val="center"/>
          </w:tcPr>
          <w:p w14:paraId="51DD0BEA"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用途</w:t>
            </w:r>
          </w:p>
        </w:tc>
        <w:tc>
          <w:tcPr>
            <w:tcW w:w="1131" w:type="pct"/>
            <w:tcBorders>
              <w:top w:val="nil"/>
              <w:left w:val="nil"/>
              <w:bottom w:val="single" w:sz="4" w:space="0" w:color="auto"/>
              <w:right w:val="single" w:sz="4" w:space="0" w:color="auto"/>
            </w:tcBorders>
            <w:noWrap/>
            <w:vAlign w:val="center"/>
          </w:tcPr>
          <w:p w14:paraId="281EF025"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45EF70A4"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0DC11C12"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r>
      <w:tr w:rsidR="0062768B" w14:paraId="2E4C52E0" w14:textId="77777777">
        <w:trPr>
          <w:trHeight w:val="280"/>
          <w:jc w:val="center"/>
        </w:trPr>
        <w:tc>
          <w:tcPr>
            <w:tcW w:w="626" w:type="pct"/>
            <w:vMerge w:val="restart"/>
            <w:tcBorders>
              <w:top w:val="single" w:sz="4" w:space="0" w:color="auto"/>
              <w:left w:val="single" w:sz="4" w:space="0" w:color="auto"/>
              <w:bottom w:val="single" w:sz="4" w:space="0" w:color="000000"/>
              <w:right w:val="single" w:sz="4" w:space="0" w:color="auto"/>
            </w:tcBorders>
            <w:noWrap/>
            <w:vAlign w:val="center"/>
          </w:tcPr>
          <w:p w14:paraId="7E0E32DA"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区域因素</w:t>
            </w:r>
          </w:p>
        </w:tc>
        <w:tc>
          <w:tcPr>
            <w:tcW w:w="980" w:type="pct"/>
            <w:tcBorders>
              <w:top w:val="single" w:sz="4" w:space="0" w:color="auto"/>
              <w:left w:val="nil"/>
              <w:bottom w:val="single" w:sz="4" w:space="0" w:color="auto"/>
              <w:right w:val="single" w:sz="4" w:space="0" w:color="auto"/>
            </w:tcBorders>
            <w:noWrap/>
            <w:vAlign w:val="center"/>
          </w:tcPr>
          <w:p w14:paraId="01C1C30B"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商业繁华度</w:t>
            </w:r>
          </w:p>
        </w:tc>
        <w:tc>
          <w:tcPr>
            <w:tcW w:w="1131" w:type="pct"/>
            <w:tcBorders>
              <w:top w:val="nil"/>
              <w:left w:val="nil"/>
              <w:bottom w:val="single" w:sz="4" w:space="0" w:color="auto"/>
              <w:right w:val="single" w:sz="4" w:space="0" w:color="auto"/>
            </w:tcBorders>
            <w:noWrap/>
            <w:vAlign w:val="center"/>
          </w:tcPr>
          <w:p w14:paraId="01643B91"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100/104</w:t>
            </w:r>
          </w:p>
        </w:tc>
        <w:tc>
          <w:tcPr>
            <w:tcW w:w="1131" w:type="pct"/>
            <w:tcBorders>
              <w:top w:val="nil"/>
              <w:left w:val="nil"/>
              <w:bottom w:val="single" w:sz="4" w:space="0" w:color="auto"/>
              <w:right w:val="single" w:sz="4" w:space="0" w:color="auto"/>
            </w:tcBorders>
            <w:noWrap/>
            <w:vAlign w:val="center"/>
          </w:tcPr>
          <w:p w14:paraId="7D4DD07D" w14:textId="77777777" w:rsidR="0062768B" w:rsidRDefault="00136729">
            <w:pPr>
              <w:spacing w:line="240" w:lineRule="exact"/>
              <w:jc w:val="center"/>
              <w:rPr>
                <w:rFonts w:ascii="Arial" w:eastAsia="仿宋" w:hAnsi="Arial" w:cs="Arial"/>
                <w:snapToGrid w:val="0"/>
                <w:sz w:val="18"/>
                <w:szCs w:val="18"/>
              </w:rPr>
            </w:pPr>
            <w:r>
              <w:rPr>
                <w:rFonts w:ascii="Arial" w:eastAsia="仿宋" w:hAnsi="Arial" w:cs="Arial" w:hint="eastAsia"/>
                <w:snapToGrid w:val="0"/>
                <w:sz w:val="18"/>
                <w:szCs w:val="18"/>
              </w:rPr>
              <w:t>100/102</w:t>
            </w:r>
          </w:p>
        </w:tc>
        <w:tc>
          <w:tcPr>
            <w:tcW w:w="1131" w:type="pct"/>
            <w:tcBorders>
              <w:top w:val="nil"/>
              <w:left w:val="nil"/>
              <w:bottom w:val="single" w:sz="4" w:space="0" w:color="auto"/>
              <w:right w:val="single" w:sz="4" w:space="0" w:color="auto"/>
            </w:tcBorders>
            <w:noWrap/>
            <w:vAlign w:val="center"/>
          </w:tcPr>
          <w:p w14:paraId="2D443FB2" w14:textId="77777777" w:rsidR="0062768B" w:rsidRDefault="00136729">
            <w:pPr>
              <w:spacing w:line="240" w:lineRule="exact"/>
              <w:jc w:val="center"/>
              <w:rPr>
                <w:rFonts w:ascii="Arial" w:eastAsia="仿宋" w:hAnsi="Arial" w:cs="Arial"/>
                <w:snapToGrid w:val="0"/>
                <w:sz w:val="18"/>
                <w:szCs w:val="18"/>
              </w:rPr>
            </w:pPr>
            <w:r>
              <w:rPr>
                <w:rFonts w:ascii="Arial" w:eastAsia="仿宋" w:hAnsi="Arial" w:cs="Arial" w:hint="eastAsia"/>
                <w:snapToGrid w:val="0"/>
                <w:sz w:val="18"/>
                <w:szCs w:val="18"/>
              </w:rPr>
              <w:t>100/104</w:t>
            </w:r>
          </w:p>
        </w:tc>
      </w:tr>
      <w:tr w:rsidR="0062768B" w14:paraId="308C7733" w14:textId="77777777">
        <w:trPr>
          <w:trHeight w:val="280"/>
          <w:jc w:val="center"/>
        </w:trPr>
        <w:tc>
          <w:tcPr>
            <w:tcW w:w="626" w:type="pct"/>
            <w:vMerge/>
            <w:tcBorders>
              <w:top w:val="single" w:sz="4" w:space="0" w:color="auto"/>
              <w:left w:val="single" w:sz="4" w:space="0" w:color="auto"/>
              <w:bottom w:val="single" w:sz="4" w:space="0" w:color="000000"/>
              <w:right w:val="single" w:sz="4" w:space="0" w:color="auto"/>
            </w:tcBorders>
            <w:vAlign w:val="center"/>
          </w:tcPr>
          <w:p w14:paraId="41143297" w14:textId="77777777" w:rsidR="0062768B" w:rsidRDefault="0062768B">
            <w:pPr>
              <w:widowControl/>
              <w:adjustRightInd/>
              <w:spacing w:line="240" w:lineRule="exact"/>
              <w:textAlignment w:val="auto"/>
              <w:rPr>
                <w:rFonts w:ascii="Arial" w:eastAsia="仿宋" w:hAnsi="Arial" w:cs="Arial"/>
                <w:snapToGrid w:val="0"/>
                <w:sz w:val="18"/>
                <w:szCs w:val="18"/>
              </w:rPr>
            </w:pPr>
          </w:p>
        </w:tc>
        <w:tc>
          <w:tcPr>
            <w:tcW w:w="980" w:type="pct"/>
            <w:tcBorders>
              <w:top w:val="nil"/>
              <w:left w:val="nil"/>
              <w:bottom w:val="single" w:sz="4" w:space="0" w:color="auto"/>
              <w:right w:val="single" w:sz="4" w:space="0" w:color="auto"/>
            </w:tcBorders>
            <w:noWrap/>
            <w:vAlign w:val="center"/>
          </w:tcPr>
          <w:p w14:paraId="3EE5B52E"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交通便捷度</w:t>
            </w:r>
          </w:p>
        </w:tc>
        <w:tc>
          <w:tcPr>
            <w:tcW w:w="1131" w:type="pct"/>
            <w:tcBorders>
              <w:top w:val="nil"/>
              <w:left w:val="nil"/>
              <w:bottom w:val="single" w:sz="4" w:space="0" w:color="auto"/>
              <w:right w:val="single" w:sz="4" w:space="0" w:color="auto"/>
            </w:tcBorders>
            <w:noWrap/>
            <w:vAlign w:val="center"/>
          </w:tcPr>
          <w:p w14:paraId="0D6475E3"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100/104</w:t>
            </w:r>
          </w:p>
        </w:tc>
        <w:tc>
          <w:tcPr>
            <w:tcW w:w="1131" w:type="pct"/>
            <w:tcBorders>
              <w:top w:val="nil"/>
              <w:left w:val="nil"/>
              <w:bottom w:val="single" w:sz="4" w:space="0" w:color="auto"/>
              <w:right w:val="single" w:sz="4" w:space="0" w:color="auto"/>
            </w:tcBorders>
            <w:noWrap/>
            <w:vAlign w:val="center"/>
          </w:tcPr>
          <w:p w14:paraId="620B4693"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100/102</w:t>
            </w:r>
          </w:p>
        </w:tc>
        <w:tc>
          <w:tcPr>
            <w:tcW w:w="1131" w:type="pct"/>
            <w:tcBorders>
              <w:top w:val="nil"/>
              <w:left w:val="nil"/>
              <w:bottom w:val="single" w:sz="4" w:space="0" w:color="auto"/>
              <w:right w:val="single" w:sz="4" w:space="0" w:color="auto"/>
            </w:tcBorders>
            <w:noWrap/>
            <w:vAlign w:val="center"/>
          </w:tcPr>
          <w:p w14:paraId="659F6FAF"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100/104</w:t>
            </w:r>
          </w:p>
        </w:tc>
      </w:tr>
      <w:tr w:rsidR="0062768B" w14:paraId="5BF94B58" w14:textId="77777777">
        <w:trPr>
          <w:trHeight w:val="280"/>
          <w:jc w:val="center"/>
        </w:trPr>
        <w:tc>
          <w:tcPr>
            <w:tcW w:w="626" w:type="pct"/>
            <w:vMerge/>
            <w:tcBorders>
              <w:top w:val="single" w:sz="4" w:space="0" w:color="auto"/>
              <w:left w:val="single" w:sz="4" w:space="0" w:color="auto"/>
              <w:bottom w:val="single" w:sz="4" w:space="0" w:color="000000"/>
              <w:right w:val="single" w:sz="4" w:space="0" w:color="auto"/>
            </w:tcBorders>
            <w:vAlign w:val="center"/>
          </w:tcPr>
          <w:p w14:paraId="17C5A537" w14:textId="77777777" w:rsidR="0062768B" w:rsidRDefault="0062768B">
            <w:pPr>
              <w:widowControl/>
              <w:adjustRightInd/>
              <w:spacing w:line="240" w:lineRule="exact"/>
              <w:textAlignment w:val="auto"/>
              <w:rPr>
                <w:rFonts w:ascii="Arial" w:eastAsia="仿宋" w:hAnsi="Arial" w:cs="Arial"/>
                <w:snapToGrid w:val="0"/>
                <w:sz w:val="18"/>
                <w:szCs w:val="18"/>
              </w:rPr>
            </w:pPr>
          </w:p>
        </w:tc>
        <w:tc>
          <w:tcPr>
            <w:tcW w:w="980" w:type="pct"/>
            <w:tcBorders>
              <w:top w:val="nil"/>
              <w:left w:val="nil"/>
              <w:bottom w:val="single" w:sz="4" w:space="0" w:color="auto"/>
              <w:right w:val="single" w:sz="4" w:space="0" w:color="auto"/>
            </w:tcBorders>
            <w:noWrap/>
            <w:vAlign w:val="center"/>
          </w:tcPr>
          <w:p w14:paraId="145FDF9D"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公共配套设施</w:t>
            </w:r>
          </w:p>
        </w:tc>
        <w:tc>
          <w:tcPr>
            <w:tcW w:w="1131" w:type="pct"/>
            <w:tcBorders>
              <w:top w:val="nil"/>
              <w:left w:val="nil"/>
              <w:bottom w:val="single" w:sz="4" w:space="0" w:color="auto"/>
              <w:right w:val="single" w:sz="4" w:space="0" w:color="auto"/>
            </w:tcBorders>
            <w:noWrap/>
            <w:vAlign w:val="center"/>
          </w:tcPr>
          <w:p w14:paraId="3D123917"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100/101</w:t>
            </w:r>
          </w:p>
        </w:tc>
        <w:tc>
          <w:tcPr>
            <w:tcW w:w="1131" w:type="pct"/>
            <w:tcBorders>
              <w:top w:val="nil"/>
              <w:left w:val="nil"/>
              <w:bottom w:val="single" w:sz="4" w:space="0" w:color="auto"/>
              <w:right w:val="single" w:sz="4" w:space="0" w:color="auto"/>
            </w:tcBorders>
            <w:noWrap/>
            <w:vAlign w:val="center"/>
          </w:tcPr>
          <w:p w14:paraId="7F2503E3"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4A13282E"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100/101</w:t>
            </w:r>
          </w:p>
        </w:tc>
      </w:tr>
      <w:tr w:rsidR="0062768B" w14:paraId="78F165D8" w14:textId="77777777">
        <w:trPr>
          <w:trHeight w:val="280"/>
          <w:jc w:val="center"/>
        </w:trPr>
        <w:tc>
          <w:tcPr>
            <w:tcW w:w="626" w:type="pct"/>
            <w:vMerge/>
            <w:tcBorders>
              <w:top w:val="single" w:sz="4" w:space="0" w:color="auto"/>
              <w:left w:val="single" w:sz="4" w:space="0" w:color="auto"/>
              <w:bottom w:val="single" w:sz="4" w:space="0" w:color="000000"/>
              <w:right w:val="single" w:sz="4" w:space="0" w:color="auto"/>
            </w:tcBorders>
            <w:vAlign w:val="center"/>
          </w:tcPr>
          <w:p w14:paraId="05CC589F" w14:textId="77777777" w:rsidR="0062768B" w:rsidRDefault="0062768B">
            <w:pPr>
              <w:widowControl/>
              <w:adjustRightInd/>
              <w:spacing w:line="240" w:lineRule="exact"/>
              <w:textAlignment w:val="auto"/>
              <w:rPr>
                <w:rFonts w:ascii="Arial" w:eastAsia="仿宋" w:hAnsi="Arial" w:cs="Arial"/>
                <w:snapToGrid w:val="0"/>
                <w:sz w:val="18"/>
                <w:szCs w:val="18"/>
              </w:rPr>
            </w:pPr>
          </w:p>
        </w:tc>
        <w:tc>
          <w:tcPr>
            <w:tcW w:w="980" w:type="pct"/>
            <w:tcBorders>
              <w:top w:val="nil"/>
              <w:left w:val="nil"/>
              <w:bottom w:val="single" w:sz="4" w:space="0" w:color="auto"/>
              <w:right w:val="single" w:sz="4" w:space="0" w:color="auto"/>
            </w:tcBorders>
            <w:noWrap/>
            <w:vAlign w:val="center"/>
          </w:tcPr>
          <w:p w14:paraId="0B708396"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基础设施水平</w:t>
            </w:r>
          </w:p>
        </w:tc>
        <w:tc>
          <w:tcPr>
            <w:tcW w:w="1131" w:type="pct"/>
            <w:tcBorders>
              <w:top w:val="nil"/>
              <w:left w:val="nil"/>
              <w:bottom w:val="single" w:sz="4" w:space="0" w:color="auto"/>
              <w:right w:val="single" w:sz="4" w:space="0" w:color="auto"/>
            </w:tcBorders>
            <w:noWrap/>
            <w:vAlign w:val="center"/>
          </w:tcPr>
          <w:p w14:paraId="7674D154"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7A8F7A6C"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6D588BA0"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r>
      <w:tr w:rsidR="0062768B" w14:paraId="74941390" w14:textId="77777777">
        <w:trPr>
          <w:trHeight w:val="280"/>
          <w:jc w:val="center"/>
        </w:trPr>
        <w:tc>
          <w:tcPr>
            <w:tcW w:w="626" w:type="pct"/>
            <w:vMerge/>
            <w:tcBorders>
              <w:top w:val="single" w:sz="4" w:space="0" w:color="auto"/>
              <w:left w:val="single" w:sz="4" w:space="0" w:color="auto"/>
              <w:bottom w:val="single" w:sz="4" w:space="0" w:color="000000"/>
              <w:right w:val="single" w:sz="4" w:space="0" w:color="auto"/>
            </w:tcBorders>
            <w:vAlign w:val="center"/>
          </w:tcPr>
          <w:p w14:paraId="5FDCFEE3" w14:textId="77777777" w:rsidR="0062768B" w:rsidRDefault="0062768B">
            <w:pPr>
              <w:widowControl/>
              <w:adjustRightInd/>
              <w:spacing w:line="240" w:lineRule="exact"/>
              <w:textAlignment w:val="auto"/>
              <w:rPr>
                <w:rFonts w:ascii="Arial" w:eastAsia="仿宋" w:hAnsi="Arial" w:cs="Arial"/>
                <w:snapToGrid w:val="0"/>
                <w:sz w:val="18"/>
                <w:szCs w:val="18"/>
              </w:rPr>
            </w:pPr>
          </w:p>
        </w:tc>
        <w:tc>
          <w:tcPr>
            <w:tcW w:w="980" w:type="pct"/>
            <w:tcBorders>
              <w:top w:val="nil"/>
              <w:left w:val="nil"/>
              <w:bottom w:val="single" w:sz="4" w:space="0" w:color="auto"/>
              <w:right w:val="single" w:sz="4" w:space="0" w:color="auto"/>
            </w:tcBorders>
            <w:noWrap/>
            <w:vAlign w:val="center"/>
          </w:tcPr>
          <w:p w14:paraId="3C2B2833"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自然及人文环境</w:t>
            </w:r>
          </w:p>
        </w:tc>
        <w:tc>
          <w:tcPr>
            <w:tcW w:w="1131" w:type="pct"/>
            <w:tcBorders>
              <w:top w:val="nil"/>
              <w:left w:val="nil"/>
              <w:bottom w:val="single" w:sz="4" w:space="0" w:color="auto"/>
              <w:right w:val="single" w:sz="4" w:space="0" w:color="auto"/>
            </w:tcBorders>
            <w:noWrap/>
            <w:vAlign w:val="center"/>
          </w:tcPr>
          <w:p w14:paraId="5EB20F48"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100/101</w:t>
            </w:r>
          </w:p>
        </w:tc>
        <w:tc>
          <w:tcPr>
            <w:tcW w:w="1131" w:type="pct"/>
            <w:tcBorders>
              <w:top w:val="nil"/>
              <w:left w:val="nil"/>
              <w:bottom w:val="single" w:sz="4" w:space="0" w:color="auto"/>
              <w:right w:val="single" w:sz="4" w:space="0" w:color="auto"/>
            </w:tcBorders>
            <w:noWrap/>
            <w:vAlign w:val="center"/>
          </w:tcPr>
          <w:p w14:paraId="7001266E"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100/101</w:t>
            </w:r>
          </w:p>
        </w:tc>
        <w:tc>
          <w:tcPr>
            <w:tcW w:w="1131" w:type="pct"/>
            <w:tcBorders>
              <w:top w:val="nil"/>
              <w:left w:val="nil"/>
              <w:bottom w:val="single" w:sz="4" w:space="0" w:color="auto"/>
              <w:right w:val="single" w:sz="4" w:space="0" w:color="auto"/>
            </w:tcBorders>
            <w:noWrap/>
            <w:vAlign w:val="center"/>
          </w:tcPr>
          <w:p w14:paraId="772C2BAA"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100/101</w:t>
            </w:r>
          </w:p>
        </w:tc>
      </w:tr>
      <w:tr w:rsidR="0062768B" w14:paraId="16E2775F" w14:textId="77777777">
        <w:trPr>
          <w:trHeight w:val="280"/>
          <w:jc w:val="center"/>
        </w:trPr>
        <w:tc>
          <w:tcPr>
            <w:tcW w:w="626" w:type="pct"/>
            <w:vMerge/>
            <w:tcBorders>
              <w:top w:val="single" w:sz="4" w:space="0" w:color="auto"/>
              <w:left w:val="single" w:sz="4" w:space="0" w:color="auto"/>
              <w:bottom w:val="single" w:sz="4" w:space="0" w:color="000000"/>
              <w:right w:val="single" w:sz="4" w:space="0" w:color="auto"/>
            </w:tcBorders>
            <w:vAlign w:val="center"/>
          </w:tcPr>
          <w:p w14:paraId="6FBF706C" w14:textId="77777777" w:rsidR="0062768B" w:rsidRDefault="0062768B">
            <w:pPr>
              <w:widowControl/>
              <w:adjustRightInd/>
              <w:spacing w:line="240" w:lineRule="exact"/>
              <w:textAlignment w:val="auto"/>
              <w:rPr>
                <w:rFonts w:ascii="Arial" w:eastAsia="仿宋" w:hAnsi="Arial" w:cs="Arial"/>
                <w:snapToGrid w:val="0"/>
                <w:sz w:val="18"/>
                <w:szCs w:val="18"/>
              </w:rPr>
            </w:pPr>
          </w:p>
        </w:tc>
        <w:tc>
          <w:tcPr>
            <w:tcW w:w="980" w:type="pct"/>
            <w:tcBorders>
              <w:top w:val="nil"/>
              <w:left w:val="nil"/>
              <w:bottom w:val="single" w:sz="4" w:space="0" w:color="auto"/>
              <w:right w:val="single" w:sz="4" w:space="0" w:color="auto"/>
            </w:tcBorders>
            <w:noWrap/>
            <w:vAlign w:val="center"/>
          </w:tcPr>
          <w:p w14:paraId="1E48DBD8"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临街状况</w:t>
            </w:r>
          </w:p>
        </w:tc>
        <w:tc>
          <w:tcPr>
            <w:tcW w:w="1131" w:type="pct"/>
            <w:tcBorders>
              <w:top w:val="nil"/>
              <w:left w:val="nil"/>
              <w:bottom w:val="single" w:sz="4" w:space="0" w:color="auto"/>
              <w:right w:val="single" w:sz="4" w:space="0" w:color="auto"/>
            </w:tcBorders>
            <w:noWrap/>
            <w:vAlign w:val="center"/>
          </w:tcPr>
          <w:p w14:paraId="6C26A3A4"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2160B0EF"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15707919"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100/101</w:t>
            </w:r>
          </w:p>
        </w:tc>
      </w:tr>
      <w:tr w:rsidR="0062768B" w14:paraId="0F7E759F" w14:textId="77777777">
        <w:trPr>
          <w:trHeight w:val="280"/>
          <w:jc w:val="center"/>
        </w:trPr>
        <w:tc>
          <w:tcPr>
            <w:tcW w:w="626" w:type="pct"/>
            <w:vMerge/>
            <w:tcBorders>
              <w:top w:val="single" w:sz="4" w:space="0" w:color="auto"/>
              <w:left w:val="single" w:sz="4" w:space="0" w:color="auto"/>
              <w:bottom w:val="single" w:sz="4" w:space="0" w:color="000000"/>
              <w:right w:val="single" w:sz="4" w:space="0" w:color="auto"/>
            </w:tcBorders>
            <w:vAlign w:val="center"/>
          </w:tcPr>
          <w:p w14:paraId="090A2F56" w14:textId="77777777" w:rsidR="0062768B" w:rsidRDefault="0062768B">
            <w:pPr>
              <w:widowControl/>
              <w:adjustRightInd/>
              <w:spacing w:line="240" w:lineRule="exact"/>
              <w:textAlignment w:val="auto"/>
              <w:rPr>
                <w:rFonts w:ascii="Arial" w:eastAsia="仿宋" w:hAnsi="Arial" w:cs="Arial"/>
                <w:snapToGrid w:val="0"/>
                <w:sz w:val="18"/>
                <w:szCs w:val="18"/>
              </w:rPr>
            </w:pPr>
          </w:p>
        </w:tc>
        <w:tc>
          <w:tcPr>
            <w:tcW w:w="980" w:type="pct"/>
            <w:tcBorders>
              <w:top w:val="nil"/>
              <w:left w:val="nil"/>
              <w:bottom w:val="single" w:sz="4" w:space="0" w:color="auto"/>
              <w:right w:val="single" w:sz="4" w:space="0" w:color="auto"/>
            </w:tcBorders>
            <w:noWrap/>
            <w:vAlign w:val="center"/>
          </w:tcPr>
          <w:p w14:paraId="66C6B614"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人流量</w:t>
            </w:r>
          </w:p>
        </w:tc>
        <w:tc>
          <w:tcPr>
            <w:tcW w:w="1131" w:type="pct"/>
            <w:tcBorders>
              <w:top w:val="nil"/>
              <w:left w:val="nil"/>
              <w:bottom w:val="single" w:sz="4" w:space="0" w:color="auto"/>
              <w:right w:val="single" w:sz="4" w:space="0" w:color="auto"/>
            </w:tcBorders>
            <w:noWrap/>
            <w:vAlign w:val="center"/>
          </w:tcPr>
          <w:p w14:paraId="7044142D"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100/104</w:t>
            </w:r>
          </w:p>
        </w:tc>
        <w:tc>
          <w:tcPr>
            <w:tcW w:w="1131" w:type="pct"/>
            <w:tcBorders>
              <w:top w:val="nil"/>
              <w:left w:val="nil"/>
              <w:bottom w:val="single" w:sz="4" w:space="0" w:color="auto"/>
              <w:right w:val="single" w:sz="4" w:space="0" w:color="auto"/>
            </w:tcBorders>
            <w:noWrap/>
            <w:vAlign w:val="center"/>
          </w:tcPr>
          <w:p w14:paraId="7EC6E64C"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100/102</w:t>
            </w:r>
          </w:p>
        </w:tc>
        <w:tc>
          <w:tcPr>
            <w:tcW w:w="1131" w:type="pct"/>
            <w:tcBorders>
              <w:top w:val="nil"/>
              <w:left w:val="nil"/>
              <w:bottom w:val="single" w:sz="4" w:space="0" w:color="auto"/>
              <w:right w:val="single" w:sz="4" w:space="0" w:color="auto"/>
            </w:tcBorders>
            <w:noWrap/>
            <w:vAlign w:val="center"/>
          </w:tcPr>
          <w:p w14:paraId="2F7DFDCD"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100/104</w:t>
            </w:r>
          </w:p>
        </w:tc>
      </w:tr>
      <w:tr w:rsidR="0062768B" w14:paraId="58FEF578" w14:textId="77777777">
        <w:trPr>
          <w:trHeight w:val="280"/>
          <w:jc w:val="center"/>
        </w:trPr>
        <w:tc>
          <w:tcPr>
            <w:tcW w:w="626" w:type="pct"/>
            <w:vMerge/>
            <w:tcBorders>
              <w:top w:val="single" w:sz="4" w:space="0" w:color="auto"/>
              <w:left w:val="single" w:sz="4" w:space="0" w:color="auto"/>
              <w:bottom w:val="single" w:sz="4" w:space="0" w:color="000000"/>
              <w:right w:val="single" w:sz="4" w:space="0" w:color="auto"/>
            </w:tcBorders>
            <w:vAlign w:val="center"/>
          </w:tcPr>
          <w:p w14:paraId="01730791" w14:textId="77777777" w:rsidR="0062768B" w:rsidRDefault="0062768B">
            <w:pPr>
              <w:widowControl/>
              <w:adjustRightInd/>
              <w:spacing w:line="240" w:lineRule="exact"/>
              <w:textAlignment w:val="auto"/>
              <w:rPr>
                <w:rFonts w:ascii="Arial" w:eastAsia="仿宋" w:hAnsi="Arial" w:cs="Arial"/>
                <w:snapToGrid w:val="0"/>
                <w:sz w:val="18"/>
                <w:szCs w:val="18"/>
              </w:rPr>
            </w:pPr>
          </w:p>
        </w:tc>
        <w:tc>
          <w:tcPr>
            <w:tcW w:w="980" w:type="pct"/>
            <w:tcBorders>
              <w:top w:val="nil"/>
              <w:left w:val="nil"/>
              <w:bottom w:val="single" w:sz="4" w:space="0" w:color="auto"/>
              <w:right w:val="single" w:sz="4" w:space="0" w:color="auto"/>
            </w:tcBorders>
            <w:noWrap/>
            <w:vAlign w:val="center"/>
          </w:tcPr>
          <w:p w14:paraId="34F5FEFF"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楼层</w:t>
            </w:r>
          </w:p>
        </w:tc>
        <w:tc>
          <w:tcPr>
            <w:tcW w:w="1131" w:type="pct"/>
            <w:tcBorders>
              <w:top w:val="nil"/>
              <w:left w:val="nil"/>
              <w:bottom w:val="single" w:sz="4" w:space="0" w:color="auto"/>
              <w:right w:val="single" w:sz="4" w:space="0" w:color="auto"/>
            </w:tcBorders>
            <w:noWrap/>
            <w:vAlign w:val="center"/>
          </w:tcPr>
          <w:p w14:paraId="5C4454C1"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44744678"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100/90</w:t>
            </w:r>
          </w:p>
        </w:tc>
        <w:tc>
          <w:tcPr>
            <w:tcW w:w="1131" w:type="pct"/>
            <w:tcBorders>
              <w:top w:val="nil"/>
              <w:left w:val="nil"/>
              <w:bottom w:val="single" w:sz="4" w:space="0" w:color="auto"/>
              <w:right w:val="single" w:sz="4" w:space="0" w:color="auto"/>
            </w:tcBorders>
            <w:noWrap/>
            <w:vAlign w:val="center"/>
          </w:tcPr>
          <w:p w14:paraId="3BC03D5D"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r>
      <w:tr w:rsidR="0062768B" w14:paraId="309C13AC" w14:textId="77777777">
        <w:trPr>
          <w:trHeight w:val="280"/>
          <w:jc w:val="center"/>
        </w:trPr>
        <w:tc>
          <w:tcPr>
            <w:tcW w:w="626" w:type="pct"/>
            <w:vMerge w:val="restart"/>
            <w:tcBorders>
              <w:top w:val="nil"/>
              <w:left w:val="single" w:sz="4" w:space="0" w:color="auto"/>
              <w:bottom w:val="single" w:sz="4" w:space="0" w:color="000000"/>
              <w:right w:val="single" w:sz="4" w:space="0" w:color="auto"/>
            </w:tcBorders>
            <w:noWrap/>
            <w:vAlign w:val="center"/>
          </w:tcPr>
          <w:p w14:paraId="481BF0E2"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个别因素</w:t>
            </w:r>
          </w:p>
        </w:tc>
        <w:tc>
          <w:tcPr>
            <w:tcW w:w="980" w:type="pct"/>
            <w:tcBorders>
              <w:top w:val="nil"/>
              <w:left w:val="nil"/>
              <w:bottom w:val="single" w:sz="4" w:space="0" w:color="auto"/>
              <w:right w:val="single" w:sz="4" w:space="0" w:color="auto"/>
            </w:tcBorders>
            <w:noWrap/>
            <w:vAlign w:val="center"/>
          </w:tcPr>
          <w:p w14:paraId="72F4E457" w14:textId="77777777" w:rsidR="0062768B" w:rsidRDefault="00136729">
            <w:pPr>
              <w:widowControl/>
              <w:adjustRightInd/>
              <w:spacing w:line="240" w:lineRule="exact"/>
              <w:textAlignment w:val="auto"/>
              <w:rPr>
                <w:rFonts w:ascii="Arial" w:eastAsia="仿宋" w:hAnsi="Arial" w:cs="Arial"/>
                <w:snapToGrid w:val="0"/>
                <w:sz w:val="18"/>
                <w:szCs w:val="18"/>
              </w:rPr>
            </w:pPr>
            <w:r>
              <w:rPr>
                <w:rFonts w:ascii="Arial" w:eastAsia="仿宋" w:hAnsi="Arial" w:cs="Arial"/>
                <w:snapToGrid w:val="0"/>
                <w:sz w:val="18"/>
                <w:szCs w:val="18"/>
              </w:rPr>
              <w:t>商业类型</w:t>
            </w:r>
          </w:p>
        </w:tc>
        <w:tc>
          <w:tcPr>
            <w:tcW w:w="1131" w:type="pct"/>
            <w:tcBorders>
              <w:top w:val="nil"/>
              <w:left w:val="nil"/>
              <w:bottom w:val="single" w:sz="4" w:space="0" w:color="auto"/>
              <w:right w:val="single" w:sz="4" w:space="0" w:color="auto"/>
            </w:tcBorders>
            <w:noWrap/>
            <w:vAlign w:val="center"/>
          </w:tcPr>
          <w:p w14:paraId="37E8E06E"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100/104</w:t>
            </w:r>
          </w:p>
        </w:tc>
        <w:tc>
          <w:tcPr>
            <w:tcW w:w="1131" w:type="pct"/>
            <w:tcBorders>
              <w:top w:val="nil"/>
              <w:left w:val="nil"/>
              <w:bottom w:val="single" w:sz="4" w:space="0" w:color="auto"/>
              <w:right w:val="single" w:sz="4" w:space="0" w:color="auto"/>
            </w:tcBorders>
            <w:noWrap/>
            <w:vAlign w:val="center"/>
          </w:tcPr>
          <w:p w14:paraId="7BF6BB7E" w14:textId="77777777" w:rsidR="0062768B" w:rsidRDefault="00136729">
            <w:pPr>
              <w:spacing w:line="240" w:lineRule="exact"/>
              <w:jc w:val="center"/>
              <w:rPr>
                <w:rFonts w:ascii="Arial" w:eastAsia="仿宋" w:hAnsi="Arial" w:cs="Arial"/>
                <w:snapToGrid w:val="0"/>
                <w:sz w:val="18"/>
                <w:szCs w:val="18"/>
              </w:rPr>
            </w:pPr>
            <w:r>
              <w:rPr>
                <w:rFonts w:ascii="Arial" w:eastAsia="仿宋" w:hAnsi="Arial" w:cs="Arial" w:hint="eastAsia"/>
                <w:snapToGrid w:val="0"/>
                <w:sz w:val="18"/>
                <w:szCs w:val="18"/>
              </w:rPr>
              <w:t>100/102</w:t>
            </w:r>
          </w:p>
        </w:tc>
        <w:tc>
          <w:tcPr>
            <w:tcW w:w="1131" w:type="pct"/>
            <w:tcBorders>
              <w:top w:val="nil"/>
              <w:left w:val="nil"/>
              <w:bottom w:val="single" w:sz="4" w:space="0" w:color="auto"/>
              <w:right w:val="single" w:sz="4" w:space="0" w:color="auto"/>
            </w:tcBorders>
            <w:noWrap/>
            <w:vAlign w:val="center"/>
          </w:tcPr>
          <w:p w14:paraId="4383C151" w14:textId="77777777" w:rsidR="0062768B" w:rsidRDefault="00136729">
            <w:pPr>
              <w:spacing w:line="240" w:lineRule="exact"/>
              <w:jc w:val="center"/>
              <w:rPr>
                <w:rFonts w:ascii="Arial" w:eastAsia="仿宋" w:hAnsi="Arial" w:cs="Arial"/>
                <w:snapToGrid w:val="0"/>
                <w:sz w:val="18"/>
                <w:szCs w:val="18"/>
              </w:rPr>
            </w:pPr>
            <w:r>
              <w:rPr>
                <w:rFonts w:ascii="Arial" w:eastAsia="仿宋" w:hAnsi="Arial" w:cs="Arial" w:hint="eastAsia"/>
                <w:snapToGrid w:val="0"/>
                <w:sz w:val="18"/>
                <w:szCs w:val="18"/>
              </w:rPr>
              <w:t>100/102</w:t>
            </w:r>
          </w:p>
        </w:tc>
      </w:tr>
      <w:tr w:rsidR="0062768B" w14:paraId="49E71B7F" w14:textId="77777777">
        <w:trPr>
          <w:trHeight w:val="280"/>
          <w:jc w:val="center"/>
        </w:trPr>
        <w:tc>
          <w:tcPr>
            <w:tcW w:w="626" w:type="pct"/>
            <w:vMerge/>
            <w:tcBorders>
              <w:top w:val="nil"/>
              <w:left w:val="single" w:sz="4" w:space="0" w:color="auto"/>
              <w:bottom w:val="single" w:sz="4" w:space="0" w:color="000000"/>
              <w:right w:val="single" w:sz="4" w:space="0" w:color="auto"/>
            </w:tcBorders>
            <w:vAlign w:val="center"/>
          </w:tcPr>
          <w:p w14:paraId="6EAB7FC1" w14:textId="77777777" w:rsidR="0062768B" w:rsidRDefault="0062768B">
            <w:pPr>
              <w:widowControl/>
              <w:adjustRightInd/>
              <w:spacing w:line="240" w:lineRule="exact"/>
              <w:textAlignment w:val="auto"/>
              <w:rPr>
                <w:rFonts w:ascii="Arial" w:eastAsia="仿宋" w:hAnsi="Arial" w:cs="Arial"/>
                <w:snapToGrid w:val="0"/>
                <w:sz w:val="18"/>
                <w:szCs w:val="18"/>
              </w:rPr>
            </w:pPr>
          </w:p>
        </w:tc>
        <w:tc>
          <w:tcPr>
            <w:tcW w:w="980" w:type="pct"/>
            <w:tcBorders>
              <w:top w:val="nil"/>
              <w:left w:val="nil"/>
              <w:bottom w:val="single" w:sz="4" w:space="0" w:color="auto"/>
              <w:right w:val="single" w:sz="4" w:space="0" w:color="auto"/>
            </w:tcBorders>
            <w:noWrap/>
            <w:vAlign w:val="center"/>
          </w:tcPr>
          <w:p w14:paraId="4450F9E3" w14:textId="77777777" w:rsidR="0062768B" w:rsidRDefault="00136729">
            <w:pPr>
              <w:widowControl/>
              <w:adjustRightInd/>
              <w:spacing w:line="240" w:lineRule="exact"/>
              <w:textAlignment w:val="auto"/>
              <w:rPr>
                <w:rFonts w:ascii="Arial" w:eastAsia="仿宋" w:hAnsi="Arial" w:cs="Arial"/>
                <w:snapToGrid w:val="0"/>
                <w:sz w:val="18"/>
                <w:szCs w:val="18"/>
              </w:rPr>
            </w:pPr>
            <w:r>
              <w:rPr>
                <w:rFonts w:ascii="Arial" w:eastAsia="仿宋" w:hAnsi="Arial" w:cs="Arial"/>
                <w:snapToGrid w:val="0"/>
                <w:sz w:val="18"/>
                <w:szCs w:val="18"/>
              </w:rPr>
              <w:t>项目建筑规模</w:t>
            </w:r>
          </w:p>
        </w:tc>
        <w:tc>
          <w:tcPr>
            <w:tcW w:w="1131" w:type="pct"/>
            <w:tcBorders>
              <w:top w:val="nil"/>
              <w:left w:val="nil"/>
              <w:bottom w:val="single" w:sz="4" w:space="0" w:color="auto"/>
              <w:right w:val="single" w:sz="4" w:space="0" w:color="auto"/>
            </w:tcBorders>
            <w:noWrap/>
            <w:vAlign w:val="center"/>
          </w:tcPr>
          <w:p w14:paraId="718F4D28"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218FF39D"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2A81A015"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100/98</w:t>
            </w:r>
          </w:p>
        </w:tc>
      </w:tr>
      <w:tr w:rsidR="0062768B" w14:paraId="19493CD2" w14:textId="77777777">
        <w:trPr>
          <w:trHeight w:val="280"/>
          <w:jc w:val="center"/>
        </w:trPr>
        <w:tc>
          <w:tcPr>
            <w:tcW w:w="626" w:type="pct"/>
            <w:vMerge/>
            <w:tcBorders>
              <w:top w:val="nil"/>
              <w:left w:val="single" w:sz="4" w:space="0" w:color="auto"/>
              <w:bottom w:val="single" w:sz="4" w:space="0" w:color="000000"/>
              <w:right w:val="single" w:sz="4" w:space="0" w:color="auto"/>
            </w:tcBorders>
            <w:vAlign w:val="center"/>
          </w:tcPr>
          <w:p w14:paraId="4216B71F" w14:textId="77777777" w:rsidR="0062768B" w:rsidRDefault="0062768B">
            <w:pPr>
              <w:widowControl/>
              <w:adjustRightInd/>
              <w:spacing w:line="240" w:lineRule="exact"/>
              <w:textAlignment w:val="auto"/>
              <w:rPr>
                <w:rFonts w:ascii="Arial" w:eastAsia="仿宋" w:hAnsi="Arial" w:cs="Arial"/>
                <w:snapToGrid w:val="0"/>
                <w:sz w:val="18"/>
                <w:szCs w:val="18"/>
              </w:rPr>
            </w:pPr>
          </w:p>
        </w:tc>
        <w:tc>
          <w:tcPr>
            <w:tcW w:w="980" w:type="pct"/>
            <w:tcBorders>
              <w:top w:val="nil"/>
              <w:left w:val="nil"/>
              <w:bottom w:val="single" w:sz="4" w:space="0" w:color="auto"/>
              <w:right w:val="single" w:sz="4" w:space="0" w:color="auto"/>
            </w:tcBorders>
            <w:noWrap/>
            <w:vAlign w:val="center"/>
          </w:tcPr>
          <w:p w14:paraId="7C7BEDE2" w14:textId="77777777" w:rsidR="0062768B" w:rsidRDefault="00136729">
            <w:pPr>
              <w:widowControl/>
              <w:adjustRightInd/>
              <w:spacing w:line="240" w:lineRule="exact"/>
              <w:textAlignment w:val="auto"/>
              <w:rPr>
                <w:rFonts w:ascii="Arial" w:eastAsia="仿宋" w:hAnsi="Arial" w:cs="Arial"/>
                <w:snapToGrid w:val="0"/>
                <w:sz w:val="18"/>
                <w:szCs w:val="18"/>
              </w:rPr>
            </w:pPr>
            <w:r>
              <w:rPr>
                <w:rFonts w:ascii="Arial" w:eastAsia="仿宋" w:hAnsi="Arial" w:cs="Arial"/>
                <w:snapToGrid w:val="0"/>
                <w:sz w:val="18"/>
                <w:szCs w:val="18"/>
              </w:rPr>
              <w:t>建筑结构</w:t>
            </w:r>
          </w:p>
        </w:tc>
        <w:tc>
          <w:tcPr>
            <w:tcW w:w="1131" w:type="pct"/>
            <w:tcBorders>
              <w:top w:val="nil"/>
              <w:left w:val="nil"/>
              <w:bottom w:val="single" w:sz="4" w:space="0" w:color="auto"/>
              <w:right w:val="single" w:sz="4" w:space="0" w:color="auto"/>
            </w:tcBorders>
            <w:noWrap/>
            <w:vAlign w:val="center"/>
          </w:tcPr>
          <w:p w14:paraId="3961FE33"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7F61B12E"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61D73CED"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r>
      <w:tr w:rsidR="0062768B" w14:paraId="482847C2" w14:textId="77777777">
        <w:trPr>
          <w:trHeight w:val="280"/>
          <w:jc w:val="center"/>
        </w:trPr>
        <w:tc>
          <w:tcPr>
            <w:tcW w:w="626" w:type="pct"/>
            <w:vMerge/>
            <w:tcBorders>
              <w:top w:val="nil"/>
              <w:left w:val="single" w:sz="4" w:space="0" w:color="auto"/>
              <w:bottom w:val="single" w:sz="4" w:space="0" w:color="000000"/>
              <w:right w:val="single" w:sz="4" w:space="0" w:color="auto"/>
            </w:tcBorders>
            <w:vAlign w:val="center"/>
          </w:tcPr>
          <w:p w14:paraId="29AF0D45" w14:textId="77777777" w:rsidR="0062768B" w:rsidRDefault="0062768B">
            <w:pPr>
              <w:widowControl/>
              <w:adjustRightInd/>
              <w:spacing w:line="240" w:lineRule="exact"/>
              <w:textAlignment w:val="auto"/>
              <w:rPr>
                <w:rFonts w:ascii="Arial" w:eastAsia="仿宋" w:hAnsi="Arial" w:cs="Arial"/>
                <w:snapToGrid w:val="0"/>
                <w:sz w:val="18"/>
                <w:szCs w:val="18"/>
              </w:rPr>
            </w:pPr>
          </w:p>
        </w:tc>
        <w:tc>
          <w:tcPr>
            <w:tcW w:w="980" w:type="pct"/>
            <w:tcBorders>
              <w:top w:val="nil"/>
              <w:left w:val="nil"/>
              <w:bottom w:val="single" w:sz="4" w:space="0" w:color="auto"/>
              <w:right w:val="single" w:sz="4" w:space="0" w:color="auto"/>
            </w:tcBorders>
            <w:noWrap/>
            <w:vAlign w:val="center"/>
          </w:tcPr>
          <w:p w14:paraId="3B9CE6C2" w14:textId="77777777" w:rsidR="0062768B" w:rsidRDefault="00136729">
            <w:pPr>
              <w:widowControl/>
              <w:adjustRightInd/>
              <w:spacing w:line="240" w:lineRule="exact"/>
              <w:textAlignment w:val="auto"/>
              <w:rPr>
                <w:rFonts w:ascii="Arial" w:eastAsia="仿宋" w:hAnsi="Arial" w:cs="Arial"/>
                <w:snapToGrid w:val="0"/>
                <w:sz w:val="18"/>
                <w:szCs w:val="18"/>
              </w:rPr>
            </w:pPr>
            <w:r>
              <w:rPr>
                <w:rFonts w:ascii="Arial" w:eastAsia="仿宋" w:hAnsi="Arial" w:cs="Arial"/>
                <w:snapToGrid w:val="0"/>
                <w:sz w:val="18"/>
                <w:szCs w:val="18"/>
              </w:rPr>
              <w:t>公共部分装修</w:t>
            </w:r>
          </w:p>
        </w:tc>
        <w:tc>
          <w:tcPr>
            <w:tcW w:w="1131" w:type="pct"/>
            <w:tcBorders>
              <w:top w:val="nil"/>
              <w:left w:val="nil"/>
              <w:bottom w:val="single" w:sz="4" w:space="0" w:color="auto"/>
              <w:right w:val="single" w:sz="4" w:space="0" w:color="auto"/>
            </w:tcBorders>
            <w:noWrap/>
            <w:vAlign w:val="center"/>
          </w:tcPr>
          <w:p w14:paraId="0D4D8063"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71431C9F"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36ADE49E"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r>
      <w:tr w:rsidR="0062768B" w14:paraId="038638EB" w14:textId="77777777">
        <w:trPr>
          <w:trHeight w:val="280"/>
          <w:jc w:val="center"/>
        </w:trPr>
        <w:tc>
          <w:tcPr>
            <w:tcW w:w="626" w:type="pct"/>
            <w:vMerge/>
            <w:tcBorders>
              <w:top w:val="nil"/>
              <w:left w:val="single" w:sz="4" w:space="0" w:color="auto"/>
              <w:bottom w:val="single" w:sz="4" w:space="0" w:color="000000"/>
              <w:right w:val="single" w:sz="4" w:space="0" w:color="auto"/>
            </w:tcBorders>
            <w:vAlign w:val="center"/>
          </w:tcPr>
          <w:p w14:paraId="4C55A675" w14:textId="77777777" w:rsidR="0062768B" w:rsidRDefault="0062768B">
            <w:pPr>
              <w:widowControl/>
              <w:adjustRightInd/>
              <w:spacing w:line="240" w:lineRule="exact"/>
              <w:textAlignment w:val="auto"/>
              <w:rPr>
                <w:rFonts w:ascii="Arial" w:eastAsia="仿宋" w:hAnsi="Arial" w:cs="Arial"/>
                <w:snapToGrid w:val="0"/>
                <w:sz w:val="18"/>
                <w:szCs w:val="18"/>
              </w:rPr>
            </w:pPr>
          </w:p>
        </w:tc>
        <w:tc>
          <w:tcPr>
            <w:tcW w:w="980" w:type="pct"/>
            <w:tcBorders>
              <w:top w:val="nil"/>
              <w:left w:val="nil"/>
              <w:bottom w:val="single" w:sz="4" w:space="0" w:color="auto"/>
              <w:right w:val="single" w:sz="4" w:space="0" w:color="auto"/>
            </w:tcBorders>
            <w:noWrap/>
            <w:vAlign w:val="center"/>
          </w:tcPr>
          <w:p w14:paraId="0CDFAD33" w14:textId="77777777" w:rsidR="0062768B" w:rsidRDefault="00136729">
            <w:pPr>
              <w:widowControl/>
              <w:adjustRightInd/>
              <w:spacing w:line="240" w:lineRule="exact"/>
              <w:textAlignment w:val="auto"/>
              <w:rPr>
                <w:rFonts w:ascii="Arial" w:eastAsia="仿宋" w:hAnsi="Arial" w:cs="Arial"/>
                <w:snapToGrid w:val="0"/>
                <w:sz w:val="18"/>
                <w:szCs w:val="18"/>
              </w:rPr>
            </w:pPr>
            <w:r>
              <w:rPr>
                <w:rFonts w:ascii="Arial" w:eastAsia="仿宋" w:hAnsi="Arial" w:cs="Arial"/>
                <w:snapToGrid w:val="0"/>
                <w:sz w:val="18"/>
                <w:szCs w:val="18"/>
              </w:rPr>
              <w:t>成新度</w:t>
            </w:r>
          </w:p>
        </w:tc>
        <w:tc>
          <w:tcPr>
            <w:tcW w:w="1131" w:type="pct"/>
            <w:tcBorders>
              <w:top w:val="nil"/>
              <w:left w:val="nil"/>
              <w:bottom w:val="single" w:sz="4" w:space="0" w:color="auto"/>
              <w:right w:val="single" w:sz="4" w:space="0" w:color="auto"/>
            </w:tcBorders>
            <w:noWrap/>
            <w:vAlign w:val="center"/>
          </w:tcPr>
          <w:p w14:paraId="7C043712"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100/99</w:t>
            </w:r>
          </w:p>
        </w:tc>
        <w:tc>
          <w:tcPr>
            <w:tcW w:w="1131" w:type="pct"/>
            <w:tcBorders>
              <w:top w:val="nil"/>
              <w:left w:val="nil"/>
              <w:bottom w:val="single" w:sz="4" w:space="0" w:color="auto"/>
              <w:right w:val="single" w:sz="4" w:space="0" w:color="auto"/>
            </w:tcBorders>
            <w:noWrap/>
            <w:vAlign w:val="center"/>
          </w:tcPr>
          <w:p w14:paraId="48C19A8F"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100/99</w:t>
            </w:r>
          </w:p>
        </w:tc>
        <w:tc>
          <w:tcPr>
            <w:tcW w:w="1131" w:type="pct"/>
            <w:tcBorders>
              <w:top w:val="nil"/>
              <w:left w:val="nil"/>
              <w:bottom w:val="single" w:sz="4" w:space="0" w:color="auto"/>
              <w:right w:val="single" w:sz="4" w:space="0" w:color="auto"/>
            </w:tcBorders>
            <w:noWrap/>
            <w:vAlign w:val="center"/>
          </w:tcPr>
          <w:p w14:paraId="465344E1"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100/99</w:t>
            </w:r>
          </w:p>
        </w:tc>
      </w:tr>
      <w:tr w:rsidR="0062768B" w14:paraId="4ED8E3D5" w14:textId="77777777">
        <w:trPr>
          <w:trHeight w:val="280"/>
          <w:jc w:val="center"/>
        </w:trPr>
        <w:tc>
          <w:tcPr>
            <w:tcW w:w="1606" w:type="pct"/>
            <w:gridSpan w:val="2"/>
            <w:tcBorders>
              <w:top w:val="nil"/>
              <w:left w:val="single" w:sz="4" w:space="0" w:color="auto"/>
              <w:bottom w:val="single" w:sz="4" w:space="0" w:color="auto"/>
              <w:right w:val="single" w:sz="4" w:space="0" w:color="auto"/>
            </w:tcBorders>
            <w:noWrap/>
            <w:vAlign w:val="bottom"/>
          </w:tcPr>
          <w:p w14:paraId="4F42464B" w14:textId="77777777" w:rsidR="0062768B" w:rsidRDefault="00136729">
            <w:pPr>
              <w:widowControl/>
              <w:adjustRightInd/>
              <w:spacing w:line="240" w:lineRule="exact"/>
              <w:textAlignment w:val="auto"/>
              <w:rPr>
                <w:rFonts w:ascii="Arial" w:eastAsia="仿宋" w:hAnsi="Arial" w:cs="Arial"/>
                <w:snapToGrid w:val="0"/>
                <w:sz w:val="18"/>
                <w:szCs w:val="18"/>
              </w:rPr>
            </w:pPr>
            <w:r>
              <w:rPr>
                <w:rFonts w:ascii="Arial" w:eastAsia="仿宋" w:hAnsi="Arial" w:cs="Arial"/>
                <w:snapToGrid w:val="0"/>
                <w:sz w:val="18"/>
                <w:szCs w:val="18"/>
              </w:rPr>
              <w:t>成交单价（元</w:t>
            </w:r>
            <w:r>
              <w:rPr>
                <w:rFonts w:ascii="Arial" w:eastAsia="仿宋" w:hAnsi="Arial" w:cs="Arial"/>
                <w:snapToGrid w:val="0"/>
                <w:sz w:val="18"/>
                <w:szCs w:val="18"/>
              </w:rPr>
              <w:t>/</w:t>
            </w:r>
            <w:r>
              <w:rPr>
                <w:rFonts w:ascii="Arial" w:eastAsia="仿宋" w:hAnsi="Arial" w:cs="Arial"/>
                <w:snapToGrid w:val="0"/>
                <w:sz w:val="18"/>
                <w:szCs w:val="18"/>
              </w:rPr>
              <w:t>平方米）</w:t>
            </w:r>
          </w:p>
        </w:tc>
        <w:tc>
          <w:tcPr>
            <w:tcW w:w="1131" w:type="pct"/>
            <w:tcBorders>
              <w:top w:val="nil"/>
              <w:left w:val="nil"/>
              <w:bottom w:val="single" w:sz="4" w:space="0" w:color="auto"/>
              <w:right w:val="single" w:sz="4" w:space="0" w:color="auto"/>
            </w:tcBorders>
            <w:noWrap/>
            <w:vAlign w:val="center"/>
          </w:tcPr>
          <w:p w14:paraId="3C8F8A8E"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26700</w:t>
            </w:r>
          </w:p>
        </w:tc>
        <w:tc>
          <w:tcPr>
            <w:tcW w:w="1131" w:type="pct"/>
            <w:tcBorders>
              <w:top w:val="nil"/>
              <w:left w:val="nil"/>
              <w:bottom w:val="single" w:sz="4" w:space="0" w:color="auto"/>
              <w:right w:val="single" w:sz="4" w:space="0" w:color="auto"/>
            </w:tcBorders>
            <w:noWrap/>
            <w:vAlign w:val="center"/>
          </w:tcPr>
          <w:p w14:paraId="69C34539" w14:textId="77777777" w:rsidR="0062768B" w:rsidRDefault="00136729">
            <w:pPr>
              <w:spacing w:line="240" w:lineRule="exact"/>
              <w:jc w:val="center"/>
              <w:rPr>
                <w:rFonts w:ascii="Arial" w:eastAsia="仿宋" w:hAnsi="Arial" w:cs="Arial"/>
                <w:snapToGrid w:val="0"/>
                <w:sz w:val="18"/>
                <w:szCs w:val="18"/>
              </w:rPr>
            </w:pPr>
            <w:r>
              <w:rPr>
                <w:rFonts w:ascii="Arial" w:eastAsia="仿宋" w:hAnsi="Arial" w:cs="Arial" w:hint="eastAsia"/>
                <w:snapToGrid w:val="0"/>
                <w:sz w:val="18"/>
                <w:szCs w:val="18"/>
              </w:rPr>
              <w:t>21100</w:t>
            </w:r>
          </w:p>
        </w:tc>
        <w:tc>
          <w:tcPr>
            <w:tcW w:w="1131" w:type="pct"/>
            <w:tcBorders>
              <w:top w:val="nil"/>
              <w:left w:val="nil"/>
              <w:bottom w:val="single" w:sz="4" w:space="0" w:color="auto"/>
              <w:right w:val="single" w:sz="4" w:space="0" w:color="auto"/>
            </w:tcBorders>
            <w:noWrap/>
            <w:vAlign w:val="center"/>
          </w:tcPr>
          <w:p w14:paraId="03437B2B" w14:textId="77777777" w:rsidR="0062768B" w:rsidRDefault="00136729">
            <w:pPr>
              <w:spacing w:line="240" w:lineRule="exact"/>
              <w:jc w:val="center"/>
              <w:rPr>
                <w:rFonts w:ascii="Arial" w:eastAsia="仿宋" w:hAnsi="Arial" w:cs="Arial"/>
                <w:snapToGrid w:val="0"/>
                <w:sz w:val="18"/>
                <w:szCs w:val="18"/>
              </w:rPr>
            </w:pPr>
            <w:r>
              <w:rPr>
                <w:rFonts w:ascii="Arial" w:eastAsia="仿宋" w:hAnsi="Arial" w:cs="Arial" w:hint="eastAsia"/>
                <w:snapToGrid w:val="0"/>
                <w:sz w:val="18"/>
                <w:szCs w:val="18"/>
              </w:rPr>
              <w:t>25000</w:t>
            </w:r>
          </w:p>
        </w:tc>
      </w:tr>
      <w:tr w:rsidR="0062768B" w14:paraId="4ECC90AE" w14:textId="77777777">
        <w:trPr>
          <w:trHeight w:val="280"/>
          <w:jc w:val="center"/>
        </w:trPr>
        <w:tc>
          <w:tcPr>
            <w:tcW w:w="1606" w:type="pct"/>
            <w:gridSpan w:val="2"/>
            <w:tcBorders>
              <w:top w:val="nil"/>
              <w:left w:val="single" w:sz="4" w:space="0" w:color="auto"/>
              <w:bottom w:val="single" w:sz="4" w:space="0" w:color="auto"/>
              <w:right w:val="single" w:sz="4" w:space="0" w:color="auto"/>
            </w:tcBorders>
            <w:noWrap/>
            <w:vAlign w:val="bottom"/>
          </w:tcPr>
          <w:p w14:paraId="71A93998" w14:textId="77777777" w:rsidR="0062768B" w:rsidRDefault="00136729">
            <w:pPr>
              <w:widowControl/>
              <w:adjustRightInd/>
              <w:spacing w:line="240" w:lineRule="exact"/>
              <w:textAlignment w:val="auto"/>
              <w:rPr>
                <w:rFonts w:ascii="Arial" w:eastAsia="仿宋" w:hAnsi="Arial" w:cs="Arial"/>
                <w:snapToGrid w:val="0"/>
                <w:sz w:val="18"/>
                <w:szCs w:val="18"/>
              </w:rPr>
            </w:pPr>
            <w:r>
              <w:rPr>
                <w:rFonts w:ascii="Arial" w:eastAsia="仿宋" w:hAnsi="Arial" w:cs="Arial"/>
                <w:snapToGrid w:val="0"/>
                <w:sz w:val="18"/>
                <w:szCs w:val="18"/>
              </w:rPr>
              <w:t>比较价格（元</w:t>
            </w:r>
            <w:r>
              <w:rPr>
                <w:rFonts w:ascii="Arial" w:eastAsia="仿宋" w:hAnsi="Arial" w:cs="Arial"/>
                <w:snapToGrid w:val="0"/>
                <w:sz w:val="18"/>
                <w:szCs w:val="18"/>
              </w:rPr>
              <w:t>/</w:t>
            </w:r>
            <w:r>
              <w:rPr>
                <w:rFonts w:ascii="Arial" w:eastAsia="仿宋" w:hAnsi="Arial" w:cs="Arial"/>
                <w:snapToGrid w:val="0"/>
                <w:sz w:val="18"/>
                <w:szCs w:val="18"/>
              </w:rPr>
              <w:t>平方米）</w:t>
            </w:r>
          </w:p>
        </w:tc>
        <w:tc>
          <w:tcPr>
            <w:tcW w:w="1131" w:type="pct"/>
            <w:tcBorders>
              <w:top w:val="nil"/>
              <w:left w:val="nil"/>
              <w:bottom w:val="single" w:sz="4" w:space="0" w:color="auto"/>
              <w:right w:val="single" w:sz="4" w:space="0" w:color="auto"/>
            </w:tcBorders>
            <w:noWrap/>
            <w:vAlign w:val="center"/>
          </w:tcPr>
          <w:p w14:paraId="04137D8D"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22600</w:t>
            </w:r>
          </w:p>
        </w:tc>
        <w:tc>
          <w:tcPr>
            <w:tcW w:w="1131" w:type="pct"/>
            <w:tcBorders>
              <w:top w:val="nil"/>
              <w:left w:val="nil"/>
              <w:bottom w:val="single" w:sz="4" w:space="0" w:color="auto"/>
              <w:right w:val="single" w:sz="4" w:space="0" w:color="auto"/>
            </w:tcBorders>
            <w:noWrap/>
            <w:vAlign w:val="center"/>
          </w:tcPr>
          <w:p w14:paraId="7AC42B1D"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21661</w:t>
            </w:r>
          </w:p>
        </w:tc>
        <w:tc>
          <w:tcPr>
            <w:tcW w:w="1131" w:type="pct"/>
            <w:tcBorders>
              <w:top w:val="nil"/>
              <w:left w:val="nil"/>
              <w:bottom w:val="single" w:sz="4" w:space="0" w:color="auto"/>
              <w:right w:val="single" w:sz="4" w:space="0" w:color="auto"/>
            </w:tcBorders>
            <w:noWrap/>
            <w:vAlign w:val="center"/>
          </w:tcPr>
          <w:p w14:paraId="52B6EDC5"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21798</w:t>
            </w:r>
          </w:p>
        </w:tc>
      </w:tr>
    </w:tbl>
    <w:p w14:paraId="18D7558E" w14:textId="77777777" w:rsidR="0062768B" w:rsidRDefault="00136729">
      <w:pPr>
        <w:spacing w:before="240" w:line="300" w:lineRule="auto"/>
        <w:ind w:firstLineChars="200" w:firstLine="560"/>
        <w:rPr>
          <w:rFonts w:ascii="Arial" w:eastAsia="仿宋_GB2312" w:hAnsi="Arial" w:cs="Arial"/>
          <w:sz w:val="28"/>
        </w:rPr>
      </w:pPr>
      <w:r>
        <w:rPr>
          <w:rFonts w:ascii="Arial" w:eastAsia="仿宋_GB2312" w:hAnsi="Arial" w:cs="Arial"/>
          <w:sz w:val="28"/>
        </w:rPr>
        <w:lastRenderedPageBreak/>
        <w:t>经过比较分析，以上三个案例修正后的比准价格差异在合理范围之内，能够真实的反应估价对象的价格水平。故取其简单算术平均值作为估价对象商业用途房地产的市场价格。</w:t>
      </w:r>
    </w:p>
    <w:p w14:paraId="17F9E31C" w14:textId="77777777" w:rsidR="0062768B" w:rsidRDefault="00136729">
      <w:pPr>
        <w:spacing w:before="50" w:line="300" w:lineRule="auto"/>
        <w:ind w:firstLineChars="200" w:firstLine="560"/>
        <w:rPr>
          <w:rFonts w:ascii="Arial" w:eastAsia="仿宋_GB2312" w:hAnsi="Arial" w:cs="Arial"/>
          <w:sz w:val="28"/>
        </w:rPr>
      </w:pPr>
      <w:r>
        <w:rPr>
          <w:rFonts w:ascii="Arial" w:eastAsia="仿宋_GB2312" w:hAnsi="Arial" w:cs="Arial"/>
          <w:sz w:val="28"/>
        </w:rPr>
        <w:t>比准价格</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22600+21661+21798</w:t>
      </w:r>
      <w:r>
        <w:rPr>
          <w:rFonts w:ascii="Arial" w:eastAsia="仿宋_GB2312" w:hAnsi="Arial" w:cs="Arial"/>
          <w:sz w:val="28"/>
        </w:rPr>
        <w:t>）</w:t>
      </w:r>
      <w:r>
        <w:rPr>
          <w:rFonts w:ascii="Arial" w:eastAsia="仿宋_GB2312" w:hAnsi="Arial" w:cs="Arial"/>
          <w:sz w:val="28"/>
        </w:rPr>
        <w:t>÷3</w:t>
      </w:r>
    </w:p>
    <w:p w14:paraId="688A5753" w14:textId="77777777" w:rsidR="0062768B" w:rsidRDefault="00136729">
      <w:pPr>
        <w:spacing w:before="50" w:line="300" w:lineRule="auto"/>
        <w:ind w:firstLineChars="200" w:firstLine="560"/>
        <w:rPr>
          <w:rFonts w:ascii="Arial" w:eastAsia="仿宋_GB2312" w:hAnsi="Arial" w:cs="Arial"/>
          <w:sz w:val="28"/>
        </w:rPr>
      </w:pPr>
      <w:r>
        <w:rPr>
          <w:rFonts w:ascii="Arial" w:eastAsia="仿宋_GB2312" w:hAnsi="Arial" w:cs="Arial"/>
          <w:sz w:val="28"/>
        </w:rPr>
        <w:t xml:space="preserve">        =22020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14:paraId="1E450729" w14:textId="77777777" w:rsidR="0062768B" w:rsidRDefault="00136729">
      <w:pPr>
        <w:spacing w:before="50" w:line="300" w:lineRule="auto"/>
        <w:ind w:firstLineChars="200" w:firstLine="560"/>
        <w:rPr>
          <w:rFonts w:ascii="Arial" w:eastAsia="仿宋_GB2312" w:hAnsi="Arial" w:cs="Arial"/>
          <w:sz w:val="28"/>
        </w:rPr>
      </w:pPr>
      <w:r>
        <w:rPr>
          <w:rFonts w:ascii="Arial" w:eastAsia="仿宋_GB2312" w:hAnsi="Arial" w:cs="Arial"/>
          <w:sz w:val="28"/>
        </w:rPr>
        <w:t>未来开发价值总价</w:t>
      </w:r>
      <w:r>
        <w:rPr>
          <w:rFonts w:ascii="Arial" w:eastAsia="仿宋_GB2312" w:hAnsi="Arial" w:cs="Arial"/>
          <w:sz w:val="28"/>
        </w:rPr>
        <w:t>=22020×39÷10000</w:t>
      </w:r>
    </w:p>
    <w:p w14:paraId="59307AF9" w14:textId="77777777" w:rsidR="0062768B" w:rsidRDefault="00136729">
      <w:pPr>
        <w:spacing w:before="50" w:line="300" w:lineRule="auto"/>
        <w:ind w:firstLineChars="1050" w:firstLine="2940"/>
        <w:rPr>
          <w:rFonts w:ascii="Arial" w:eastAsia="仿宋_GB2312" w:hAnsi="Arial" w:cs="Arial"/>
          <w:sz w:val="28"/>
        </w:rPr>
      </w:pPr>
      <w:r>
        <w:rPr>
          <w:rFonts w:ascii="Arial" w:eastAsia="仿宋_GB2312" w:hAnsi="Arial" w:cs="Arial"/>
          <w:sz w:val="28"/>
        </w:rPr>
        <w:t>=85.8780</w:t>
      </w:r>
      <w:r>
        <w:rPr>
          <w:rFonts w:ascii="Arial" w:eastAsia="仿宋_GB2312" w:hAnsi="Arial" w:cs="Arial"/>
          <w:sz w:val="28"/>
        </w:rPr>
        <w:t>（万元）</w:t>
      </w:r>
    </w:p>
    <w:p w14:paraId="33EA7C72" w14:textId="77777777" w:rsidR="0062768B" w:rsidRDefault="00136729">
      <w:pPr>
        <w:spacing w:beforeLines="50" w:before="120" w:afterLines="50" w:after="120" w:line="300" w:lineRule="auto"/>
        <w:ind w:firstLineChars="200" w:firstLine="560"/>
        <w:rPr>
          <w:rFonts w:ascii="Arial" w:eastAsia="仿宋" w:hAnsi="Arial" w:cs="Arial"/>
          <w:sz w:val="28"/>
          <w:szCs w:val="28"/>
        </w:rPr>
      </w:pPr>
      <w:r>
        <w:rPr>
          <w:rFonts w:ascii="Arial" w:eastAsia="仿宋" w:hAnsi="Arial" w:cs="Arial"/>
          <w:sz w:val="28"/>
          <w:szCs w:val="28"/>
        </w:rPr>
        <w:t>C.</w:t>
      </w:r>
      <w:r>
        <w:rPr>
          <w:rFonts w:ascii="Arial" w:eastAsia="仿宋" w:hAnsi="Arial" w:cs="Arial"/>
          <w:sz w:val="28"/>
          <w:szCs w:val="28"/>
        </w:rPr>
        <w:t>开发成本</w:t>
      </w:r>
    </w:p>
    <w:p w14:paraId="45B50106" w14:textId="77777777" w:rsidR="0062768B" w:rsidRDefault="00136729">
      <w:pPr>
        <w:spacing w:beforeLines="50" w:before="120" w:afterLines="50" w:after="120" w:line="300" w:lineRule="auto"/>
        <w:ind w:firstLineChars="200" w:firstLine="560"/>
        <w:rPr>
          <w:rFonts w:ascii="Arial" w:eastAsia="仿宋" w:hAnsi="Arial" w:cs="Arial"/>
          <w:sz w:val="28"/>
          <w:szCs w:val="28"/>
        </w:rPr>
      </w:pPr>
      <w:r>
        <w:rPr>
          <w:rFonts w:ascii="Arial" w:eastAsia="仿宋" w:hAnsi="Arial" w:cs="Arial"/>
          <w:sz w:val="28"/>
          <w:szCs w:val="28"/>
        </w:rPr>
        <w:t>a.</w:t>
      </w:r>
      <w:r>
        <w:rPr>
          <w:rFonts w:ascii="Arial" w:eastAsia="仿宋" w:hAnsi="Arial" w:cs="Arial"/>
          <w:sz w:val="28"/>
          <w:szCs w:val="28"/>
        </w:rPr>
        <w:t>建造成本</w:t>
      </w:r>
    </w:p>
    <w:p w14:paraId="4BF51454"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a)</w:t>
      </w:r>
      <w:r>
        <w:rPr>
          <w:rFonts w:ascii="Arial" w:eastAsia="仿宋" w:hAnsi="Arial" w:cs="Arial"/>
          <w:sz w:val="28"/>
          <w:szCs w:val="28"/>
        </w:rPr>
        <w:t>建安费用</w:t>
      </w:r>
    </w:p>
    <w:p w14:paraId="1419A97E"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本次评估参考现行北京市工程概预算定额以及同类建筑的建安水平，同时考虑估价对象建筑结构、设备与装修标准等，综合确定估价对象商业用房建安费用为</w:t>
      </w:r>
      <w:r>
        <w:rPr>
          <w:rFonts w:ascii="Arial" w:eastAsia="仿宋" w:hAnsi="Arial" w:cs="Arial"/>
          <w:sz w:val="28"/>
          <w:szCs w:val="28"/>
        </w:rPr>
        <w:t>4500</w:t>
      </w:r>
      <w:r>
        <w:rPr>
          <w:rFonts w:ascii="Arial" w:eastAsia="仿宋" w:hAnsi="Arial" w:cs="Arial"/>
          <w:sz w:val="28"/>
          <w:szCs w:val="28"/>
        </w:rPr>
        <w:t>元</w:t>
      </w:r>
      <w:r>
        <w:rPr>
          <w:rFonts w:ascii="Arial" w:eastAsia="仿宋" w:hAnsi="Arial" w:cs="Arial"/>
          <w:sz w:val="28"/>
          <w:szCs w:val="28"/>
        </w:rPr>
        <w:t>/</w:t>
      </w:r>
      <w:r>
        <w:rPr>
          <w:rFonts w:ascii="Arial" w:eastAsia="仿宋" w:hAnsi="Arial" w:cs="Arial"/>
          <w:sz w:val="28"/>
          <w:szCs w:val="28"/>
        </w:rPr>
        <w:t>平方米，即：</w:t>
      </w:r>
    </w:p>
    <w:p w14:paraId="37880B7C"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建安总价</w:t>
      </w:r>
      <w:r>
        <w:rPr>
          <w:rFonts w:ascii="Arial" w:eastAsia="仿宋" w:hAnsi="Arial" w:cs="Arial"/>
          <w:sz w:val="28"/>
          <w:szCs w:val="28"/>
        </w:rPr>
        <w:t>=4500×</w:t>
      </w:r>
      <w:r>
        <w:rPr>
          <w:rFonts w:ascii="Arial" w:eastAsia="仿宋" w:hAnsi="Arial" w:cs="Arial"/>
          <w:snapToGrid w:val="0"/>
          <w:sz w:val="28"/>
          <w:szCs w:val="28"/>
        </w:rPr>
        <w:t>39</w:t>
      </w:r>
      <w:r>
        <w:rPr>
          <w:rFonts w:ascii="Arial" w:eastAsia="仿宋" w:hAnsi="Arial" w:cs="Arial"/>
          <w:sz w:val="28"/>
          <w:szCs w:val="28"/>
        </w:rPr>
        <w:t>÷10000</w:t>
      </w:r>
    </w:p>
    <w:p w14:paraId="792D5D2C" w14:textId="77777777" w:rsidR="0062768B" w:rsidRDefault="00136729">
      <w:pPr>
        <w:spacing w:before="50" w:after="50" w:line="300" w:lineRule="auto"/>
        <w:ind w:firstLineChars="600" w:firstLine="1680"/>
        <w:rPr>
          <w:rFonts w:ascii="Arial" w:eastAsia="仿宋" w:hAnsi="Arial" w:cs="Arial"/>
          <w:sz w:val="28"/>
          <w:szCs w:val="28"/>
        </w:rPr>
      </w:pPr>
      <w:r>
        <w:rPr>
          <w:rFonts w:ascii="Arial" w:eastAsia="仿宋" w:hAnsi="Arial" w:cs="Arial"/>
          <w:sz w:val="28"/>
          <w:szCs w:val="28"/>
        </w:rPr>
        <w:t>=</w:t>
      </w:r>
      <w:r>
        <w:rPr>
          <w:rFonts w:ascii="Arial" w:hAnsi="Arial" w:cs="Arial"/>
        </w:rPr>
        <w:t xml:space="preserve"> </w:t>
      </w:r>
      <w:r>
        <w:rPr>
          <w:rFonts w:ascii="Arial" w:eastAsia="仿宋" w:hAnsi="Arial" w:cs="Arial"/>
          <w:sz w:val="28"/>
          <w:szCs w:val="28"/>
        </w:rPr>
        <w:t>17.5500</w:t>
      </w:r>
      <w:r>
        <w:rPr>
          <w:rFonts w:ascii="Arial" w:eastAsia="仿宋" w:hAnsi="Arial" w:cs="Arial"/>
          <w:sz w:val="28"/>
          <w:szCs w:val="28"/>
        </w:rPr>
        <w:t>（万元）</w:t>
      </w:r>
    </w:p>
    <w:p w14:paraId="5C5C6BFA"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b)</w:t>
      </w:r>
      <w:r>
        <w:rPr>
          <w:rFonts w:ascii="Arial" w:eastAsia="仿宋" w:hAnsi="Arial" w:cs="Arial"/>
          <w:sz w:val="28"/>
          <w:szCs w:val="28"/>
        </w:rPr>
        <w:t>勘查设计和前期工程费</w:t>
      </w:r>
    </w:p>
    <w:p w14:paraId="60A72D8F"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Pr>
          <w:rFonts w:ascii="Arial" w:eastAsia="仿宋" w:hAnsi="Arial" w:cs="Arial"/>
          <w:sz w:val="28"/>
          <w:szCs w:val="28"/>
        </w:rPr>
        <w:t>5%</w:t>
      </w:r>
      <w:r>
        <w:rPr>
          <w:rFonts w:ascii="Arial" w:eastAsia="仿宋" w:hAnsi="Arial" w:cs="Arial"/>
          <w:sz w:val="28"/>
          <w:szCs w:val="28"/>
        </w:rPr>
        <w:t>取费，则有：</w:t>
      </w:r>
    </w:p>
    <w:p w14:paraId="088BBBB1"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勘查设计和前期工程费＝建安费用</w:t>
      </w:r>
      <w:r>
        <w:rPr>
          <w:rFonts w:ascii="Arial" w:eastAsia="仿宋" w:hAnsi="Arial" w:cs="Arial"/>
          <w:sz w:val="28"/>
          <w:szCs w:val="28"/>
        </w:rPr>
        <w:t>×</w:t>
      </w:r>
      <w:r>
        <w:rPr>
          <w:rFonts w:ascii="Arial" w:eastAsia="仿宋" w:hAnsi="Arial" w:cs="Arial"/>
          <w:sz w:val="28"/>
          <w:szCs w:val="28"/>
        </w:rPr>
        <w:t>取费标准</w:t>
      </w:r>
    </w:p>
    <w:p w14:paraId="73AC28A0" w14:textId="77777777" w:rsidR="0062768B" w:rsidRDefault="00136729">
      <w:pPr>
        <w:spacing w:before="50" w:after="50" w:line="300" w:lineRule="auto"/>
        <w:ind w:firstLineChars="1200" w:firstLine="33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17.5500×5%</w:t>
      </w:r>
    </w:p>
    <w:p w14:paraId="2E9F6C3A" w14:textId="77777777" w:rsidR="0062768B" w:rsidRDefault="00136729">
      <w:pPr>
        <w:spacing w:before="50" w:after="50" w:line="300" w:lineRule="auto"/>
        <w:ind w:firstLineChars="1200" w:firstLine="33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0.8775 (</w:t>
      </w:r>
      <w:r>
        <w:rPr>
          <w:rFonts w:ascii="Arial" w:eastAsia="仿宋" w:hAnsi="Arial" w:cs="Arial"/>
          <w:sz w:val="28"/>
          <w:szCs w:val="28"/>
        </w:rPr>
        <w:t>万元</w:t>
      </w:r>
      <w:r>
        <w:rPr>
          <w:rFonts w:ascii="Arial" w:eastAsia="仿宋" w:hAnsi="Arial" w:cs="Arial"/>
          <w:sz w:val="28"/>
          <w:szCs w:val="28"/>
        </w:rPr>
        <w:t>)</w:t>
      </w:r>
    </w:p>
    <w:p w14:paraId="3507A857"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c)</w:t>
      </w:r>
      <w:r>
        <w:rPr>
          <w:rFonts w:ascii="Arial" w:eastAsia="仿宋" w:hAnsi="Arial" w:cs="Arial"/>
          <w:sz w:val="28"/>
          <w:szCs w:val="28"/>
        </w:rPr>
        <w:t>公共配套设施费用</w:t>
      </w:r>
    </w:p>
    <w:p w14:paraId="01D1DF16"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公共配套设施费用是指城市规划要求居住项目需配套建设的教育、医疗卫生、文化体育、社区服务、市政公用等非营利性设施的建设费用，估价对象规划为非居住用途，故本项费用不计取。</w:t>
      </w:r>
    </w:p>
    <w:p w14:paraId="6B67FB6C"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lastRenderedPageBreak/>
        <w:t>d)</w:t>
      </w:r>
      <w:r>
        <w:rPr>
          <w:rFonts w:ascii="Arial" w:eastAsia="仿宋" w:hAnsi="Arial" w:cs="Arial"/>
          <w:sz w:val="28"/>
          <w:szCs w:val="28"/>
        </w:rPr>
        <w:t>红线内市政基础设施费</w:t>
      </w:r>
    </w:p>
    <w:p w14:paraId="0F25536E"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红线内市政基础设施费是指包括城市规划要求配套的道路、给排水、电力、电信、燃气、热力等设施的建设费用；估价对象未来红线内基础设施建设将达到</w:t>
      </w:r>
      <w:r>
        <w:rPr>
          <w:rFonts w:ascii="Arial" w:eastAsia="仿宋" w:hAnsi="Arial" w:cs="Arial"/>
          <w:sz w:val="28"/>
          <w:szCs w:val="28"/>
        </w:rPr>
        <w:t>“</w:t>
      </w:r>
      <w:r>
        <w:rPr>
          <w:rFonts w:ascii="Arial" w:eastAsia="仿宋" w:hAnsi="Arial" w:cs="Arial"/>
          <w:sz w:val="28"/>
          <w:szCs w:val="28"/>
        </w:rPr>
        <w:t>五通</w:t>
      </w:r>
      <w:r>
        <w:rPr>
          <w:rFonts w:ascii="Arial" w:eastAsia="仿宋" w:hAnsi="Arial" w:cs="Arial"/>
          <w:sz w:val="28"/>
          <w:szCs w:val="28"/>
        </w:rPr>
        <w:t>”</w:t>
      </w:r>
      <w:r>
        <w:rPr>
          <w:rFonts w:ascii="Arial" w:eastAsia="仿宋" w:hAnsi="Arial" w:cs="Arial"/>
          <w:sz w:val="28"/>
          <w:szCs w:val="28"/>
        </w:rPr>
        <w:t>（即通路、通上水（自来水、中水）、通下水（雨水、污水）、通电（管沟）、通热力），宗地内</w:t>
      </w:r>
      <w:r>
        <w:rPr>
          <w:rFonts w:ascii="Arial" w:eastAsia="仿宋" w:hAnsi="Arial" w:cs="Arial"/>
          <w:sz w:val="28"/>
          <w:szCs w:val="28"/>
        </w:rPr>
        <w:t>“</w:t>
      </w:r>
      <w:r>
        <w:rPr>
          <w:rFonts w:ascii="Arial" w:eastAsia="仿宋" w:hAnsi="Arial" w:cs="Arial"/>
          <w:sz w:val="28"/>
          <w:szCs w:val="28"/>
        </w:rPr>
        <w:t>场地平整</w:t>
      </w:r>
      <w:r>
        <w:rPr>
          <w:rFonts w:ascii="Arial" w:eastAsia="仿宋" w:hAnsi="Arial" w:cs="Arial"/>
          <w:sz w:val="28"/>
          <w:szCs w:val="28"/>
        </w:rPr>
        <w:t>”</w:t>
      </w:r>
      <w:r>
        <w:rPr>
          <w:rFonts w:ascii="Arial" w:eastAsia="仿宋" w:hAnsi="Arial" w:cs="Arial"/>
          <w:sz w:val="28"/>
          <w:szCs w:val="28"/>
        </w:rPr>
        <w:t>，结合估价对象所在区域实际情况确定红线内市政基础设施费为</w:t>
      </w:r>
      <w:r>
        <w:rPr>
          <w:rFonts w:ascii="Arial" w:eastAsia="仿宋" w:hAnsi="Arial" w:cs="Arial"/>
          <w:sz w:val="28"/>
          <w:szCs w:val="28"/>
        </w:rPr>
        <w:t>300</w:t>
      </w:r>
      <w:r>
        <w:rPr>
          <w:rFonts w:ascii="Arial" w:eastAsia="仿宋" w:hAnsi="Arial" w:cs="Arial"/>
          <w:sz w:val="28"/>
          <w:szCs w:val="28"/>
        </w:rPr>
        <w:t>元</w:t>
      </w:r>
      <w:r>
        <w:rPr>
          <w:rFonts w:ascii="Arial" w:eastAsia="仿宋" w:hAnsi="Arial" w:cs="Arial"/>
          <w:sz w:val="28"/>
          <w:szCs w:val="28"/>
        </w:rPr>
        <w:t>/</w:t>
      </w:r>
      <w:r>
        <w:rPr>
          <w:rFonts w:ascii="Arial" w:eastAsia="仿宋" w:hAnsi="Arial" w:cs="Arial"/>
          <w:sz w:val="28"/>
          <w:szCs w:val="28"/>
        </w:rPr>
        <w:t>平方米。即：</w:t>
      </w:r>
    </w:p>
    <w:p w14:paraId="25FE4A73"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红线内市政基础设施费</w:t>
      </w:r>
      <w:r>
        <w:rPr>
          <w:rFonts w:ascii="Arial" w:eastAsia="仿宋" w:hAnsi="Arial" w:cs="Arial"/>
          <w:sz w:val="28"/>
          <w:szCs w:val="28"/>
        </w:rPr>
        <w:t>=</w:t>
      </w:r>
      <w:r>
        <w:rPr>
          <w:rFonts w:ascii="Arial" w:eastAsia="仿宋" w:hAnsi="Arial" w:cs="Arial"/>
          <w:snapToGrid w:val="0"/>
          <w:sz w:val="28"/>
          <w:szCs w:val="28"/>
        </w:rPr>
        <w:t>39.00</w:t>
      </w:r>
      <w:r>
        <w:rPr>
          <w:rFonts w:ascii="Arial" w:eastAsia="仿宋" w:hAnsi="Arial" w:cs="Arial"/>
          <w:sz w:val="28"/>
          <w:szCs w:val="28"/>
        </w:rPr>
        <w:t>×300÷10000</w:t>
      </w:r>
    </w:p>
    <w:p w14:paraId="277AED0E" w14:textId="77777777" w:rsidR="0062768B" w:rsidRDefault="00136729">
      <w:pPr>
        <w:spacing w:before="50" w:after="50" w:line="300" w:lineRule="auto"/>
        <w:ind w:firstLineChars="1200" w:firstLine="3360"/>
        <w:rPr>
          <w:rFonts w:ascii="Arial" w:eastAsia="仿宋" w:hAnsi="Arial" w:cs="Arial"/>
          <w:sz w:val="28"/>
          <w:szCs w:val="28"/>
        </w:rPr>
      </w:pPr>
      <w:r>
        <w:rPr>
          <w:rFonts w:ascii="Arial" w:eastAsia="仿宋" w:hAnsi="Arial" w:cs="Arial"/>
          <w:sz w:val="28"/>
          <w:szCs w:val="28"/>
        </w:rPr>
        <w:t>=1.1700</w:t>
      </w:r>
      <w:r>
        <w:rPr>
          <w:rFonts w:ascii="Arial" w:eastAsia="仿宋" w:hAnsi="Arial" w:cs="Arial"/>
          <w:sz w:val="28"/>
          <w:szCs w:val="28"/>
        </w:rPr>
        <w:t>（万元）</w:t>
      </w:r>
    </w:p>
    <w:p w14:paraId="31E4EC4E"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e)</w:t>
      </w:r>
      <w:r>
        <w:rPr>
          <w:rFonts w:ascii="Arial" w:eastAsia="仿宋" w:hAnsi="Arial" w:cs="Arial"/>
          <w:sz w:val="28"/>
          <w:szCs w:val="28"/>
        </w:rPr>
        <w:t>相关税费</w:t>
      </w:r>
    </w:p>
    <w:p w14:paraId="364A4B59"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相关税费主要包括有关税收和地方政府或其他有关部门收取的费用，如工程监理费、竣工验收费、绿化建设费、人防工程费等；根据估价对象所处区域的一般情况，并结合估价对象的实际情况，按建安费用的</w:t>
      </w:r>
      <w:r>
        <w:rPr>
          <w:rFonts w:ascii="Arial" w:eastAsia="仿宋" w:hAnsi="Arial" w:cs="Arial"/>
          <w:sz w:val="28"/>
          <w:szCs w:val="28"/>
        </w:rPr>
        <w:t>1.5%</w:t>
      </w:r>
      <w:r>
        <w:rPr>
          <w:rFonts w:ascii="Arial" w:eastAsia="仿宋" w:hAnsi="Arial" w:cs="Arial"/>
          <w:sz w:val="28"/>
          <w:szCs w:val="28"/>
        </w:rPr>
        <w:t>取费，则有：</w:t>
      </w:r>
    </w:p>
    <w:p w14:paraId="5B395518"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相关税费＝建安费用</w:t>
      </w:r>
      <w:r>
        <w:rPr>
          <w:rFonts w:ascii="Arial" w:eastAsia="仿宋" w:hAnsi="Arial" w:cs="Arial"/>
          <w:sz w:val="28"/>
          <w:szCs w:val="28"/>
        </w:rPr>
        <w:t>×</w:t>
      </w:r>
      <w:r>
        <w:rPr>
          <w:rFonts w:ascii="Arial" w:eastAsia="仿宋" w:hAnsi="Arial" w:cs="Arial"/>
          <w:sz w:val="28"/>
          <w:szCs w:val="28"/>
        </w:rPr>
        <w:t>取费标准</w:t>
      </w:r>
    </w:p>
    <w:p w14:paraId="418269A9" w14:textId="77777777" w:rsidR="0062768B" w:rsidRDefault="00136729">
      <w:pPr>
        <w:spacing w:before="50" w:after="50" w:line="300" w:lineRule="auto"/>
        <w:ind w:firstLineChars="600" w:firstLine="168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17.5500×1.5%</w:t>
      </w:r>
    </w:p>
    <w:p w14:paraId="431C6078" w14:textId="77777777" w:rsidR="0062768B" w:rsidRDefault="00136729">
      <w:pPr>
        <w:spacing w:before="50" w:after="50" w:line="300" w:lineRule="auto"/>
        <w:ind w:firstLineChars="600" w:firstLine="168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0.2633</w:t>
      </w:r>
      <w:r>
        <w:rPr>
          <w:rFonts w:ascii="Arial" w:eastAsia="仿宋" w:hAnsi="Arial" w:cs="Arial"/>
          <w:sz w:val="28"/>
          <w:szCs w:val="28"/>
        </w:rPr>
        <w:t>（万元）</w:t>
      </w:r>
    </w:p>
    <w:p w14:paraId="32ADC0E6"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f)</w:t>
      </w:r>
      <w:r>
        <w:rPr>
          <w:rFonts w:ascii="Arial" w:eastAsia="仿宋" w:hAnsi="Arial" w:cs="Arial"/>
          <w:sz w:val="28"/>
          <w:szCs w:val="28"/>
        </w:rPr>
        <w:t>建造成本</w:t>
      </w:r>
    </w:p>
    <w:p w14:paraId="4ECE0135"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建造成本为上述</w:t>
      </w:r>
      <w:r>
        <w:rPr>
          <w:rFonts w:ascii="Arial" w:eastAsia="仿宋" w:hAnsi="Arial" w:cs="Arial"/>
          <w:sz w:val="28"/>
          <w:szCs w:val="28"/>
        </w:rPr>
        <w:t>5</w:t>
      </w:r>
      <w:r>
        <w:rPr>
          <w:rFonts w:ascii="Arial" w:eastAsia="仿宋" w:hAnsi="Arial" w:cs="Arial"/>
          <w:sz w:val="28"/>
          <w:szCs w:val="28"/>
        </w:rPr>
        <w:t>项之和，则有：</w:t>
      </w:r>
    </w:p>
    <w:p w14:paraId="50113D4C" w14:textId="77777777" w:rsidR="0062768B" w:rsidRDefault="00136729">
      <w:pPr>
        <w:spacing w:before="50" w:after="50" w:line="300" w:lineRule="auto"/>
        <w:ind w:firstLineChars="201" w:firstLine="563"/>
        <w:rPr>
          <w:rFonts w:ascii="Arial" w:eastAsia="仿宋" w:hAnsi="Arial" w:cs="Arial"/>
          <w:sz w:val="28"/>
          <w:szCs w:val="28"/>
        </w:rPr>
      </w:pPr>
      <w:r>
        <w:rPr>
          <w:rFonts w:ascii="Arial" w:eastAsia="仿宋" w:hAnsi="Arial" w:cs="Arial"/>
          <w:sz w:val="28"/>
          <w:szCs w:val="28"/>
        </w:rPr>
        <w:t>建造成本</w:t>
      </w:r>
      <w:r>
        <w:rPr>
          <w:rFonts w:ascii="Arial" w:eastAsia="仿宋" w:hAnsi="Arial" w:cs="Arial"/>
          <w:sz w:val="28"/>
          <w:szCs w:val="28"/>
        </w:rPr>
        <w:t>=17.5500 +0.8775 +0+1.1700 +0.2633</w:t>
      </w:r>
    </w:p>
    <w:p w14:paraId="40696DCB" w14:textId="77777777" w:rsidR="0062768B" w:rsidRDefault="00136729">
      <w:pPr>
        <w:spacing w:before="50" w:after="50" w:line="300" w:lineRule="auto"/>
        <w:ind w:firstLineChars="600" w:firstLine="1680"/>
        <w:rPr>
          <w:rFonts w:ascii="Arial" w:eastAsia="仿宋" w:hAnsi="Arial" w:cs="Arial"/>
          <w:sz w:val="28"/>
          <w:szCs w:val="28"/>
        </w:rPr>
      </w:pPr>
      <w:r>
        <w:rPr>
          <w:rFonts w:ascii="Arial" w:eastAsia="仿宋" w:hAnsi="Arial" w:cs="Arial"/>
          <w:sz w:val="28"/>
          <w:szCs w:val="28"/>
        </w:rPr>
        <w:t>=19.8608</w:t>
      </w:r>
      <w:r>
        <w:rPr>
          <w:rFonts w:ascii="Arial" w:eastAsia="仿宋" w:hAnsi="Arial" w:cs="Arial"/>
          <w:sz w:val="28"/>
          <w:szCs w:val="28"/>
        </w:rPr>
        <w:t>（万元）</w:t>
      </w:r>
    </w:p>
    <w:p w14:paraId="27A5CEC7"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b.</w:t>
      </w:r>
      <w:r>
        <w:rPr>
          <w:rFonts w:ascii="Arial" w:eastAsia="仿宋" w:hAnsi="Arial" w:cs="Arial"/>
          <w:sz w:val="28"/>
          <w:szCs w:val="28"/>
        </w:rPr>
        <w:t>红线外市政费用（土地开发费）</w:t>
      </w:r>
    </w:p>
    <w:p w14:paraId="1EFA6D74" w14:textId="30DC557F"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_GB2312" w:hAnsi="Arial" w:cs="Arial" w:hint="eastAsia"/>
          <w:sz w:val="28"/>
          <w:szCs w:val="28"/>
        </w:rPr>
        <w:t>根据</w:t>
      </w:r>
      <w:r w:rsidR="00791FE1">
        <w:rPr>
          <w:rFonts w:ascii="Arial" w:eastAsia="仿宋_GB2312" w:hAnsi="Arial" w:cs="Arial" w:hint="eastAsia"/>
          <w:sz w:val="28"/>
          <w:szCs w:val="28"/>
        </w:rPr>
        <w:t>《北京市顺义区人民政府关于顺义区高丽营镇夏县营村棚户区改造土地开发项目</w:t>
      </w:r>
      <w:r w:rsidR="00791FE1">
        <w:rPr>
          <w:rFonts w:ascii="Arial" w:eastAsia="仿宋_GB2312" w:hAnsi="Arial" w:cs="Arial" w:hint="eastAsia"/>
          <w:sz w:val="28"/>
          <w:szCs w:val="28"/>
        </w:rPr>
        <w:t>01-008</w:t>
      </w:r>
      <w:r w:rsidR="00791FE1">
        <w:rPr>
          <w:rFonts w:ascii="Arial" w:eastAsia="仿宋_GB2312" w:hAnsi="Arial" w:cs="Arial" w:hint="eastAsia"/>
          <w:sz w:val="28"/>
          <w:szCs w:val="28"/>
        </w:rPr>
        <w:t>、</w:t>
      </w:r>
      <w:r w:rsidR="00791FE1">
        <w:rPr>
          <w:rFonts w:ascii="Arial" w:eastAsia="仿宋_GB2312" w:hAnsi="Arial" w:cs="Arial" w:hint="eastAsia"/>
          <w:sz w:val="28"/>
          <w:szCs w:val="28"/>
        </w:rPr>
        <w:t>01-016</w:t>
      </w:r>
      <w:r w:rsidR="00791FE1">
        <w:rPr>
          <w:rFonts w:ascii="Arial" w:eastAsia="仿宋_GB2312" w:hAnsi="Arial" w:cs="Arial" w:hint="eastAsia"/>
          <w:sz w:val="28"/>
          <w:szCs w:val="28"/>
        </w:rPr>
        <w:t>、</w:t>
      </w:r>
      <w:r w:rsidR="00791FE1">
        <w:rPr>
          <w:rFonts w:ascii="Arial" w:eastAsia="仿宋_GB2312" w:hAnsi="Arial" w:cs="Arial" w:hint="eastAsia"/>
          <w:sz w:val="28"/>
          <w:szCs w:val="28"/>
        </w:rPr>
        <w:t>01-026-1</w:t>
      </w:r>
      <w:r w:rsidR="00791FE1">
        <w:rPr>
          <w:rFonts w:ascii="Arial" w:eastAsia="仿宋_GB2312" w:hAnsi="Arial" w:cs="Arial" w:hint="eastAsia"/>
          <w:sz w:val="28"/>
          <w:szCs w:val="28"/>
        </w:rPr>
        <w:t>、</w:t>
      </w:r>
      <w:r w:rsidR="00791FE1">
        <w:rPr>
          <w:rFonts w:ascii="Arial" w:eastAsia="仿宋_GB2312" w:hAnsi="Arial" w:cs="Arial" w:hint="eastAsia"/>
          <w:sz w:val="28"/>
          <w:szCs w:val="28"/>
        </w:rPr>
        <w:t>01-020</w:t>
      </w:r>
      <w:r w:rsidR="00791FE1">
        <w:rPr>
          <w:rFonts w:ascii="Arial" w:eastAsia="仿宋_GB2312" w:hAnsi="Arial" w:cs="Arial" w:hint="eastAsia"/>
          <w:sz w:val="28"/>
          <w:szCs w:val="28"/>
        </w:rPr>
        <w:t>地块提请地价审核有关事宜的函》（</w:t>
      </w:r>
      <w:proofErr w:type="gramStart"/>
      <w:r w:rsidR="00791FE1">
        <w:rPr>
          <w:rFonts w:ascii="Arial" w:eastAsia="仿宋_GB2312" w:hAnsi="Arial" w:cs="Arial" w:hint="eastAsia"/>
          <w:sz w:val="28"/>
          <w:szCs w:val="28"/>
        </w:rPr>
        <w:t>顺政函</w:t>
      </w:r>
      <w:proofErr w:type="gramEnd"/>
      <w:r w:rsidR="00791FE1">
        <w:rPr>
          <w:rFonts w:ascii="Arial" w:eastAsia="仿宋_GB2312" w:hAnsi="Arial" w:cs="Arial" w:hint="eastAsia"/>
          <w:sz w:val="28"/>
          <w:szCs w:val="28"/>
        </w:rPr>
        <w:t>【</w:t>
      </w:r>
      <w:r w:rsidR="00791FE1">
        <w:rPr>
          <w:rFonts w:ascii="Arial" w:eastAsia="仿宋_GB2312" w:hAnsi="Arial" w:cs="Arial" w:hint="eastAsia"/>
          <w:sz w:val="28"/>
          <w:szCs w:val="28"/>
        </w:rPr>
        <w:t>2023</w:t>
      </w:r>
      <w:r w:rsidR="00791FE1">
        <w:rPr>
          <w:rFonts w:ascii="Arial" w:eastAsia="仿宋_GB2312" w:hAnsi="Arial" w:cs="Arial" w:hint="eastAsia"/>
          <w:sz w:val="28"/>
          <w:szCs w:val="28"/>
        </w:rPr>
        <w:t>】</w:t>
      </w:r>
      <w:r w:rsidR="00791FE1">
        <w:rPr>
          <w:rFonts w:ascii="Arial" w:eastAsia="仿宋_GB2312" w:hAnsi="Arial" w:cs="Arial" w:hint="eastAsia"/>
          <w:sz w:val="28"/>
          <w:szCs w:val="28"/>
        </w:rPr>
        <w:t>151</w:t>
      </w:r>
      <w:r w:rsidR="00791FE1">
        <w:rPr>
          <w:rFonts w:ascii="Arial" w:eastAsia="仿宋_GB2312" w:hAnsi="Arial" w:cs="Arial" w:hint="eastAsia"/>
          <w:sz w:val="28"/>
          <w:szCs w:val="28"/>
        </w:rPr>
        <w:t>号）</w:t>
      </w:r>
      <w:r>
        <w:rPr>
          <w:rFonts w:ascii="Arial" w:eastAsia="仿宋_GB2312" w:hAnsi="Arial" w:cs="Arial" w:hint="eastAsia"/>
          <w:sz w:val="28"/>
          <w:szCs w:val="28"/>
        </w:rPr>
        <w:t>记载</w:t>
      </w:r>
      <w:r>
        <w:rPr>
          <w:rFonts w:ascii="Arial" w:eastAsia="仿宋_GB2312" w:hAnsi="Arial" w:cs="Arial" w:hint="eastAsia"/>
          <w:sz w:val="28"/>
        </w:rPr>
        <w:t>，估价对象供地条件</w:t>
      </w:r>
      <w:r>
        <w:rPr>
          <w:rFonts w:ascii="Arial" w:eastAsia="仿宋" w:hAnsi="Arial" w:cs="Arial"/>
          <w:sz w:val="28"/>
          <w:szCs w:val="28"/>
        </w:rPr>
        <w:t>，评估设定土地开发程度为宗地外</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Pr>
          <w:rFonts w:ascii="Arial" w:eastAsia="仿宋" w:hAnsi="Arial" w:cs="Arial"/>
          <w:sz w:val="28"/>
          <w:szCs w:val="28"/>
        </w:rPr>
        <w:t>（通路、通上水（自来水、中水）、通下水（雨水、污水）、通电（管沟、电缆）、通燃气、通热力）、宗地红线内场地平整。本次评估设定估价对象开发完成后红线外基础设施将达</w:t>
      </w:r>
      <w:r>
        <w:rPr>
          <w:rFonts w:ascii="Arial" w:eastAsia="仿宋" w:hAnsi="Arial" w:cs="Arial"/>
          <w:sz w:val="28"/>
          <w:szCs w:val="28"/>
        </w:rPr>
        <w:t>“</w:t>
      </w:r>
      <w:r>
        <w:rPr>
          <w:rFonts w:ascii="Arial" w:eastAsia="仿宋" w:hAnsi="Arial" w:cs="Arial"/>
          <w:sz w:val="28"/>
          <w:szCs w:val="28"/>
        </w:rPr>
        <w:t>七通</w:t>
      </w:r>
      <w:r>
        <w:rPr>
          <w:rFonts w:ascii="Arial" w:eastAsia="仿宋" w:hAnsi="Arial" w:cs="Arial"/>
          <w:sz w:val="28"/>
          <w:szCs w:val="28"/>
        </w:rPr>
        <w:t>”</w:t>
      </w:r>
      <w:r>
        <w:rPr>
          <w:rFonts w:ascii="Arial" w:eastAsia="仿宋" w:hAnsi="Arial" w:cs="Arial"/>
          <w:sz w:val="28"/>
          <w:szCs w:val="28"/>
        </w:rPr>
        <w:t>（即通路、通上水、通下水、通电、通讯、通燃气、通热力），宗地内</w:t>
      </w:r>
      <w:r>
        <w:rPr>
          <w:rFonts w:ascii="Arial" w:eastAsia="仿宋" w:hAnsi="Arial" w:cs="Arial"/>
          <w:sz w:val="28"/>
          <w:szCs w:val="28"/>
        </w:rPr>
        <w:t>“</w:t>
      </w:r>
      <w:r>
        <w:rPr>
          <w:rFonts w:ascii="Arial" w:eastAsia="仿宋" w:hAnsi="Arial" w:cs="Arial"/>
          <w:sz w:val="28"/>
          <w:szCs w:val="28"/>
        </w:rPr>
        <w:t>场地平整</w:t>
      </w:r>
      <w:r>
        <w:rPr>
          <w:rFonts w:ascii="Arial" w:eastAsia="仿宋" w:hAnsi="Arial" w:cs="Arial"/>
          <w:sz w:val="28"/>
          <w:szCs w:val="28"/>
        </w:rPr>
        <w:t>”</w:t>
      </w:r>
      <w:r>
        <w:rPr>
          <w:rFonts w:ascii="Arial" w:eastAsia="仿宋" w:hAnsi="Arial" w:cs="Arial"/>
          <w:sz w:val="28"/>
          <w:szCs w:val="28"/>
        </w:rPr>
        <w:t>。结合估价对象所在区域实际情况确定本次</w:t>
      </w:r>
      <w:proofErr w:type="gramStart"/>
      <w:r>
        <w:rPr>
          <w:rFonts w:ascii="Arial" w:eastAsia="仿宋" w:hAnsi="Arial" w:cs="Arial"/>
          <w:sz w:val="28"/>
          <w:szCs w:val="28"/>
        </w:rPr>
        <w:t>评估按</w:t>
      </w:r>
      <w:proofErr w:type="gramEnd"/>
      <w:r>
        <w:rPr>
          <w:rFonts w:ascii="Arial" w:eastAsia="仿宋" w:hAnsi="Arial" w:cs="Arial"/>
          <w:sz w:val="28"/>
          <w:szCs w:val="28"/>
        </w:rPr>
        <w:t>每平方</w:t>
      </w:r>
      <w:r>
        <w:rPr>
          <w:rFonts w:ascii="Arial" w:eastAsia="仿宋" w:hAnsi="Arial" w:cs="Arial"/>
          <w:sz w:val="28"/>
          <w:szCs w:val="28"/>
        </w:rPr>
        <w:lastRenderedPageBreak/>
        <w:t>米</w:t>
      </w:r>
      <w:r>
        <w:rPr>
          <w:rFonts w:ascii="Arial" w:eastAsia="仿宋" w:hAnsi="Arial" w:cs="Arial"/>
          <w:sz w:val="28"/>
          <w:szCs w:val="28"/>
        </w:rPr>
        <w:t>40</w:t>
      </w:r>
      <w:r>
        <w:rPr>
          <w:rFonts w:ascii="Arial" w:eastAsia="仿宋" w:hAnsi="Arial" w:cs="Arial"/>
          <w:sz w:val="28"/>
          <w:szCs w:val="28"/>
        </w:rPr>
        <w:t>元取费，则有：</w:t>
      </w:r>
    </w:p>
    <w:p w14:paraId="0845C7B9"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红线外市政费用（土地开发费）</w:t>
      </w:r>
    </w:p>
    <w:p w14:paraId="780BA9BE"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40×39÷10000</w:t>
      </w:r>
    </w:p>
    <w:p w14:paraId="727BDE4C"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0.1560</w:t>
      </w:r>
      <w:r>
        <w:rPr>
          <w:rFonts w:ascii="Arial" w:eastAsia="仿宋" w:hAnsi="Arial" w:cs="Arial"/>
          <w:sz w:val="28"/>
          <w:szCs w:val="28"/>
        </w:rPr>
        <w:t>（万元）</w:t>
      </w:r>
    </w:p>
    <w:p w14:paraId="150C089E"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t>c.</w:t>
      </w:r>
      <w:r>
        <w:rPr>
          <w:rFonts w:ascii="Arial" w:eastAsia="仿宋" w:hAnsi="Arial" w:cs="Arial"/>
          <w:sz w:val="28"/>
          <w:szCs w:val="28"/>
        </w:rPr>
        <w:t>城市基础设施建设费</w:t>
      </w:r>
    </w:p>
    <w:p w14:paraId="09B34462"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城市基础设施建设费是政府向建设单位收取、专项用于城市基础设施和城市共用设施建设，包括城市道路、桥梁、公共交通、供水、燃气、</w:t>
      </w:r>
      <w:hyperlink r:id="rId75" w:tgtFrame="_blank" w:history="1">
        <w:r>
          <w:rPr>
            <w:rFonts w:ascii="Arial" w:eastAsia="仿宋" w:hAnsi="Arial" w:cs="Arial"/>
            <w:sz w:val="28"/>
            <w:szCs w:val="28"/>
          </w:rPr>
          <w:t>污水处理</w:t>
        </w:r>
      </w:hyperlink>
      <w:r>
        <w:rPr>
          <w:rFonts w:ascii="Arial" w:eastAsia="仿宋" w:hAnsi="Arial" w:cs="Arial"/>
          <w:sz w:val="28"/>
          <w:szCs w:val="28"/>
        </w:rPr>
        <w:t>、集中供热、园林、绿化、路灯、环境卫生等设施的建设。根据北京市顺义区人民政府关于印发《顺义区征收城市基础设施建设费暂行办法》的通知，住宅按建筑规模每平方米</w:t>
      </w:r>
      <w:r>
        <w:rPr>
          <w:rFonts w:ascii="Arial" w:eastAsia="仿宋" w:hAnsi="Arial" w:cs="Arial"/>
          <w:sz w:val="28"/>
          <w:szCs w:val="28"/>
        </w:rPr>
        <w:t>150</w:t>
      </w:r>
      <w:r>
        <w:rPr>
          <w:rFonts w:ascii="Arial" w:eastAsia="仿宋" w:hAnsi="Arial" w:cs="Arial"/>
          <w:sz w:val="28"/>
          <w:szCs w:val="28"/>
        </w:rPr>
        <w:t>元、非住宅按建筑规模每平方米</w:t>
      </w:r>
      <w:r>
        <w:rPr>
          <w:rFonts w:ascii="Arial" w:eastAsia="仿宋" w:hAnsi="Arial" w:cs="Arial"/>
          <w:sz w:val="28"/>
          <w:szCs w:val="28"/>
        </w:rPr>
        <w:t>190</w:t>
      </w:r>
      <w:r>
        <w:rPr>
          <w:rFonts w:ascii="Arial" w:eastAsia="仿宋" w:hAnsi="Arial" w:cs="Arial"/>
          <w:sz w:val="28"/>
          <w:szCs w:val="28"/>
        </w:rPr>
        <w:t>元征收，则有：</w:t>
      </w:r>
    </w:p>
    <w:p w14:paraId="3D5312CF"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城市基础设施建设费</w:t>
      </w:r>
    </w:p>
    <w:p w14:paraId="3705534F"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190×39÷10000</w:t>
      </w:r>
    </w:p>
    <w:p w14:paraId="6259DBCF"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0.7410</w:t>
      </w:r>
      <w:r>
        <w:rPr>
          <w:rFonts w:ascii="Arial" w:eastAsia="仿宋" w:hAnsi="Arial" w:cs="Arial"/>
          <w:sz w:val="28"/>
          <w:szCs w:val="28"/>
        </w:rPr>
        <w:t>（万元）</w:t>
      </w:r>
    </w:p>
    <w:p w14:paraId="2C52736F"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d.</w:t>
      </w:r>
      <w:r>
        <w:rPr>
          <w:rFonts w:ascii="Arial" w:eastAsia="仿宋" w:hAnsi="Arial" w:cs="Arial"/>
          <w:sz w:val="28"/>
          <w:szCs w:val="28"/>
        </w:rPr>
        <w:t>管理费用</w:t>
      </w:r>
      <w:bookmarkStart w:id="372" w:name="_Toc531701610"/>
    </w:p>
    <w:p w14:paraId="72233DFE"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管理费用是房地产开发商为组织和管理房地产开发经营活动的必要支出，主要包括人员工资、办公费、差旅费等，根据估价对象所处区域房地产开发市场的一般情况，并结合估价对象的实际情况，按照开发费用（建造成本、土地开发费、城市基础设施建设费）的</w:t>
      </w:r>
      <w:r>
        <w:rPr>
          <w:rFonts w:ascii="Arial" w:eastAsia="仿宋" w:hAnsi="Arial" w:cs="Arial"/>
          <w:sz w:val="28"/>
          <w:szCs w:val="28"/>
        </w:rPr>
        <w:t>3%</w:t>
      </w:r>
      <w:r>
        <w:rPr>
          <w:rFonts w:ascii="Arial" w:eastAsia="仿宋" w:hAnsi="Arial" w:cs="Arial"/>
          <w:sz w:val="28"/>
          <w:szCs w:val="28"/>
        </w:rPr>
        <w:t>计算，则有：</w:t>
      </w:r>
      <w:bookmarkEnd w:id="372"/>
    </w:p>
    <w:p w14:paraId="4D0E1CDA"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管理费用</w:t>
      </w:r>
    </w:p>
    <w:p w14:paraId="3175C079"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19.8608+0.1560+0.7410</w:t>
      </w:r>
      <w:r>
        <w:rPr>
          <w:rFonts w:ascii="Arial" w:eastAsia="仿宋" w:hAnsi="Arial" w:cs="Arial"/>
          <w:sz w:val="28"/>
          <w:szCs w:val="28"/>
        </w:rPr>
        <w:t>）</w:t>
      </w:r>
      <w:r>
        <w:rPr>
          <w:rFonts w:ascii="Arial" w:eastAsia="仿宋" w:hAnsi="Arial" w:cs="Arial"/>
          <w:sz w:val="28"/>
          <w:szCs w:val="28"/>
        </w:rPr>
        <w:t>×3%</w:t>
      </w:r>
      <w:bookmarkStart w:id="373" w:name="_Toc531701611"/>
    </w:p>
    <w:p w14:paraId="0D659D4E"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0.6227</w:t>
      </w:r>
      <w:r>
        <w:rPr>
          <w:rFonts w:ascii="Arial" w:eastAsia="仿宋" w:hAnsi="Arial" w:cs="Arial"/>
          <w:sz w:val="28"/>
          <w:szCs w:val="28"/>
        </w:rPr>
        <w:t>（万元）</w:t>
      </w:r>
      <w:bookmarkEnd w:id="373"/>
    </w:p>
    <w:p w14:paraId="0E50676C" w14:textId="77777777" w:rsidR="0062768B" w:rsidRDefault="00136729">
      <w:pPr>
        <w:spacing w:before="50" w:after="50" w:line="300" w:lineRule="auto"/>
        <w:ind w:firstLineChars="201" w:firstLine="563"/>
        <w:rPr>
          <w:rFonts w:ascii="Arial" w:eastAsia="仿宋" w:hAnsi="Arial" w:cs="Arial"/>
          <w:sz w:val="28"/>
          <w:szCs w:val="28"/>
        </w:rPr>
      </w:pPr>
      <w:r>
        <w:rPr>
          <w:rFonts w:ascii="Arial" w:eastAsia="仿宋" w:hAnsi="Arial" w:cs="Arial"/>
          <w:sz w:val="28"/>
          <w:szCs w:val="28"/>
        </w:rPr>
        <w:t>e.</w:t>
      </w:r>
      <w:r>
        <w:rPr>
          <w:rFonts w:ascii="Arial" w:eastAsia="仿宋" w:hAnsi="Arial" w:cs="Arial"/>
          <w:sz w:val="28"/>
          <w:szCs w:val="28"/>
        </w:rPr>
        <w:t>销售费用</w:t>
      </w:r>
    </w:p>
    <w:p w14:paraId="3D9C428C" w14:textId="77777777" w:rsidR="0062768B" w:rsidRDefault="00136729">
      <w:pPr>
        <w:spacing w:before="50" w:after="50" w:line="300" w:lineRule="auto"/>
        <w:ind w:firstLineChars="201" w:firstLine="563"/>
        <w:rPr>
          <w:rFonts w:ascii="Arial" w:eastAsia="仿宋" w:hAnsi="Arial" w:cs="Arial"/>
          <w:sz w:val="28"/>
          <w:szCs w:val="28"/>
        </w:rPr>
      </w:pPr>
      <w:r>
        <w:rPr>
          <w:rFonts w:ascii="Arial" w:eastAsia="仿宋" w:hAnsi="Arial" w:cs="Arial"/>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 w:hAnsi="Arial" w:cs="Arial"/>
          <w:sz w:val="28"/>
          <w:szCs w:val="28"/>
        </w:rPr>
        <w:t>4.0%</w:t>
      </w:r>
      <w:r>
        <w:rPr>
          <w:rFonts w:ascii="Arial" w:eastAsia="仿宋" w:hAnsi="Arial" w:cs="Arial"/>
          <w:sz w:val="28"/>
          <w:szCs w:val="28"/>
        </w:rPr>
        <w:t>计算。</w:t>
      </w:r>
    </w:p>
    <w:p w14:paraId="2EB1C40F" w14:textId="77777777" w:rsidR="0062768B" w:rsidRDefault="00136729">
      <w:pPr>
        <w:spacing w:before="50" w:after="50" w:line="300" w:lineRule="auto"/>
        <w:ind w:firstLineChars="201" w:firstLine="563"/>
        <w:rPr>
          <w:rFonts w:ascii="Arial" w:eastAsia="仿宋" w:hAnsi="Arial" w:cs="Arial"/>
          <w:sz w:val="28"/>
          <w:szCs w:val="28"/>
        </w:rPr>
      </w:pPr>
      <w:r>
        <w:rPr>
          <w:rFonts w:ascii="Arial" w:eastAsia="仿宋" w:hAnsi="Arial" w:cs="Arial"/>
          <w:sz w:val="28"/>
          <w:szCs w:val="28"/>
        </w:rPr>
        <w:t>销售费用＝</w:t>
      </w:r>
      <w:r>
        <w:rPr>
          <w:rFonts w:ascii="Arial" w:eastAsia="仿宋" w:hAnsi="Arial" w:cs="Arial"/>
          <w:sz w:val="28"/>
          <w:szCs w:val="28"/>
        </w:rPr>
        <w:t>85.8780×4.0%</w:t>
      </w:r>
    </w:p>
    <w:p w14:paraId="74BB4D10" w14:textId="77777777" w:rsidR="0062768B" w:rsidRDefault="00136729">
      <w:pPr>
        <w:spacing w:before="50" w:after="50" w:line="300" w:lineRule="auto"/>
        <w:ind w:firstLineChars="600" w:firstLine="1680"/>
        <w:rPr>
          <w:rFonts w:ascii="Arial" w:eastAsia="仿宋" w:hAnsi="Arial" w:cs="Arial"/>
          <w:sz w:val="28"/>
          <w:szCs w:val="28"/>
        </w:rPr>
      </w:pPr>
      <w:r>
        <w:rPr>
          <w:rFonts w:ascii="Arial" w:eastAsia="仿宋" w:hAnsi="Arial" w:cs="Arial"/>
          <w:sz w:val="28"/>
          <w:szCs w:val="28"/>
        </w:rPr>
        <w:lastRenderedPageBreak/>
        <w:t>＝</w:t>
      </w:r>
      <w:r>
        <w:rPr>
          <w:rFonts w:ascii="Arial" w:eastAsia="仿宋" w:hAnsi="Arial" w:cs="Arial"/>
          <w:sz w:val="28"/>
          <w:szCs w:val="28"/>
        </w:rPr>
        <w:t>3.4351</w:t>
      </w:r>
      <w:r>
        <w:rPr>
          <w:rFonts w:ascii="Arial" w:eastAsia="仿宋" w:hAnsi="Arial" w:cs="Arial"/>
          <w:sz w:val="28"/>
          <w:szCs w:val="28"/>
        </w:rPr>
        <w:t>（万元）</w:t>
      </w:r>
    </w:p>
    <w:p w14:paraId="508841F1"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f.</w:t>
      </w:r>
      <w:r>
        <w:rPr>
          <w:rFonts w:ascii="Arial" w:eastAsia="仿宋" w:hAnsi="Arial" w:cs="Arial"/>
          <w:sz w:val="28"/>
          <w:szCs w:val="28"/>
        </w:rPr>
        <w:t>购地税费</w:t>
      </w:r>
    </w:p>
    <w:p w14:paraId="1656A062"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假设土地价格为</w:t>
      </w:r>
      <w:r>
        <w:rPr>
          <w:rFonts w:ascii="Arial" w:eastAsia="仿宋" w:hAnsi="Arial" w:cs="Arial"/>
          <w:sz w:val="28"/>
          <w:szCs w:val="28"/>
        </w:rPr>
        <w:t>P</w:t>
      </w:r>
      <w:r>
        <w:rPr>
          <w:rFonts w:ascii="Arial" w:eastAsia="仿宋" w:hAnsi="Arial" w:cs="Arial"/>
          <w:sz w:val="28"/>
          <w:szCs w:val="28"/>
          <w:vertAlign w:val="subscript"/>
        </w:rPr>
        <w:t>土</w:t>
      </w:r>
      <w:r>
        <w:rPr>
          <w:rFonts w:ascii="Arial" w:eastAsia="仿宋" w:hAnsi="Arial" w:cs="Arial"/>
          <w:sz w:val="28"/>
          <w:szCs w:val="28"/>
        </w:rPr>
        <w:t>，买方购买估价对象税费主要为契税及印花税，税率为</w:t>
      </w:r>
      <w:r>
        <w:rPr>
          <w:rFonts w:ascii="Arial" w:eastAsia="仿宋" w:hAnsi="Arial" w:cs="Arial"/>
          <w:sz w:val="28"/>
          <w:szCs w:val="28"/>
        </w:rPr>
        <w:t>3.05%</w:t>
      </w:r>
      <w:r>
        <w:rPr>
          <w:rFonts w:ascii="Arial" w:eastAsia="仿宋" w:hAnsi="Arial" w:cs="Arial"/>
          <w:sz w:val="28"/>
          <w:szCs w:val="28"/>
        </w:rPr>
        <w:t>。则有：</w:t>
      </w:r>
    </w:p>
    <w:p w14:paraId="14537D50"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购地税费＝土地价格</w:t>
      </w:r>
      <w:r>
        <w:rPr>
          <w:rFonts w:ascii="Arial" w:eastAsia="仿宋" w:hAnsi="Arial" w:cs="Arial"/>
          <w:sz w:val="28"/>
          <w:szCs w:val="28"/>
        </w:rPr>
        <w:t>×</w:t>
      </w:r>
      <w:r>
        <w:rPr>
          <w:rFonts w:ascii="Arial" w:eastAsia="仿宋" w:hAnsi="Arial" w:cs="Arial"/>
          <w:sz w:val="28"/>
          <w:szCs w:val="28"/>
        </w:rPr>
        <w:t>税率</w:t>
      </w:r>
    </w:p>
    <w:p w14:paraId="61FB11E5" w14:textId="77777777" w:rsidR="0062768B" w:rsidRDefault="00136729">
      <w:pPr>
        <w:spacing w:before="50" w:after="50" w:line="300" w:lineRule="auto"/>
        <w:ind w:firstLineChars="600" w:firstLine="168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P</w:t>
      </w:r>
      <w:r>
        <w:rPr>
          <w:rFonts w:ascii="Arial" w:eastAsia="仿宋" w:hAnsi="Arial" w:cs="Arial"/>
          <w:sz w:val="28"/>
          <w:szCs w:val="28"/>
          <w:vertAlign w:val="subscript"/>
        </w:rPr>
        <w:t>土</w:t>
      </w:r>
      <w:r>
        <w:rPr>
          <w:rFonts w:ascii="Arial" w:eastAsia="仿宋" w:hAnsi="Arial" w:cs="Arial"/>
          <w:sz w:val="28"/>
          <w:szCs w:val="28"/>
        </w:rPr>
        <w:t>×0.0305</w:t>
      </w:r>
      <w:r>
        <w:rPr>
          <w:rFonts w:ascii="Arial" w:eastAsia="仿宋" w:hAnsi="Arial" w:cs="Arial"/>
          <w:sz w:val="28"/>
          <w:szCs w:val="28"/>
        </w:rPr>
        <w:t>（万元）</w:t>
      </w:r>
    </w:p>
    <w:p w14:paraId="77EA61FE"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g.</w:t>
      </w:r>
      <w:r>
        <w:rPr>
          <w:rFonts w:ascii="Arial" w:eastAsia="仿宋" w:hAnsi="Arial" w:cs="Arial"/>
          <w:sz w:val="28"/>
          <w:szCs w:val="28"/>
        </w:rPr>
        <w:t>贷款利息</w:t>
      </w:r>
    </w:p>
    <w:p w14:paraId="75BE4B60"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估价对象建筑物建设期为</w:t>
      </w:r>
      <w:r>
        <w:rPr>
          <w:rFonts w:ascii="Arial" w:eastAsia="仿宋" w:hAnsi="Arial" w:cs="Arial"/>
          <w:sz w:val="28"/>
          <w:szCs w:val="28"/>
        </w:rPr>
        <w:t>2.5</w:t>
      </w:r>
      <w:r>
        <w:rPr>
          <w:rFonts w:ascii="Arial" w:eastAsia="仿宋" w:hAnsi="Arial" w:cs="Arial"/>
          <w:sz w:val="28"/>
          <w:szCs w:val="28"/>
        </w:rPr>
        <w:t>年。估价对象土地价格（</w:t>
      </w:r>
      <w:r>
        <w:rPr>
          <w:rFonts w:ascii="Arial" w:eastAsia="仿宋" w:hAnsi="Arial" w:cs="Arial"/>
          <w:sz w:val="28"/>
          <w:szCs w:val="28"/>
        </w:rPr>
        <w:t>P</w:t>
      </w:r>
      <w:r>
        <w:rPr>
          <w:rFonts w:ascii="Arial" w:eastAsia="仿宋" w:hAnsi="Arial" w:cs="Arial"/>
          <w:sz w:val="28"/>
          <w:szCs w:val="28"/>
          <w:vertAlign w:val="subscript"/>
        </w:rPr>
        <w:t>土</w:t>
      </w:r>
      <w:r>
        <w:rPr>
          <w:rFonts w:ascii="Arial" w:eastAsia="仿宋" w:hAnsi="Arial" w:cs="Arial"/>
          <w:sz w:val="28"/>
          <w:szCs w:val="28"/>
        </w:rPr>
        <w:t>）及购地税费在估价期日一次性付清，建造成本、土地开发费、管理费用、销售费用于建设期内均匀投入，取</w:t>
      </w:r>
      <w:r>
        <w:rPr>
          <w:rFonts w:ascii="Arial" w:eastAsia="仿宋" w:hAnsi="Arial" w:cs="Arial"/>
          <w:sz w:val="28"/>
          <w:szCs w:val="28"/>
        </w:rPr>
        <w:t>1</w:t>
      </w:r>
      <w:r>
        <w:rPr>
          <w:rFonts w:ascii="Arial" w:eastAsia="仿宋" w:hAnsi="Arial" w:cs="Arial"/>
          <w:sz w:val="28"/>
          <w:szCs w:val="28"/>
        </w:rPr>
        <w:t>～</w:t>
      </w:r>
      <w:r>
        <w:rPr>
          <w:rFonts w:ascii="Arial" w:eastAsia="仿宋" w:hAnsi="Arial" w:cs="Arial"/>
          <w:sz w:val="28"/>
          <w:szCs w:val="28"/>
        </w:rPr>
        <w:t>3</w:t>
      </w:r>
      <w:r>
        <w:rPr>
          <w:rFonts w:ascii="Arial" w:eastAsia="仿宋" w:hAnsi="Arial" w:cs="Arial"/>
          <w:sz w:val="28"/>
          <w:szCs w:val="28"/>
        </w:rPr>
        <w:t>年期固定资产贷款年利息率</w:t>
      </w:r>
      <w:r>
        <w:rPr>
          <w:rFonts w:ascii="Arial" w:eastAsia="仿宋" w:hAnsi="Arial" w:cs="Arial"/>
          <w:sz w:val="28"/>
          <w:szCs w:val="28"/>
        </w:rPr>
        <w:t>4.75%</w:t>
      </w:r>
      <w:r>
        <w:rPr>
          <w:rFonts w:ascii="Arial" w:eastAsia="仿宋" w:hAnsi="Arial" w:cs="Arial"/>
          <w:sz w:val="28"/>
          <w:szCs w:val="28"/>
        </w:rPr>
        <w:t>，以复利计息。则有：</w:t>
      </w:r>
    </w:p>
    <w:p w14:paraId="205E96B1"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贷款利息</w:t>
      </w:r>
    </w:p>
    <w:p w14:paraId="67C7BEAB"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 P</w:t>
      </w:r>
      <w:r>
        <w:rPr>
          <w:rFonts w:ascii="Arial" w:eastAsia="仿宋" w:hAnsi="Arial" w:cs="Arial"/>
          <w:sz w:val="28"/>
          <w:szCs w:val="28"/>
          <w:vertAlign w:val="subscript"/>
        </w:rPr>
        <w:t>土</w:t>
      </w:r>
      <w:r>
        <w:rPr>
          <w:rFonts w:ascii="Arial" w:eastAsia="仿宋" w:hAnsi="Arial" w:cs="Arial"/>
          <w:sz w:val="28"/>
          <w:szCs w:val="28"/>
        </w:rPr>
        <w:t>+P</w:t>
      </w:r>
      <w:r>
        <w:rPr>
          <w:rFonts w:ascii="Arial" w:eastAsia="仿宋" w:hAnsi="Arial" w:cs="Arial"/>
          <w:sz w:val="28"/>
          <w:szCs w:val="28"/>
          <w:vertAlign w:val="subscript"/>
        </w:rPr>
        <w:t>土</w:t>
      </w:r>
      <w:r>
        <w:rPr>
          <w:rFonts w:ascii="Arial" w:eastAsia="仿宋" w:hAnsi="Arial" w:cs="Arial"/>
          <w:sz w:val="28"/>
          <w:szCs w:val="28"/>
        </w:rPr>
        <w:t>×0.0305)×[(1+4.75%)</w:t>
      </w:r>
      <w:r>
        <w:rPr>
          <w:rFonts w:ascii="Arial" w:eastAsia="仿宋" w:hAnsi="Arial" w:cs="Arial"/>
          <w:sz w:val="28"/>
          <w:szCs w:val="28"/>
          <w:vertAlign w:val="superscript"/>
        </w:rPr>
        <w:t>2.5</w:t>
      </w:r>
      <w:r>
        <w:rPr>
          <w:rFonts w:ascii="Arial" w:eastAsia="仿宋" w:hAnsi="Arial" w:cs="Arial"/>
          <w:sz w:val="28"/>
          <w:szCs w:val="28"/>
        </w:rPr>
        <w:t>-1]+(</w:t>
      </w:r>
      <w:r>
        <w:rPr>
          <w:rFonts w:ascii="Arial" w:hAnsi="Arial" w:cs="Arial"/>
        </w:rPr>
        <w:t xml:space="preserve"> </w:t>
      </w:r>
      <w:r>
        <w:rPr>
          <w:rFonts w:ascii="Arial" w:eastAsia="仿宋" w:hAnsi="Arial" w:cs="Arial"/>
          <w:sz w:val="28"/>
          <w:szCs w:val="28"/>
        </w:rPr>
        <w:t>19.8608 +</w:t>
      </w:r>
      <w:r>
        <w:rPr>
          <w:rFonts w:ascii="Arial" w:hAnsi="Arial" w:cs="Arial"/>
        </w:rPr>
        <w:t xml:space="preserve"> </w:t>
      </w:r>
      <w:r>
        <w:rPr>
          <w:rFonts w:ascii="Arial" w:eastAsia="仿宋" w:hAnsi="Arial" w:cs="Arial"/>
          <w:sz w:val="28"/>
          <w:szCs w:val="28"/>
        </w:rPr>
        <w:t>0.1560 +</w:t>
      </w:r>
      <w:r>
        <w:rPr>
          <w:rFonts w:ascii="Arial" w:hAnsi="Arial" w:cs="Arial"/>
        </w:rPr>
        <w:t xml:space="preserve"> </w:t>
      </w:r>
      <w:r>
        <w:rPr>
          <w:rFonts w:ascii="Arial" w:eastAsia="仿宋" w:hAnsi="Arial" w:cs="Arial"/>
          <w:sz w:val="28"/>
          <w:szCs w:val="28"/>
        </w:rPr>
        <w:t>0.7410 +</w:t>
      </w:r>
      <w:r>
        <w:rPr>
          <w:rFonts w:ascii="Arial" w:hAnsi="Arial" w:cs="Arial"/>
        </w:rPr>
        <w:t xml:space="preserve"> </w:t>
      </w:r>
      <w:r>
        <w:rPr>
          <w:rFonts w:ascii="Arial" w:eastAsia="仿宋" w:hAnsi="Arial" w:cs="Arial"/>
          <w:sz w:val="28"/>
          <w:szCs w:val="28"/>
        </w:rPr>
        <w:t>0.6227 +</w:t>
      </w:r>
      <w:r>
        <w:rPr>
          <w:rFonts w:ascii="Arial" w:hAnsi="Arial" w:cs="Arial"/>
        </w:rPr>
        <w:t xml:space="preserve"> </w:t>
      </w:r>
      <w:r>
        <w:rPr>
          <w:rFonts w:ascii="Arial" w:eastAsia="仿宋" w:hAnsi="Arial" w:cs="Arial"/>
          <w:sz w:val="28"/>
          <w:szCs w:val="28"/>
        </w:rPr>
        <w:t>3.4351)×[(1+4.75%)</w:t>
      </w:r>
      <w:r>
        <w:rPr>
          <w:rFonts w:ascii="Arial" w:eastAsia="仿宋" w:hAnsi="Arial" w:cs="Arial"/>
          <w:sz w:val="28"/>
          <w:szCs w:val="28"/>
          <w:vertAlign w:val="superscript"/>
        </w:rPr>
        <w:t>（</w:t>
      </w:r>
      <w:r>
        <w:rPr>
          <w:rFonts w:ascii="Arial" w:eastAsia="仿宋" w:hAnsi="Arial" w:cs="Arial"/>
          <w:sz w:val="28"/>
          <w:szCs w:val="28"/>
          <w:vertAlign w:val="superscript"/>
        </w:rPr>
        <w:t>2.5÷2</w:t>
      </w:r>
      <w:r>
        <w:rPr>
          <w:rFonts w:ascii="Arial" w:eastAsia="仿宋" w:hAnsi="Arial" w:cs="Arial"/>
          <w:sz w:val="28"/>
          <w:szCs w:val="28"/>
          <w:vertAlign w:val="superscript"/>
        </w:rPr>
        <w:t>）</w:t>
      </w:r>
      <w:r>
        <w:rPr>
          <w:rFonts w:ascii="Arial" w:eastAsia="仿宋" w:hAnsi="Arial" w:cs="Arial"/>
          <w:sz w:val="28"/>
          <w:szCs w:val="28"/>
        </w:rPr>
        <w:t xml:space="preserve">-1] </w:t>
      </w:r>
    </w:p>
    <w:p w14:paraId="74EA9310"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1.4821+</w:t>
      </w:r>
      <w:r>
        <w:rPr>
          <w:rFonts w:ascii="Arial" w:hAnsi="Arial" w:cs="Arial"/>
        </w:rPr>
        <w:t xml:space="preserve"> </w:t>
      </w:r>
      <w:r>
        <w:rPr>
          <w:rFonts w:ascii="Arial" w:eastAsia="仿宋" w:hAnsi="Arial" w:cs="Arial"/>
          <w:sz w:val="28"/>
          <w:szCs w:val="28"/>
        </w:rPr>
        <w:t>0.1268×P</w:t>
      </w:r>
      <w:r>
        <w:rPr>
          <w:rFonts w:ascii="Arial" w:eastAsia="仿宋" w:hAnsi="Arial" w:cs="Arial"/>
          <w:sz w:val="28"/>
          <w:szCs w:val="28"/>
          <w:vertAlign w:val="subscript"/>
        </w:rPr>
        <w:t>土</w:t>
      </w:r>
      <w:r>
        <w:rPr>
          <w:rFonts w:ascii="Arial" w:eastAsia="仿宋" w:hAnsi="Arial" w:cs="Arial"/>
          <w:sz w:val="28"/>
          <w:szCs w:val="28"/>
        </w:rPr>
        <w:t>(</w:t>
      </w:r>
      <w:r>
        <w:rPr>
          <w:rFonts w:ascii="Arial" w:eastAsia="仿宋" w:hAnsi="Arial" w:cs="Arial"/>
          <w:sz w:val="28"/>
          <w:szCs w:val="28"/>
        </w:rPr>
        <w:t>万元</w:t>
      </w:r>
      <w:r>
        <w:rPr>
          <w:rFonts w:ascii="Arial" w:eastAsia="仿宋" w:hAnsi="Arial" w:cs="Arial"/>
          <w:sz w:val="28"/>
          <w:szCs w:val="28"/>
        </w:rPr>
        <w:t>)</w:t>
      </w:r>
    </w:p>
    <w:p w14:paraId="6618D10F"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h.</w:t>
      </w:r>
      <w:r>
        <w:rPr>
          <w:rFonts w:ascii="Arial" w:eastAsia="仿宋" w:hAnsi="Arial" w:cs="Arial"/>
          <w:sz w:val="28"/>
          <w:szCs w:val="28"/>
        </w:rPr>
        <w:t>销售税费</w:t>
      </w:r>
      <w:r>
        <w:rPr>
          <w:rFonts w:ascii="Arial" w:eastAsia="仿宋" w:hAnsi="Arial" w:cs="Arial"/>
          <w:sz w:val="28"/>
          <w:szCs w:val="28"/>
        </w:rPr>
        <w:tab/>
      </w:r>
    </w:p>
    <w:p w14:paraId="61191D37"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Pr>
          <w:rFonts w:ascii="Arial" w:eastAsia="仿宋" w:hAnsi="Arial" w:cs="Arial"/>
          <w:sz w:val="28"/>
          <w:szCs w:val="28"/>
        </w:rPr>
        <w:t>5.5%</w:t>
      </w:r>
      <w:r>
        <w:rPr>
          <w:rFonts w:ascii="Arial" w:eastAsia="仿宋" w:hAnsi="Arial" w:cs="Arial"/>
          <w:sz w:val="28"/>
          <w:szCs w:val="28"/>
        </w:rPr>
        <w:t>（其中增值税征收率为</w:t>
      </w:r>
      <w:r>
        <w:rPr>
          <w:rFonts w:ascii="Arial" w:eastAsia="仿宋" w:hAnsi="Arial" w:cs="Arial"/>
          <w:sz w:val="28"/>
          <w:szCs w:val="28"/>
        </w:rPr>
        <w:t>5%</w:t>
      </w:r>
      <w:r>
        <w:rPr>
          <w:rFonts w:ascii="Arial" w:eastAsia="仿宋" w:hAnsi="Arial" w:cs="Arial"/>
          <w:sz w:val="28"/>
          <w:szCs w:val="28"/>
        </w:rPr>
        <w:t>，附加税费为</w:t>
      </w:r>
      <w:r>
        <w:rPr>
          <w:rFonts w:ascii="Arial" w:eastAsia="仿宋" w:hAnsi="Arial" w:cs="Arial"/>
          <w:sz w:val="28"/>
          <w:szCs w:val="28"/>
        </w:rPr>
        <w:t>0.5%</w:t>
      </w:r>
      <w:r>
        <w:rPr>
          <w:rFonts w:ascii="Arial" w:eastAsia="仿宋" w:hAnsi="Arial" w:cs="Arial"/>
          <w:sz w:val="28"/>
          <w:szCs w:val="28"/>
        </w:rPr>
        <w:t>）。则有：</w:t>
      </w:r>
    </w:p>
    <w:p w14:paraId="1B82AEFC"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销售税费＝</w:t>
      </w:r>
      <w:r>
        <w:rPr>
          <w:rFonts w:ascii="Arial" w:eastAsia="仿宋" w:hAnsi="Arial" w:cs="Arial"/>
          <w:sz w:val="28"/>
          <w:szCs w:val="28"/>
        </w:rPr>
        <w:t>85.8780÷</w:t>
      </w:r>
      <w:r>
        <w:rPr>
          <w:rFonts w:ascii="Arial" w:eastAsia="仿宋" w:hAnsi="Arial" w:cs="Arial"/>
          <w:sz w:val="28"/>
          <w:szCs w:val="28"/>
        </w:rPr>
        <w:t>（</w:t>
      </w:r>
      <w:r>
        <w:rPr>
          <w:rFonts w:ascii="Arial" w:eastAsia="仿宋" w:hAnsi="Arial" w:cs="Arial"/>
          <w:sz w:val="28"/>
          <w:szCs w:val="28"/>
        </w:rPr>
        <w:t>1+5%</w:t>
      </w:r>
      <w:r>
        <w:rPr>
          <w:rFonts w:ascii="Arial" w:eastAsia="仿宋" w:hAnsi="Arial" w:cs="Arial"/>
          <w:sz w:val="28"/>
          <w:szCs w:val="28"/>
        </w:rPr>
        <w:t>）</w:t>
      </w:r>
      <w:r>
        <w:rPr>
          <w:rFonts w:ascii="Arial" w:eastAsia="仿宋" w:hAnsi="Arial" w:cs="Arial"/>
          <w:sz w:val="28"/>
          <w:szCs w:val="28"/>
        </w:rPr>
        <w:t>×5.5%</w:t>
      </w:r>
      <w:r>
        <w:rPr>
          <w:rFonts w:ascii="Arial" w:eastAsia="仿宋" w:hAnsi="Arial" w:cs="Arial"/>
          <w:sz w:val="28"/>
          <w:szCs w:val="28"/>
        </w:rPr>
        <w:t>＝</w:t>
      </w:r>
      <w:r>
        <w:rPr>
          <w:rFonts w:ascii="Arial" w:eastAsia="仿宋" w:hAnsi="Arial" w:cs="Arial"/>
          <w:sz w:val="28"/>
          <w:szCs w:val="28"/>
        </w:rPr>
        <w:t>4.4984</w:t>
      </w:r>
      <w:r>
        <w:rPr>
          <w:rFonts w:ascii="Arial" w:eastAsia="仿宋" w:hAnsi="Arial" w:cs="Arial"/>
          <w:sz w:val="28"/>
          <w:szCs w:val="28"/>
        </w:rPr>
        <w:t>（万元）</w:t>
      </w:r>
    </w:p>
    <w:p w14:paraId="7F7FB184"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i.</w:t>
      </w:r>
      <w:r>
        <w:rPr>
          <w:rFonts w:ascii="Arial" w:eastAsia="仿宋" w:hAnsi="Arial" w:cs="Arial"/>
          <w:sz w:val="28"/>
          <w:szCs w:val="28"/>
        </w:rPr>
        <w:t>开发成本</w:t>
      </w:r>
    </w:p>
    <w:p w14:paraId="60CA0917"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开发成本为上述</w:t>
      </w:r>
      <w:r>
        <w:rPr>
          <w:rFonts w:ascii="Arial" w:eastAsia="仿宋" w:hAnsi="Arial" w:cs="Arial"/>
          <w:sz w:val="28"/>
          <w:szCs w:val="28"/>
        </w:rPr>
        <w:t>8</w:t>
      </w:r>
      <w:r>
        <w:rPr>
          <w:rFonts w:ascii="Arial" w:eastAsia="仿宋" w:hAnsi="Arial" w:cs="Arial"/>
          <w:sz w:val="28"/>
          <w:szCs w:val="28"/>
        </w:rPr>
        <w:t>项合计，则有：</w:t>
      </w:r>
    </w:p>
    <w:p w14:paraId="41CBA62D"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开发成本＝</w:t>
      </w:r>
      <w:r>
        <w:rPr>
          <w:rFonts w:ascii="Arial" w:eastAsia="仿宋" w:hAnsi="Arial" w:cs="Arial"/>
          <w:sz w:val="28"/>
          <w:szCs w:val="28"/>
        </w:rPr>
        <w:t>19.8608+</w:t>
      </w:r>
      <w:r>
        <w:rPr>
          <w:rFonts w:ascii="Arial" w:hAnsi="Arial" w:cs="Arial"/>
        </w:rPr>
        <w:t xml:space="preserve"> </w:t>
      </w:r>
      <w:r>
        <w:rPr>
          <w:rFonts w:ascii="Arial" w:eastAsia="仿宋" w:hAnsi="Arial" w:cs="Arial"/>
          <w:sz w:val="28"/>
          <w:szCs w:val="28"/>
        </w:rPr>
        <w:t>0.1560+</w:t>
      </w:r>
      <w:r>
        <w:rPr>
          <w:rFonts w:ascii="Arial" w:hAnsi="Arial" w:cs="Arial"/>
        </w:rPr>
        <w:t xml:space="preserve"> </w:t>
      </w:r>
      <w:r>
        <w:rPr>
          <w:rFonts w:ascii="Arial" w:eastAsia="仿宋" w:hAnsi="Arial" w:cs="Arial"/>
          <w:sz w:val="28"/>
          <w:szCs w:val="28"/>
        </w:rPr>
        <w:t>0.7410+</w:t>
      </w:r>
      <w:r>
        <w:rPr>
          <w:rFonts w:ascii="Arial" w:hAnsi="Arial" w:cs="Arial"/>
        </w:rPr>
        <w:t xml:space="preserve"> </w:t>
      </w:r>
      <w:r>
        <w:rPr>
          <w:rFonts w:ascii="Arial" w:eastAsia="仿宋" w:hAnsi="Arial" w:cs="Arial"/>
          <w:sz w:val="28"/>
          <w:szCs w:val="28"/>
        </w:rPr>
        <w:t>0.6227+</w:t>
      </w:r>
      <w:r>
        <w:rPr>
          <w:rFonts w:ascii="Arial" w:hAnsi="Arial" w:cs="Arial"/>
        </w:rPr>
        <w:t xml:space="preserve"> </w:t>
      </w:r>
      <w:r>
        <w:rPr>
          <w:rFonts w:ascii="Arial" w:eastAsia="仿宋" w:hAnsi="Arial" w:cs="Arial"/>
          <w:sz w:val="28"/>
          <w:szCs w:val="28"/>
        </w:rPr>
        <w:t>3.4351+ P</w:t>
      </w:r>
      <w:r>
        <w:rPr>
          <w:rFonts w:ascii="Arial" w:eastAsia="仿宋" w:hAnsi="Arial" w:cs="Arial"/>
          <w:sz w:val="28"/>
          <w:szCs w:val="28"/>
          <w:vertAlign w:val="subscript"/>
        </w:rPr>
        <w:t>土</w:t>
      </w:r>
      <w:r>
        <w:rPr>
          <w:rFonts w:ascii="Arial" w:eastAsia="仿宋" w:hAnsi="Arial" w:cs="Arial"/>
          <w:sz w:val="28"/>
          <w:szCs w:val="28"/>
        </w:rPr>
        <w:t>×0.0305+1.5207+0.1268×P</w:t>
      </w:r>
      <w:r>
        <w:rPr>
          <w:rFonts w:ascii="Arial" w:eastAsia="仿宋" w:hAnsi="Arial" w:cs="Arial"/>
          <w:sz w:val="28"/>
          <w:szCs w:val="28"/>
          <w:vertAlign w:val="subscript"/>
        </w:rPr>
        <w:t>土</w:t>
      </w:r>
      <w:r>
        <w:rPr>
          <w:rFonts w:ascii="Arial" w:eastAsia="仿宋" w:hAnsi="Arial" w:cs="Arial"/>
          <w:sz w:val="28"/>
          <w:szCs w:val="28"/>
        </w:rPr>
        <w:t>+</w:t>
      </w:r>
      <w:r>
        <w:rPr>
          <w:rFonts w:ascii="Arial" w:hAnsi="Arial" w:cs="Arial"/>
        </w:rPr>
        <w:t xml:space="preserve"> </w:t>
      </w:r>
      <w:r>
        <w:rPr>
          <w:rFonts w:ascii="Arial" w:eastAsia="仿宋" w:hAnsi="Arial" w:cs="Arial"/>
          <w:sz w:val="28"/>
          <w:szCs w:val="28"/>
        </w:rPr>
        <w:t>4.4984</w:t>
      </w:r>
    </w:p>
    <w:p w14:paraId="3CB2D8A0"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30.7961+</w:t>
      </w:r>
      <w:r>
        <w:rPr>
          <w:rFonts w:ascii="Arial" w:hAnsi="Arial" w:cs="Arial"/>
        </w:rPr>
        <w:t xml:space="preserve"> </w:t>
      </w:r>
      <w:r>
        <w:rPr>
          <w:rFonts w:ascii="Arial" w:eastAsia="仿宋" w:hAnsi="Arial" w:cs="Arial"/>
          <w:sz w:val="28"/>
          <w:szCs w:val="28"/>
        </w:rPr>
        <w:t>0.1573×P</w:t>
      </w:r>
      <w:r>
        <w:rPr>
          <w:rFonts w:ascii="Arial" w:eastAsia="仿宋" w:hAnsi="Arial" w:cs="Arial"/>
          <w:sz w:val="28"/>
          <w:szCs w:val="28"/>
          <w:vertAlign w:val="subscript"/>
        </w:rPr>
        <w:t>土</w:t>
      </w:r>
      <w:r>
        <w:rPr>
          <w:rFonts w:ascii="Arial" w:eastAsia="仿宋" w:hAnsi="Arial" w:cs="Arial"/>
          <w:sz w:val="28"/>
          <w:szCs w:val="28"/>
        </w:rPr>
        <w:t>（万元）</w:t>
      </w:r>
    </w:p>
    <w:p w14:paraId="342D4885"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D.</w:t>
      </w:r>
      <w:r>
        <w:rPr>
          <w:rFonts w:ascii="Arial" w:eastAsia="仿宋" w:hAnsi="Arial" w:cs="Arial"/>
          <w:sz w:val="28"/>
          <w:szCs w:val="28"/>
        </w:rPr>
        <w:t>开发利润（投资利润）</w:t>
      </w:r>
    </w:p>
    <w:p w14:paraId="4843DA5A"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开发利润是指房地产开发商投资房地产开发项目应取得的资金报酬及</w:t>
      </w:r>
      <w:r>
        <w:rPr>
          <w:rFonts w:ascii="Arial" w:eastAsia="仿宋" w:hAnsi="Arial" w:cs="Arial"/>
          <w:sz w:val="28"/>
          <w:szCs w:val="28"/>
        </w:rPr>
        <w:lastRenderedPageBreak/>
        <w:t>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14:paraId="6E1C85D6"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估价对象为商业用途，位于北京市</w:t>
      </w:r>
      <w:r>
        <w:rPr>
          <w:rFonts w:ascii="Arial" w:eastAsia="仿宋" w:hAnsi="Arial" w:cs="Arial"/>
          <w:sz w:val="28"/>
          <w:szCs w:val="28"/>
          <w:lang w:eastAsia="zh-Hans"/>
        </w:rPr>
        <w:t>顺义</w:t>
      </w:r>
      <w:r>
        <w:rPr>
          <w:rFonts w:ascii="Arial" w:eastAsia="仿宋" w:hAnsi="Arial" w:cs="Arial"/>
          <w:sz w:val="28"/>
          <w:szCs w:val="28"/>
        </w:rPr>
        <w:t>区，根据估价对象的实际情况，本次</w:t>
      </w:r>
      <w:proofErr w:type="gramStart"/>
      <w:r>
        <w:rPr>
          <w:rFonts w:ascii="Arial" w:eastAsia="仿宋" w:hAnsi="Arial" w:cs="Arial"/>
          <w:sz w:val="28"/>
          <w:szCs w:val="28"/>
        </w:rPr>
        <w:t>取项目</w:t>
      </w:r>
      <w:proofErr w:type="gramEnd"/>
      <w:r>
        <w:rPr>
          <w:rFonts w:ascii="Arial" w:eastAsia="仿宋" w:hAnsi="Arial" w:cs="Arial"/>
          <w:sz w:val="28"/>
          <w:szCs w:val="28"/>
        </w:rPr>
        <w:t>商业用途综合利润率为</w:t>
      </w:r>
      <w:r>
        <w:rPr>
          <w:rFonts w:ascii="Arial" w:eastAsia="仿宋" w:hAnsi="Arial" w:cs="Arial"/>
          <w:sz w:val="28"/>
          <w:szCs w:val="28"/>
        </w:rPr>
        <w:t>20%</w:t>
      </w:r>
      <w:r>
        <w:rPr>
          <w:rFonts w:ascii="Arial" w:eastAsia="仿宋" w:hAnsi="Arial" w:cs="Arial"/>
          <w:sz w:val="28"/>
          <w:szCs w:val="28"/>
        </w:rPr>
        <w:t>。计算基数为全部预付资本即：土地购买价格、开发费用（建造成本、土地开发费、城市基础设施建设费）、管理费用、销售费用和</w:t>
      </w:r>
      <w:proofErr w:type="gramStart"/>
      <w:r>
        <w:rPr>
          <w:rFonts w:ascii="Arial" w:eastAsia="仿宋" w:hAnsi="Arial" w:cs="Arial"/>
          <w:sz w:val="28"/>
          <w:szCs w:val="28"/>
        </w:rPr>
        <w:t>购地税</w:t>
      </w:r>
      <w:proofErr w:type="gramEnd"/>
      <w:r>
        <w:rPr>
          <w:rFonts w:ascii="Arial" w:eastAsia="仿宋" w:hAnsi="Arial" w:cs="Arial"/>
          <w:sz w:val="28"/>
          <w:szCs w:val="28"/>
        </w:rPr>
        <w:t>费。则有：</w:t>
      </w:r>
    </w:p>
    <w:p w14:paraId="57474619"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t>开发利润</w:t>
      </w:r>
    </w:p>
    <w:p w14:paraId="64590186"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 P</w:t>
      </w:r>
      <w:r>
        <w:rPr>
          <w:rFonts w:ascii="Arial" w:eastAsia="仿宋" w:hAnsi="Arial" w:cs="Arial"/>
          <w:sz w:val="28"/>
          <w:szCs w:val="28"/>
          <w:vertAlign w:val="subscript"/>
        </w:rPr>
        <w:t>土</w:t>
      </w:r>
      <w:r>
        <w:rPr>
          <w:rFonts w:ascii="Arial" w:eastAsia="仿宋" w:hAnsi="Arial" w:cs="Arial"/>
          <w:sz w:val="28"/>
          <w:szCs w:val="28"/>
        </w:rPr>
        <w:t>+ P</w:t>
      </w:r>
      <w:r>
        <w:rPr>
          <w:rFonts w:ascii="Arial" w:eastAsia="仿宋" w:hAnsi="Arial" w:cs="Arial"/>
          <w:sz w:val="28"/>
          <w:szCs w:val="28"/>
          <w:vertAlign w:val="subscript"/>
        </w:rPr>
        <w:t>土</w:t>
      </w:r>
      <w:r>
        <w:rPr>
          <w:rFonts w:ascii="Arial" w:eastAsia="仿宋" w:hAnsi="Arial" w:cs="Arial"/>
          <w:sz w:val="28"/>
          <w:szCs w:val="28"/>
        </w:rPr>
        <w:t>×0.0305)×20%+</w:t>
      </w:r>
      <w:r>
        <w:rPr>
          <w:rFonts w:ascii="Arial" w:eastAsia="仿宋" w:hAnsi="Arial" w:cs="Arial"/>
          <w:sz w:val="28"/>
          <w:szCs w:val="28"/>
        </w:rPr>
        <w:t>（</w:t>
      </w:r>
      <w:r>
        <w:rPr>
          <w:rFonts w:ascii="Arial" w:eastAsia="仿宋" w:hAnsi="Arial" w:cs="Arial"/>
          <w:sz w:val="28"/>
          <w:szCs w:val="28"/>
        </w:rPr>
        <w:t>19.8608+0.1560+</w:t>
      </w:r>
      <w:r>
        <w:rPr>
          <w:rFonts w:ascii="Arial" w:hAnsi="Arial" w:cs="Arial"/>
        </w:rPr>
        <w:t xml:space="preserve"> </w:t>
      </w:r>
      <w:r>
        <w:rPr>
          <w:rFonts w:ascii="Arial" w:eastAsia="仿宋" w:hAnsi="Arial" w:cs="Arial"/>
          <w:sz w:val="28"/>
          <w:szCs w:val="28"/>
        </w:rPr>
        <w:t>0.7410+</w:t>
      </w:r>
      <w:r>
        <w:rPr>
          <w:rFonts w:ascii="Arial" w:hAnsi="Arial" w:cs="Arial"/>
        </w:rPr>
        <w:t xml:space="preserve"> </w:t>
      </w:r>
      <w:r>
        <w:rPr>
          <w:rFonts w:ascii="Arial" w:eastAsia="仿宋" w:hAnsi="Arial" w:cs="Arial"/>
          <w:sz w:val="28"/>
          <w:szCs w:val="28"/>
        </w:rPr>
        <w:t>0.6227+</w:t>
      </w:r>
      <w:r>
        <w:rPr>
          <w:rFonts w:ascii="Arial" w:hAnsi="Arial" w:cs="Arial"/>
        </w:rPr>
        <w:t xml:space="preserve"> </w:t>
      </w:r>
      <w:r>
        <w:rPr>
          <w:rFonts w:ascii="Arial" w:eastAsia="仿宋" w:hAnsi="Arial" w:cs="Arial"/>
          <w:sz w:val="28"/>
          <w:szCs w:val="28"/>
        </w:rPr>
        <w:t>3.4351</w:t>
      </w:r>
      <w:r>
        <w:rPr>
          <w:rFonts w:ascii="Arial" w:eastAsia="仿宋" w:hAnsi="Arial" w:cs="Arial"/>
          <w:sz w:val="28"/>
          <w:szCs w:val="28"/>
        </w:rPr>
        <w:t>）</w:t>
      </w:r>
      <w:r>
        <w:rPr>
          <w:rFonts w:ascii="Arial" w:eastAsia="仿宋" w:hAnsi="Arial" w:cs="Arial"/>
          <w:sz w:val="28"/>
          <w:szCs w:val="28"/>
        </w:rPr>
        <w:t>×20%</w:t>
      </w:r>
    </w:p>
    <w:p w14:paraId="459C66B8" w14:textId="77777777" w:rsidR="0062768B" w:rsidRDefault="00136729">
      <w:pPr>
        <w:spacing w:before="50" w:after="50" w:line="300" w:lineRule="auto"/>
        <w:ind w:firstLineChars="202" w:firstLine="566"/>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4.9631+0.2061×P</w:t>
      </w:r>
      <w:r>
        <w:rPr>
          <w:rFonts w:ascii="Arial" w:eastAsia="仿宋" w:hAnsi="Arial" w:cs="Arial"/>
          <w:sz w:val="28"/>
          <w:szCs w:val="28"/>
          <w:vertAlign w:val="subscript"/>
        </w:rPr>
        <w:t>土</w:t>
      </w:r>
      <w:r>
        <w:rPr>
          <w:rFonts w:ascii="Arial" w:eastAsia="仿宋" w:hAnsi="Arial" w:cs="Arial"/>
          <w:sz w:val="28"/>
          <w:szCs w:val="28"/>
        </w:rPr>
        <w:t>（万元）</w:t>
      </w:r>
    </w:p>
    <w:p w14:paraId="1C1D700C"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E.</w:t>
      </w:r>
      <w:r>
        <w:rPr>
          <w:rFonts w:ascii="Arial" w:eastAsia="仿宋" w:hAnsi="Arial" w:cs="Arial"/>
          <w:sz w:val="28"/>
          <w:szCs w:val="28"/>
        </w:rPr>
        <w:t>求取估价对象商业用途土地价格</w:t>
      </w:r>
    </w:p>
    <w:p w14:paraId="30602F9D" w14:textId="77777777" w:rsidR="0062768B" w:rsidRDefault="00136729">
      <w:pPr>
        <w:spacing w:before="50" w:after="50" w:line="300" w:lineRule="auto"/>
        <w:ind w:firstLineChars="200" w:firstLine="600"/>
        <w:rPr>
          <w:rFonts w:ascii="Arial" w:eastAsia="仿宋" w:hAnsi="Arial" w:cs="Arial"/>
          <w:spacing w:val="10"/>
          <w:sz w:val="28"/>
          <w:szCs w:val="28"/>
        </w:rPr>
      </w:pPr>
      <w:r>
        <w:rPr>
          <w:rFonts w:ascii="Arial" w:eastAsia="仿宋" w:hAnsi="Arial" w:cs="Arial"/>
          <w:spacing w:val="10"/>
          <w:sz w:val="28"/>
          <w:szCs w:val="28"/>
        </w:rPr>
        <w:t>土地价格（</w:t>
      </w:r>
      <w:r>
        <w:rPr>
          <w:rFonts w:ascii="Arial" w:eastAsia="仿宋" w:hAnsi="Arial" w:cs="Arial"/>
          <w:sz w:val="28"/>
          <w:szCs w:val="28"/>
        </w:rPr>
        <w:t>P</w:t>
      </w:r>
      <w:r>
        <w:rPr>
          <w:rFonts w:ascii="Arial" w:eastAsia="仿宋" w:hAnsi="Arial" w:cs="Arial"/>
          <w:sz w:val="28"/>
          <w:szCs w:val="28"/>
          <w:vertAlign w:val="subscript"/>
        </w:rPr>
        <w:t>土</w:t>
      </w:r>
      <w:r>
        <w:rPr>
          <w:rFonts w:ascii="Arial" w:eastAsia="仿宋" w:hAnsi="Arial" w:cs="Arial"/>
          <w:spacing w:val="10"/>
          <w:sz w:val="28"/>
          <w:szCs w:val="28"/>
        </w:rPr>
        <w:t>）</w:t>
      </w:r>
    </w:p>
    <w:p w14:paraId="750F56CD"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＝开发完成后的不动产总价</w:t>
      </w:r>
      <w:r>
        <w:rPr>
          <w:rFonts w:ascii="Arial" w:eastAsia="仿宋" w:hAnsi="Arial" w:cs="Arial"/>
          <w:sz w:val="28"/>
          <w:szCs w:val="28"/>
        </w:rPr>
        <w:t>-</w:t>
      </w:r>
      <w:r>
        <w:rPr>
          <w:rFonts w:ascii="Arial" w:eastAsia="仿宋" w:hAnsi="Arial" w:cs="Arial"/>
          <w:sz w:val="28"/>
          <w:szCs w:val="28"/>
        </w:rPr>
        <w:t>开发成本</w:t>
      </w:r>
      <w:r>
        <w:rPr>
          <w:rFonts w:ascii="Arial" w:eastAsia="仿宋" w:hAnsi="Arial" w:cs="Arial"/>
          <w:sz w:val="28"/>
          <w:szCs w:val="28"/>
        </w:rPr>
        <w:t>-</w:t>
      </w:r>
      <w:r>
        <w:rPr>
          <w:rFonts w:ascii="Arial" w:eastAsia="仿宋" w:hAnsi="Arial" w:cs="Arial"/>
          <w:sz w:val="28"/>
          <w:szCs w:val="28"/>
        </w:rPr>
        <w:t>开发利润</w:t>
      </w:r>
    </w:p>
    <w:p w14:paraId="6881DC39"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85.8780-(30.7961+0.1573×P</w:t>
      </w:r>
      <w:r>
        <w:rPr>
          <w:rFonts w:ascii="Arial" w:eastAsia="仿宋" w:hAnsi="Arial" w:cs="Arial"/>
          <w:sz w:val="28"/>
          <w:szCs w:val="28"/>
          <w:vertAlign w:val="subscript"/>
        </w:rPr>
        <w:t>土</w:t>
      </w:r>
      <w:r>
        <w:rPr>
          <w:rFonts w:ascii="Arial" w:eastAsia="仿宋" w:hAnsi="Arial" w:cs="Arial"/>
          <w:sz w:val="28"/>
          <w:szCs w:val="28"/>
        </w:rPr>
        <w:t>)-(</w:t>
      </w:r>
      <w:r>
        <w:rPr>
          <w:rFonts w:ascii="Arial" w:hAnsi="Arial" w:cs="Arial"/>
        </w:rPr>
        <w:t xml:space="preserve"> </w:t>
      </w:r>
      <w:r>
        <w:rPr>
          <w:rFonts w:ascii="Arial" w:eastAsia="仿宋" w:hAnsi="Arial" w:cs="Arial"/>
          <w:sz w:val="28"/>
          <w:szCs w:val="28"/>
        </w:rPr>
        <w:t>4.9631+0.2061×P</w:t>
      </w:r>
      <w:r>
        <w:rPr>
          <w:rFonts w:ascii="Arial" w:eastAsia="仿宋" w:hAnsi="Arial" w:cs="Arial"/>
          <w:sz w:val="28"/>
          <w:szCs w:val="28"/>
          <w:vertAlign w:val="subscript"/>
        </w:rPr>
        <w:t>土</w:t>
      </w:r>
      <w:r>
        <w:rPr>
          <w:rFonts w:ascii="Arial" w:eastAsia="仿宋" w:hAnsi="Arial" w:cs="Arial"/>
          <w:sz w:val="28"/>
          <w:szCs w:val="28"/>
        </w:rPr>
        <w:t>)</w:t>
      </w:r>
    </w:p>
    <w:p w14:paraId="58EA6A52"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36.7602</w:t>
      </w:r>
      <w:r>
        <w:rPr>
          <w:rFonts w:ascii="Arial" w:eastAsia="仿宋" w:hAnsi="Arial" w:cs="Arial"/>
          <w:sz w:val="28"/>
          <w:szCs w:val="28"/>
        </w:rPr>
        <w:t>（万元）</w:t>
      </w:r>
    </w:p>
    <w:p w14:paraId="33FDB00B" w14:textId="77777777" w:rsidR="0062768B" w:rsidRDefault="00136729">
      <w:pPr>
        <w:spacing w:before="50" w:after="50" w:line="300" w:lineRule="auto"/>
        <w:ind w:firstLineChars="200" w:firstLine="560"/>
        <w:rPr>
          <w:rFonts w:ascii="Arial" w:eastAsia="仿宋" w:hAnsi="Arial" w:cs="Arial"/>
          <w:spacing w:val="10"/>
          <w:sz w:val="28"/>
          <w:szCs w:val="28"/>
        </w:rPr>
      </w:pPr>
      <w:r>
        <w:rPr>
          <w:rFonts w:ascii="Arial" w:eastAsia="仿宋" w:hAnsi="Arial" w:cs="Arial"/>
          <w:sz w:val="28"/>
          <w:szCs w:val="28"/>
        </w:rPr>
        <w:t>商业用房楼面熟地价</w:t>
      </w:r>
      <w:r>
        <w:rPr>
          <w:rFonts w:ascii="Arial" w:eastAsia="仿宋" w:hAnsi="Arial" w:cs="Arial"/>
          <w:sz w:val="28"/>
          <w:szCs w:val="28"/>
        </w:rPr>
        <w:t>=</w:t>
      </w:r>
      <w:r>
        <w:rPr>
          <w:rFonts w:ascii="Arial" w:eastAsia="仿宋" w:hAnsi="Arial" w:cs="Arial"/>
          <w:spacing w:val="10"/>
          <w:sz w:val="28"/>
          <w:szCs w:val="28"/>
        </w:rPr>
        <w:t>土地价格</w:t>
      </w:r>
      <w:r>
        <w:rPr>
          <w:rFonts w:ascii="Arial" w:eastAsia="仿宋" w:hAnsi="Arial" w:cs="Arial"/>
          <w:spacing w:val="10"/>
          <w:sz w:val="28"/>
          <w:szCs w:val="28"/>
        </w:rPr>
        <w:t>÷</w:t>
      </w:r>
      <w:r>
        <w:rPr>
          <w:rFonts w:ascii="Arial" w:eastAsia="仿宋" w:hAnsi="Arial" w:cs="Arial"/>
          <w:spacing w:val="10"/>
          <w:sz w:val="28"/>
          <w:szCs w:val="28"/>
        </w:rPr>
        <w:t>建筑规模</w:t>
      </w:r>
      <w:r>
        <w:rPr>
          <w:rFonts w:ascii="Arial" w:eastAsia="仿宋" w:hAnsi="Arial" w:cs="Arial"/>
          <w:spacing w:val="10"/>
          <w:sz w:val="28"/>
          <w:szCs w:val="28"/>
        </w:rPr>
        <w:t>×10000</w:t>
      </w:r>
    </w:p>
    <w:p w14:paraId="26577130" w14:textId="77777777" w:rsidR="0062768B" w:rsidRDefault="00136729">
      <w:pPr>
        <w:spacing w:before="50" w:after="50" w:line="300" w:lineRule="auto"/>
        <w:ind w:firstLineChars="1100" w:firstLine="3080"/>
        <w:rPr>
          <w:rFonts w:ascii="Arial" w:eastAsia="仿宋" w:hAnsi="Arial" w:cs="Arial"/>
          <w:spacing w:val="10"/>
          <w:sz w:val="28"/>
          <w:szCs w:val="28"/>
        </w:rPr>
      </w:pPr>
      <w:r>
        <w:rPr>
          <w:rFonts w:ascii="Arial" w:eastAsia="仿宋" w:hAnsi="Arial" w:cs="Arial"/>
          <w:sz w:val="28"/>
          <w:szCs w:val="28"/>
        </w:rPr>
        <w:t>=36.7602</w:t>
      </w:r>
      <w:r>
        <w:rPr>
          <w:rFonts w:ascii="Arial" w:eastAsia="仿宋" w:hAnsi="Arial" w:cs="Arial"/>
          <w:spacing w:val="10"/>
          <w:sz w:val="28"/>
          <w:szCs w:val="28"/>
        </w:rPr>
        <w:t>÷39×10000</w:t>
      </w:r>
    </w:p>
    <w:p w14:paraId="039DF417" w14:textId="77777777" w:rsidR="0062768B" w:rsidRDefault="00136729">
      <w:pPr>
        <w:spacing w:before="50" w:after="50" w:line="300" w:lineRule="auto"/>
        <w:ind w:firstLineChars="1100" w:firstLine="3080"/>
        <w:rPr>
          <w:rFonts w:ascii="Arial" w:eastAsia="仿宋" w:hAnsi="Arial" w:cs="Arial"/>
          <w:sz w:val="28"/>
          <w:szCs w:val="28"/>
        </w:rPr>
      </w:pPr>
      <w:r>
        <w:rPr>
          <w:rFonts w:ascii="Arial" w:eastAsia="仿宋" w:hAnsi="Arial" w:cs="Arial"/>
          <w:sz w:val="28"/>
          <w:szCs w:val="28"/>
        </w:rPr>
        <w:t>=9426</w:t>
      </w:r>
      <w:r>
        <w:rPr>
          <w:rFonts w:ascii="Arial" w:eastAsia="仿宋" w:hAnsi="Arial" w:cs="Arial"/>
          <w:sz w:val="28"/>
          <w:szCs w:val="28"/>
        </w:rPr>
        <w:t>（元</w:t>
      </w:r>
      <w:r>
        <w:rPr>
          <w:rFonts w:ascii="Arial" w:eastAsia="仿宋" w:hAnsi="Arial" w:cs="Arial"/>
          <w:sz w:val="28"/>
          <w:szCs w:val="28"/>
        </w:rPr>
        <w:t>/</w:t>
      </w:r>
      <w:r>
        <w:rPr>
          <w:rFonts w:ascii="Arial" w:eastAsia="仿宋" w:hAnsi="Arial" w:cs="Arial"/>
          <w:sz w:val="28"/>
          <w:szCs w:val="28"/>
        </w:rPr>
        <w:t>平方米）</w:t>
      </w:r>
    </w:p>
    <w:p w14:paraId="5DA9CBED" w14:textId="77777777" w:rsidR="0062768B" w:rsidRDefault="00136729">
      <w:pPr>
        <w:spacing w:before="50" w:after="50" w:line="300" w:lineRule="auto"/>
        <w:rPr>
          <w:rFonts w:ascii="Arial" w:eastAsia="仿宋" w:hAnsi="Arial" w:cs="Arial"/>
          <w:sz w:val="28"/>
          <w:szCs w:val="28"/>
        </w:rPr>
      </w:pPr>
      <w:r>
        <w:rPr>
          <w:rFonts w:ascii="Arial" w:eastAsia="仿宋" w:hAnsi="Arial" w:cs="Arial"/>
          <w:sz w:val="28"/>
          <w:szCs w:val="28"/>
        </w:rPr>
        <w:t>（转下页）</w:t>
      </w:r>
    </w:p>
    <w:p w14:paraId="56013E6E" w14:textId="77777777" w:rsidR="0062768B" w:rsidRDefault="00136729">
      <w:pPr>
        <w:spacing w:before="50" w:after="50" w:line="300" w:lineRule="auto"/>
        <w:jc w:val="center"/>
        <w:rPr>
          <w:rFonts w:ascii="Arial" w:eastAsia="仿宋" w:hAnsi="Arial" w:cs="Arial"/>
          <w:sz w:val="28"/>
        </w:rPr>
      </w:pPr>
      <w:r>
        <w:rPr>
          <w:rFonts w:ascii="Arial" w:eastAsia="仿宋_GB2312" w:hAnsi="Arial" w:cs="Arial"/>
          <w:sz w:val="28"/>
        </w:rPr>
        <w:br w:type="page"/>
      </w:r>
      <w:r>
        <w:rPr>
          <w:rFonts w:ascii="Arial" w:eastAsia="仿宋" w:hAnsi="Arial" w:cs="Arial"/>
          <w:sz w:val="28"/>
        </w:rPr>
        <w:lastRenderedPageBreak/>
        <w:t>剩余法测算表（商业（其他商服））</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606"/>
        <w:gridCol w:w="2595"/>
        <w:gridCol w:w="1144"/>
        <w:gridCol w:w="1157"/>
        <w:gridCol w:w="721"/>
        <w:gridCol w:w="1008"/>
        <w:gridCol w:w="1895"/>
      </w:tblGrid>
      <w:tr w:rsidR="0062768B" w14:paraId="1351E53E" w14:textId="77777777">
        <w:trPr>
          <w:cantSplit/>
          <w:tblHeader/>
          <w:jc w:val="center"/>
        </w:trPr>
        <w:tc>
          <w:tcPr>
            <w:tcW w:w="332" w:type="pct"/>
            <w:shd w:val="clear" w:color="auto" w:fill="auto"/>
            <w:noWrap/>
            <w:vAlign w:val="center"/>
          </w:tcPr>
          <w:p w14:paraId="08C4DB0E"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序号</w:t>
            </w:r>
          </w:p>
        </w:tc>
        <w:tc>
          <w:tcPr>
            <w:tcW w:w="1422" w:type="pct"/>
            <w:shd w:val="clear" w:color="auto" w:fill="auto"/>
            <w:noWrap/>
            <w:vAlign w:val="center"/>
          </w:tcPr>
          <w:p w14:paraId="03145A71"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项目名称</w:t>
            </w:r>
          </w:p>
        </w:tc>
        <w:tc>
          <w:tcPr>
            <w:tcW w:w="627" w:type="pct"/>
            <w:shd w:val="clear" w:color="auto" w:fill="auto"/>
            <w:noWrap/>
            <w:vAlign w:val="center"/>
          </w:tcPr>
          <w:p w14:paraId="3EDE56ED"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总额</w:t>
            </w:r>
          </w:p>
        </w:tc>
        <w:tc>
          <w:tcPr>
            <w:tcW w:w="634" w:type="pct"/>
            <w:shd w:val="clear" w:color="auto" w:fill="auto"/>
            <w:noWrap/>
            <w:vAlign w:val="center"/>
          </w:tcPr>
          <w:p w14:paraId="72B98C93"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面积</w:t>
            </w:r>
          </w:p>
        </w:tc>
        <w:tc>
          <w:tcPr>
            <w:tcW w:w="395" w:type="pct"/>
            <w:shd w:val="clear" w:color="auto" w:fill="auto"/>
            <w:noWrap/>
            <w:vAlign w:val="center"/>
          </w:tcPr>
          <w:p w14:paraId="5352E960"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单价</w:t>
            </w:r>
          </w:p>
        </w:tc>
        <w:tc>
          <w:tcPr>
            <w:tcW w:w="552" w:type="pct"/>
            <w:shd w:val="clear" w:color="auto" w:fill="auto"/>
            <w:noWrap/>
            <w:vAlign w:val="center"/>
          </w:tcPr>
          <w:p w14:paraId="2ECFD90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相关系数</w:t>
            </w:r>
          </w:p>
        </w:tc>
        <w:tc>
          <w:tcPr>
            <w:tcW w:w="1038" w:type="pct"/>
          </w:tcPr>
          <w:p w14:paraId="76C58A27"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备注</w:t>
            </w:r>
          </w:p>
        </w:tc>
      </w:tr>
      <w:tr w:rsidR="0062768B" w14:paraId="2EE155FF" w14:textId="77777777">
        <w:trPr>
          <w:cantSplit/>
          <w:jc w:val="center"/>
        </w:trPr>
        <w:tc>
          <w:tcPr>
            <w:tcW w:w="332" w:type="pct"/>
            <w:shd w:val="clear" w:color="auto" w:fill="auto"/>
            <w:noWrap/>
            <w:vAlign w:val="center"/>
          </w:tcPr>
          <w:p w14:paraId="47D444BA"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1</w:t>
            </w:r>
          </w:p>
        </w:tc>
        <w:tc>
          <w:tcPr>
            <w:tcW w:w="1422" w:type="pct"/>
            <w:shd w:val="clear" w:color="auto" w:fill="auto"/>
            <w:noWrap/>
            <w:vAlign w:val="center"/>
          </w:tcPr>
          <w:p w14:paraId="355D7F2B"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开发完成后不动产总价</w:t>
            </w:r>
          </w:p>
        </w:tc>
        <w:tc>
          <w:tcPr>
            <w:tcW w:w="627" w:type="pct"/>
            <w:shd w:val="clear" w:color="auto" w:fill="auto"/>
            <w:noWrap/>
            <w:vAlign w:val="center"/>
          </w:tcPr>
          <w:p w14:paraId="5EE4682A"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85.8780</w:t>
            </w:r>
          </w:p>
        </w:tc>
        <w:tc>
          <w:tcPr>
            <w:tcW w:w="634" w:type="pct"/>
            <w:shd w:val="clear" w:color="auto" w:fill="auto"/>
            <w:noWrap/>
            <w:vAlign w:val="center"/>
          </w:tcPr>
          <w:p w14:paraId="7B7D016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39</w:t>
            </w:r>
          </w:p>
        </w:tc>
        <w:tc>
          <w:tcPr>
            <w:tcW w:w="395" w:type="pct"/>
            <w:shd w:val="clear" w:color="auto" w:fill="auto"/>
            <w:noWrap/>
            <w:vAlign w:val="center"/>
          </w:tcPr>
          <w:p w14:paraId="05ABA6B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22020</w:t>
            </w:r>
          </w:p>
        </w:tc>
        <w:tc>
          <w:tcPr>
            <w:tcW w:w="552" w:type="pct"/>
            <w:shd w:val="clear" w:color="auto" w:fill="auto"/>
            <w:noWrap/>
            <w:vAlign w:val="center"/>
          </w:tcPr>
          <w:p w14:paraId="252742F3" w14:textId="77777777" w:rsidR="0062768B" w:rsidRDefault="0062768B">
            <w:pPr>
              <w:widowControl/>
              <w:adjustRightInd/>
              <w:spacing w:line="240" w:lineRule="exact"/>
              <w:textAlignment w:val="auto"/>
              <w:rPr>
                <w:rFonts w:ascii="Arial" w:eastAsia="仿宋" w:hAnsi="Arial" w:cs="Arial"/>
                <w:bCs/>
                <w:sz w:val="21"/>
                <w:szCs w:val="21"/>
              </w:rPr>
            </w:pPr>
          </w:p>
        </w:tc>
        <w:tc>
          <w:tcPr>
            <w:tcW w:w="1038" w:type="pct"/>
          </w:tcPr>
          <w:p w14:paraId="6E402BE8" w14:textId="77777777" w:rsidR="0062768B" w:rsidRDefault="0062768B">
            <w:pPr>
              <w:widowControl/>
              <w:adjustRightInd/>
              <w:spacing w:line="240" w:lineRule="exact"/>
              <w:textAlignment w:val="auto"/>
              <w:rPr>
                <w:rFonts w:ascii="Arial" w:eastAsia="仿宋" w:hAnsi="Arial" w:cs="Arial"/>
                <w:bCs/>
                <w:sz w:val="21"/>
                <w:szCs w:val="21"/>
              </w:rPr>
            </w:pPr>
          </w:p>
        </w:tc>
      </w:tr>
      <w:tr w:rsidR="0062768B" w14:paraId="49D520BE" w14:textId="77777777">
        <w:trPr>
          <w:cantSplit/>
          <w:jc w:val="center"/>
        </w:trPr>
        <w:tc>
          <w:tcPr>
            <w:tcW w:w="332" w:type="pct"/>
            <w:shd w:val="clear" w:color="auto" w:fill="auto"/>
            <w:vAlign w:val="center"/>
          </w:tcPr>
          <w:p w14:paraId="15ACF513"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2</w:t>
            </w:r>
          </w:p>
        </w:tc>
        <w:tc>
          <w:tcPr>
            <w:tcW w:w="1422" w:type="pct"/>
            <w:shd w:val="clear" w:color="auto" w:fill="auto"/>
            <w:noWrap/>
            <w:vAlign w:val="center"/>
          </w:tcPr>
          <w:p w14:paraId="2742A0C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开发成本</w:t>
            </w:r>
          </w:p>
        </w:tc>
        <w:tc>
          <w:tcPr>
            <w:tcW w:w="627" w:type="pct"/>
            <w:shd w:val="clear" w:color="auto" w:fill="auto"/>
            <w:noWrap/>
            <w:vAlign w:val="center"/>
          </w:tcPr>
          <w:p w14:paraId="421F126A"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30.7961+</w:t>
            </w:r>
          </w:p>
          <w:p w14:paraId="3D124CB7"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0.1573 P</w:t>
            </w:r>
            <w:r>
              <w:rPr>
                <w:rFonts w:ascii="Arial" w:eastAsia="仿宋" w:hAnsi="Arial" w:cs="Arial"/>
                <w:bCs/>
                <w:sz w:val="21"/>
                <w:szCs w:val="21"/>
                <w:vertAlign w:val="subscript"/>
              </w:rPr>
              <w:t>土</w:t>
            </w:r>
          </w:p>
        </w:tc>
        <w:tc>
          <w:tcPr>
            <w:tcW w:w="634" w:type="pct"/>
            <w:shd w:val="clear" w:color="auto" w:fill="auto"/>
            <w:noWrap/>
            <w:vAlign w:val="center"/>
          </w:tcPr>
          <w:p w14:paraId="0215EB04"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1DE5A676"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0E2FC494" w14:textId="77777777" w:rsidR="0062768B" w:rsidRDefault="0062768B">
            <w:pPr>
              <w:widowControl/>
              <w:adjustRightInd/>
              <w:spacing w:line="240" w:lineRule="exact"/>
              <w:textAlignment w:val="auto"/>
              <w:rPr>
                <w:rFonts w:ascii="Arial" w:eastAsia="仿宋" w:hAnsi="Arial" w:cs="Arial"/>
                <w:bCs/>
                <w:sz w:val="21"/>
                <w:szCs w:val="21"/>
              </w:rPr>
            </w:pPr>
          </w:p>
        </w:tc>
        <w:tc>
          <w:tcPr>
            <w:tcW w:w="1038" w:type="pct"/>
          </w:tcPr>
          <w:p w14:paraId="599525B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1</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8</w:t>
            </w:r>
            <w:r>
              <w:rPr>
                <w:rFonts w:ascii="Arial" w:eastAsia="仿宋" w:hAnsi="Arial" w:cs="Arial"/>
                <w:bCs/>
                <w:sz w:val="21"/>
                <w:szCs w:val="21"/>
              </w:rPr>
              <w:t>）之和</w:t>
            </w:r>
          </w:p>
        </w:tc>
      </w:tr>
      <w:tr w:rsidR="0062768B" w14:paraId="67943C8A" w14:textId="77777777">
        <w:trPr>
          <w:cantSplit/>
          <w:jc w:val="center"/>
        </w:trPr>
        <w:tc>
          <w:tcPr>
            <w:tcW w:w="332" w:type="pct"/>
            <w:shd w:val="clear" w:color="auto" w:fill="auto"/>
            <w:noWrap/>
            <w:vAlign w:val="center"/>
          </w:tcPr>
          <w:p w14:paraId="10560081"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1</w:t>
            </w:r>
            <w:r>
              <w:rPr>
                <w:rFonts w:ascii="Arial" w:eastAsia="仿宋" w:hAnsi="Arial" w:cs="Arial"/>
                <w:bCs/>
                <w:sz w:val="21"/>
                <w:szCs w:val="21"/>
              </w:rPr>
              <w:t>）</w:t>
            </w:r>
          </w:p>
        </w:tc>
        <w:tc>
          <w:tcPr>
            <w:tcW w:w="1422" w:type="pct"/>
            <w:shd w:val="clear" w:color="auto" w:fill="auto"/>
            <w:noWrap/>
            <w:vAlign w:val="center"/>
          </w:tcPr>
          <w:p w14:paraId="4E5E026B"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房屋建造成本</w:t>
            </w:r>
          </w:p>
        </w:tc>
        <w:tc>
          <w:tcPr>
            <w:tcW w:w="627" w:type="pct"/>
            <w:shd w:val="clear" w:color="auto" w:fill="auto"/>
            <w:noWrap/>
            <w:vAlign w:val="center"/>
          </w:tcPr>
          <w:p w14:paraId="078FAD7F"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19.8608</w:t>
            </w:r>
          </w:p>
        </w:tc>
        <w:tc>
          <w:tcPr>
            <w:tcW w:w="634" w:type="pct"/>
            <w:shd w:val="clear" w:color="auto" w:fill="auto"/>
            <w:noWrap/>
            <w:vAlign w:val="center"/>
          </w:tcPr>
          <w:p w14:paraId="2DFFA6D2"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43AF9D48"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4331A893" w14:textId="77777777" w:rsidR="0062768B" w:rsidRDefault="0062768B">
            <w:pPr>
              <w:widowControl/>
              <w:adjustRightInd/>
              <w:spacing w:line="240" w:lineRule="exact"/>
              <w:textAlignment w:val="auto"/>
              <w:rPr>
                <w:rFonts w:ascii="Arial" w:eastAsia="仿宋" w:hAnsi="Arial" w:cs="Arial"/>
                <w:bCs/>
                <w:sz w:val="21"/>
                <w:szCs w:val="21"/>
              </w:rPr>
            </w:pPr>
          </w:p>
        </w:tc>
        <w:tc>
          <w:tcPr>
            <w:tcW w:w="1038" w:type="pct"/>
          </w:tcPr>
          <w:p w14:paraId="631CEBF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下述</w:t>
            </w:r>
            <w:r>
              <w:rPr>
                <w:rFonts w:ascii="Arial" w:eastAsia="仿宋" w:hAnsi="Arial" w:cs="Arial"/>
                <w:sz w:val="21"/>
                <w:szCs w:val="21"/>
              </w:rPr>
              <w:t>5</w:t>
            </w:r>
            <w:r>
              <w:rPr>
                <w:rFonts w:ascii="Arial" w:eastAsia="仿宋" w:hAnsi="Arial" w:cs="Arial"/>
                <w:sz w:val="21"/>
                <w:szCs w:val="21"/>
              </w:rPr>
              <w:t>项之和</w:t>
            </w:r>
          </w:p>
        </w:tc>
      </w:tr>
      <w:tr w:rsidR="0062768B" w14:paraId="116CA070" w14:textId="77777777">
        <w:trPr>
          <w:cantSplit/>
          <w:jc w:val="center"/>
        </w:trPr>
        <w:tc>
          <w:tcPr>
            <w:tcW w:w="332" w:type="pct"/>
            <w:shd w:val="clear" w:color="auto" w:fill="auto"/>
            <w:noWrap/>
            <w:vAlign w:val="center"/>
          </w:tcPr>
          <w:p w14:paraId="3CE3589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w:t>
            </w:r>
          </w:p>
        </w:tc>
        <w:tc>
          <w:tcPr>
            <w:tcW w:w="1422" w:type="pct"/>
            <w:shd w:val="clear" w:color="auto" w:fill="auto"/>
            <w:noWrap/>
            <w:vAlign w:val="center"/>
          </w:tcPr>
          <w:p w14:paraId="78CB811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建安费用</w:t>
            </w:r>
          </w:p>
        </w:tc>
        <w:tc>
          <w:tcPr>
            <w:tcW w:w="627" w:type="pct"/>
            <w:shd w:val="clear" w:color="auto" w:fill="auto"/>
            <w:noWrap/>
            <w:vAlign w:val="center"/>
          </w:tcPr>
          <w:p w14:paraId="3224F59A" w14:textId="77777777" w:rsidR="0062768B" w:rsidRDefault="00136729">
            <w:pPr>
              <w:widowControl/>
              <w:adjustRightInd/>
              <w:spacing w:line="240" w:lineRule="auto"/>
              <w:textAlignment w:val="auto"/>
              <w:rPr>
                <w:rFonts w:ascii="Arial" w:hAnsi="Arial" w:cs="Arial"/>
                <w:sz w:val="20"/>
              </w:rPr>
            </w:pPr>
            <w:r>
              <w:rPr>
                <w:rFonts w:ascii="Arial" w:hAnsi="Arial" w:cs="Arial"/>
                <w:sz w:val="20"/>
              </w:rPr>
              <w:t>17.5500</w:t>
            </w:r>
          </w:p>
        </w:tc>
        <w:tc>
          <w:tcPr>
            <w:tcW w:w="634" w:type="pct"/>
            <w:shd w:val="clear" w:color="auto" w:fill="auto"/>
            <w:noWrap/>
            <w:vAlign w:val="center"/>
          </w:tcPr>
          <w:p w14:paraId="4EEED41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bCs/>
                <w:sz w:val="21"/>
                <w:szCs w:val="21"/>
              </w:rPr>
              <w:t>39.00</w:t>
            </w:r>
          </w:p>
        </w:tc>
        <w:tc>
          <w:tcPr>
            <w:tcW w:w="395" w:type="pct"/>
            <w:shd w:val="clear" w:color="auto" w:fill="auto"/>
            <w:noWrap/>
            <w:vAlign w:val="center"/>
          </w:tcPr>
          <w:p w14:paraId="3B4C14BB"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4500</w:t>
            </w:r>
          </w:p>
        </w:tc>
        <w:tc>
          <w:tcPr>
            <w:tcW w:w="552" w:type="pct"/>
            <w:shd w:val="clear" w:color="auto" w:fill="auto"/>
            <w:noWrap/>
            <w:vAlign w:val="center"/>
          </w:tcPr>
          <w:p w14:paraId="70C42C9D" w14:textId="77777777" w:rsidR="0062768B" w:rsidRDefault="0062768B">
            <w:pPr>
              <w:widowControl/>
              <w:adjustRightInd/>
              <w:spacing w:line="240" w:lineRule="exact"/>
              <w:textAlignment w:val="auto"/>
              <w:rPr>
                <w:rFonts w:ascii="Arial" w:eastAsia="仿宋" w:hAnsi="Arial" w:cs="Arial"/>
                <w:sz w:val="21"/>
                <w:szCs w:val="21"/>
              </w:rPr>
            </w:pPr>
          </w:p>
        </w:tc>
        <w:tc>
          <w:tcPr>
            <w:tcW w:w="1038" w:type="pct"/>
          </w:tcPr>
          <w:p w14:paraId="30F06558" w14:textId="77777777" w:rsidR="0062768B" w:rsidRDefault="0062768B">
            <w:pPr>
              <w:widowControl/>
              <w:adjustRightInd/>
              <w:spacing w:line="240" w:lineRule="exact"/>
              <w:textAlignment w:val="auto"/>
              <w:rPr>
                <w:rFonts w:ascii="Arial" w:eastAsia="仿宋" w:hAnsi="Arial" w:cs="Arial"/>
                <w:bCs/>
                <w:sz w:val="21"/>
                <w:szCs w:val="21"/>
              </w:rPr>
            </w:pPr>
          </w:p>
        </w:tc>
      </w:tr>
      <w:tr w:rsidR="0062768B" w14:paraId="2445EFC6" w14:textId="77777777">
        <w:trPr>
          <w:cantSplit/>
          <w:jc w:val="center"/>
        </w:trPr>
        <w:tc>
          <w:tcPr>
            <w:tcW w:w="332" w:type="pct"/>
            <w:shd w:val="clear" w:color="auto" w:fill="auto"/>
            <w:noWrap/>
            <w:vAlign w:val="center"/>
          </w:tcPr>
          <w:p w14:paraId="0F53966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w:t>
            </w:r>
          </w:p>
        </w:tc>
        <w:tc>
          <w:tcPr>
            <w:tcW w:w="1422" w:type="pct"/>
            <w:shd w:val="clear" w:color="auto" w:fill="auto"/>
            <w:noWrap/>
            <w:vAlign w:val="center"/>
          </w:tcPr>
          <w:p w14:paraId="14BD72E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勘察设计和前期工程费</w:t>
            </w:r>
          </w:p>
        </w:tc>
        <w:tc>
          <w:tcPr>
            <w:tcW w:w="627" w:type="pct"/>
            <w:shd w:val="clear" w:color="auto" w:fill="auto"/>
            <w:noWrap/>
            <w:vAlign w:val="center"/>
          </w:tcPr>
          <w:p w14:paraId="42ED5245"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0.8775</w:t>
            </w:r>
          </w:p>
        </w:tc>
        <w:tc>
          <w:tcPr>
            <w:tcW w:w="634" w:type="pct"/>
            <w:shd w:val="clear" w:color="auto" w:fill="auto"/>
            <w:noWrap/>
            <w:vAlign w:val="center"/>
          </w:tcPr>
          <w:p w14:paraId="2579F8CF"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534AEB93"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7C3C401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038" w:type="pct"/>
          </w:tcPr>
          <w:p w14:paraId="2E739C75"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以建安费用为基数计取</w:t>
            </w:r>
          </w:p>
        </w:tc>
      </w:tr>
      <w:tr w:rsidR="0062768B" w14:paraId="2E0A1C75" w14:textId="77777777">
        <w:trPr>
          <w:cantSplit/>
          <w:jc w:val="center"/>
        </w:trPr>
        <w:tc>
          <w:tcPr>
            <w:tcW w:w="332" w:type="pct"/>
            <w:shd w:val="clear" w:color="auto" w:fill="auto"/>
            <w:noWrap/>
            <w:vAlign w:val="center"/>
          </w:tcPr>
          <w:p w14:paraId="2A0C4C6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3</w:t>
            </w:r>
            <w:r>
              <w:rPr>
                <w:rFonts w:ascii="Arial" w:eastAsia="仿宋" w:hAnsi="Arial" w:cs="Arial"/>
                <w:sz w:val="21"/>
                <w:szCs w:val="21"/>
              </w:rPr>
              <w:t>）</w:t>
            </w:r>
          </w:p>
        </w:tc>
        <w:tc>
          <w:tcPr>
            <w:tcW w:w="1422" w:type="pct"/>
            <w:shd w:val="clear" w:color="auto" w:fill="auto"/>
            <w:noWrap/>
            <w:vAlign w:val="center"/>
          </w:tcPr>
          <w:p w14:paraId="34DC049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公共配套设施费用</w:t>
            </w:r>
          </w:p>
        </w:tc>
        <w:tc>
          <w:tcPr>
            <w:tcW w:w="627" w:type="pct"/>
            <w:shd w:val="clear" w:color="auto" w:fill="auto"/>
            <w:noWrap/>
            <w:vAlign w:val="center"/>
          </w:tcPr>
          <w:p w14:paraId="77A8709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 xml:space="preserve">0.0000 </w:t>
            </w:r>
          </w:p>
        </w:tc>
        <w:tc>
          <w:tcPr>
            <w:tcW w:w="634" w:type="pct"/>
            <w:shd w:val="clear" w:color="auto" w:fill="auto"/>
            <w:noWrap/>
            <w:vAlign w:val="center"/>
          </w:tcPr>
          <w:p w14:paraId="13F42DFF"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19953AB9"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0CFA8FB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不计取</w:t>
            </w:r>
          </w:p>
        </w:tc>
        <w:tc>
          <w:tcPr>
            <w:tcW w:w="1038" w:type="pct"/>
          </w:tcPr>
          <w:p w14:paraId="036753E5"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以住宅用房建安费用为基数计取</w:t>
            </w:r>
          </w:p>
        </w:tc>
      </w:tr>
      <w:tr w:rsidR="0062768B" w14:paraId="0FB22161" w14:textId="77777777">
        <w:trPr>
          <w:cantSplit/>
          <w:jc w:val="center"/>
        </w:trPr>
        <w:tc>
          <w:tcPr>
            <w:tcW w:w="332" w:type="pct"/>
            <w:shd w:val="clear" w:color="auto" w:fill="auto"/>
            <w:noWrap/>
            <w:vAlign w:val="center"/>
          </w:tcPr>
          <w:p w14:paraId="54F28B0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4</w:t>
            </w:r>
            <w:r>
              <w:rPr>
                <w:rFonts w:ascii="Arial" w:eastAsia="仿宋" w:hAnsi="Arial" w:cs="Arial"/>
                <w:sz w:val="21"/>
                <w:szCs w:val="21"/>
              </w:rPr>
              <w:t>）</w:t>
            </w:r>
          </w:p>
        </w:tc>
        <w:tc>
          <w:tcPr>
            <w:tcW w:w="1422" w:type="pct"/>
            <w:shd w:val="clear" w:color="auto" w:fill="auto"/>
            <w:noWrap/>
            <w:vAlign w:val="center"/>
          </w:tcPr>
          <w:p w14:paraId="77CD1D5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红线内市政费用</w:t>
            </w:r>
          </w:p>
        </w:tc>
        <w:tc>
          <w:tcPr>
            <w:tcW w:w="627" w:type="pct"/>
            <w:shd w:val="clear" w:color="auto" w:fill="auto"/>
            <w:noWrap/>
            <w:vAlign w:val="center"/>
          </w:tcPr>
          <w:p w14:paraId="12EB14C8"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1.1700</w:t>
            </w:r>
          </w:p>
        </w:tc>
        <w:tc>
          <w:tcPr>
            <w:tcW w:w="634" w:type="pct"/>
            <w:shd w:val="clear" w:color="auto" w:fill="auto"/>
            <w:noWrap/>
            <w:vAlign w:val="center"/>
          </w:tcPr>
          <w:p w14:paraId="5F88FA7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bCs/>
                <w:sz w:val="21"/>
                <w:szCs w:val="21"/>
              </w:rPr>
              <w:t>39.00</w:t>
            </w:r>
          </w:p>
        </w:tc>
        <w:tc>
          <w:tcPr>
            <w:tcW w:w="395" w:type="pct"/>
            <w:shd w:val="clear" w:color="auto" w:fill="auto"/>
            <w:noWrap/>
            <w:vAlign w:val="center"/>
          </w:tcPr>
          <w:p w14:paraId="24FDC82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300</w:t>
            </w:r>
          </w:p>
        </w:tc>
        <w:tc>
          <w:tcPr>
            <w:tcW w:w="552" w:type="pct"/>
            <w:shd w:val="clear" w:color="auto" w:fill="auto"/>
            <w:noWrap/>
            <w:vAlign w:val="center"/>
          </w:tcPr>
          <w:p w14:paraId="36F5467B" w14:textId="77777777" w:rsidR="0062768B" w:rsidRDefault="0062768B">
            <w:pPr>
              <w:widowControl/>
              <w:adjustRightInd/>
              <w:spacing w:line="240" w:lineRule="exact"/>
              <w:textAlignment w:val="auto"/>
              <w:rPr>
                <w:rFonts w:ascii="Arial" w:eastAsia="仿宋" w:hAnsi="Arial" w:cs="Arial"/>
                <w:sz w:val="21"/>
                <w:szCs w:val="21"/>
              </w:rPr>
            </w:pPr>
          </w:p>
        </w:tc>
        <w:tc>
          <w:tcPr>
            <w:tcW w:w="1038" w:type="pct"/>
          </w:tcPr>
          <w:p w14:paraId="7A9DB83E" w14:textId="77777777" w:rsidR="0062768B" w:rsidRDefault="0062768B">
            <w:pPr>
              <w:widowControl/>
              <w:adjustRightInd/>
              <w:spacing w:line="240" w:lineRule="exact"/>
              <w:textAlignment w:val="auto"/>
              <w:rPr>
                <w:rFonts w:ascii="Arial" w:eastAsia="仿宋" w:hAnsi="Arial" w:cs="Arial"/>
                <w:bCs/>
                <w:sz w:val="21"/>
                <w:szCs w:val="21"/>
              </w:rPr>
            </w:pPr>
          </w:p>
        </w:tc>
      </w:tr>
      <w:tr w:rsidR="0062768B" w14:paraId="4E34C734" w14:textId="77777777">
        <w:trPr>
          <w:cantSplit/>
          <w:jc w:val="center"/>
        </w:trPr>
        <w:tc>
          <w:tcPr>
            <w:tcW w:w="332" w:type="pct"/>
            <w:shd w:val="clear" w:color="auto" w:fill="auto"/>
            <w:noWrap/>
            <w:vAlign w:val="center"/>
          </w:tcPr>
          <w:p w14:paraId="3FB74DA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r>
              <w:rPr>
                <w:rFonts w:ascii="Arial" w:eastAsia="仿宋" w:hAnsi="Arial" w:cs="Arial"/>
                <w:sz w:val="21"/>
                <w:szCs w:val="21"/>
              </w:rPr>
              <w:t>）</w:t>
            </w:r>
          </w:p>
        </w:tc>
        <w:tc>
          <w:tcPr>
            <w:tcW w:w="1422" w:type="pct"/>
            <w:shd w:val="clear" w:color="auto" w:fill="auto"/>
            <w:noWrap/>
            <w:vAlign w:val="center"/>
          </w:tcPr>
          <w:p w14:paraId="762A90C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相关税费</w:t>
            </w:r>
          </w:p>
        </w:tc>
        <w:tc>
          <w:tcPr>
            <w:tcW w:w="627" w:type="pct"/>
            <w:shd w:val="clear" w:color="auto" w:fill="auto"/>
            <w:noWrap/>
            <w:vAlign w:val="center"/>
          </w:tcPr>
          <w:p w14:paraId="59FFFF7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0.2633</w:t>
            </w:r>
          </w:p>
        </w:tc>
        <w:tc>
          <w:tcPr>
            <w:tcW w:w="634" w:type="pct"/>
            <w:shd w:val="clear" w:color="auto" w:fill="auto"/>
            <w:noWrap/>
            <w:vAlign w:val="center"/>
          </w:tcPr>
          <w:p w14:paraId="4CF8AA2F"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7AA5B61F"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4248B66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1.5%</w:t>
            </w:r>
          </w:p>
        </w:tc>
        <w:tc>
          <w:tcPr>
            <w:tcW w:w="1038" w:type="pct"/>
            <w:vAlign w:val="center"/>
          </w:tcPr>
          <w:p w14:paraId="7A8B547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以建安费用为基数计取</w:t>
            </w:r>
          </w:p>
        </w:tc>
      </w:tr>
      <w:tr w:rsidR="0062768B" w14:paraId="3CA878CB" w14:textId="77777777">
        <w:trPr>
          <w:cantSplit/>
          <w:jc w:val="center"/>
        </w:trPr>
        <w:tc>
          <w:tcPr>
            <w:tcW w:w="332" w:type="pct"/>
            <w:shd w:val="clear" w:color="auto" w:fill="auto"/>
            <w:noWrap/>
            <w:vAlign w:val="center"/>
          </w:tcPr>
          <w:p w14:paraId="59CAEB88"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2</w:t>
            </w:r>
            <w:r>
              <w:rPr>
                <w:rFonts w:ascii="Arial" w:eastAsia="仿宋" w:hAnsi="Arial" w:cs="Arial"/>
                <w:bCs/>
                <w:sz w:val="21"/>
                <w:szCs w:val="21"/>
              </w:rPr>
              <w:t>）</w:t>
            </w:r>
          </w:p>
        </w:tc>
        <w:tc>
          <w:tcPr>
            <w:tcW w:w="1422" w:type="pct"/>
            <w:shd w:val="clear" w:color="auto" w:fill="auto"/>
            <w:noWrap/>
            <w:vAlign w:val="center"/>
          </w:tcPr>
          <w:p w14:paraId="58BAB1D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红线外市政费用（土地开发费用）</w:t>
            </w:r>
          </w:p>
        </w:tc>
        <w:tc>
          <w:tcPr>
            <w:tcW w:w="627" w:type="pct"/>
            <w:shd w:val="clear" w:color="auto" w:fill="auto"/>
            <w:noWrap/>
            <w:vAlign w:val="center"/>
          </w:tcPr>
          <w:p w14:paraId="0D45ABD3"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0.1560</w:t>
            </w:r>
          </w:p>
        </w:tc>
        <w:tc>
          <w:tcPr>
            <w:tcW w:w="634" w:type="pct"/>
            <w:shd w:val="clear" w:color="auto" w:fill="auto"/>
            <w:noWrap/>
            <w:vAlign w:val="center"/>
          </w:tcPr>
          <w:p w14:paraId="44DD76E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bCs/>
                <w:sz w:val="21"/>
                <w:szCs w:val="21"/>
              </w:rPr>
              <w:t>39.00</w:t>
            </w:r>
          </w:p>
        </w:tc>
        <w:tc>
          <w:tcPr>
            <w:tcW w:w="395" w:type="pct"/>
            <w:shd w:val="clear" w:color="auto" w:fill="auto"/>
            <w:noWrap/>
            <w:vAlign w:val="center"/>
          </w:tcPr>
          <w:p w14:paraId="7F2726B3" w14:textId="77777777" w:rsidR="0062768B" w:rsidRDefault="00136729">
            <w:pPr>
              <w:widowControl/>
              <w:adjustRightInd/>
              <w:spacing w:line="240" w:lineRule="exact"/>
              <w:textAlignment w:val="auto"/>
              <w:rPr>
                <w:rFonts w:ascii="Arial" w:eastAsia="仿宋" w:hAnsi="Arial" w:cs="Arial"/>
                <w:bCs/>
                <w:sz w:val="21"/>
                <w:szCs w:val="21"/>
              </w:rPr>
            </w:pPr>
            <w:commentRangeStart w:id="374"/>
            <w:r>
              <w:rPr>
                <w:rFonts w:ascii="Arial" w:eastAsia="仿宋" w:hAnsi="Arial" w:cs="Arial"/>
                <w:bCs/>
                <w:sz w:val="21"/>
                <w:szCs w:val="21"/>
              </w:rPr>
              <w:t>47</w:t>
            </w:r>
            <w:commentRangeEnd w:id="374"/>
            <w:r w:rsidR="00343FA8">
              <w:rPr>
                <w:rStyle w:val="af6"/>
                <w:lang w:val="zh-CN"/>
              </w:rPr>
              <w:commentReference w:id="374"/>
            </w:r>
          </w:p>
        </w:tc>
        <w:tc>
          <w:tcPr>
            <w:tcW w:w="552" w:type="pct"/>
            <w:shd w:val="clear" w:color="auto" w:fill="auto"/>
            <w:noWrap/>
            <w:vAlign w:val="center"/>
          </w:tcPr>
          <w:p w14:paraId="1C04965E" w14:textId="77777777" w:rsidR="0062768B" w:rsidRDefault="0062768B">
            <w:pPr>
              <w:widowControl/>
              <w:adjustRightInd/>
              <w:spacing w:line="240" w:lineRule="exact"/>
              <w:textAlignment w:val="auto"/>
              <w:rPr>
                <w:rFonts w:ascii="Arial" w:eastAsia="仿宋" w:hAnsi="Arial" w:cs="Arial"/>
                <w:bCs/>
                <w:sz w:val="21"/>
                <w:szCs w:val="21"/>
              </w:rPr>
            </w:pPr>
          </w:p>
        </w:tc>
        <w:tc>
          <w:tcPr>
            <w:tcW w:w="1038" w:type="pct"/>
          </w:tcPr>
          <w:p w14:paraId="77095901" w14:textId="77777777" w:rsidR="0062768B" w:rsidRDefault="0062768B">
            <w:pPr>
              <w:widowControl/>
              <w:adjustRightInd/>
              <w:spacing w:line="240" w:lineRule="exact"/>
              <w:textAlignment w:val="auto"/>
              <w:rPr>
                <w:rFonts w:ascii="Arial" w:eastAsia="仿宋" w:hAnsi="Arial" w:cs="Arial"/>
                <w:bCs/>
                <w:sz w:val="21"/>
                <w:szCs w:val="21"/>
              </w:rPr>
            </w:pPr>
          </w:p>
        </w:tc>
      </w:tr>
      <w:tr w:rsidR="0062768B" w14:paraId="57FECD76" w14:textId="77777777">
        <w:trPr>
          <w:cantSplit/>
          <w:jc w:val="center"/>
        </w:trPr>
        <w:tc>
          <w:tcPr>
            <w:tcW w:w="332" w:type="pct"/>
            <w:shd w:val="clear" w:color="auto" w:fill="auto"/>
            <w:noWrap/>
            <w:vAlign w:val="center"/>
          </w:tcPr>
          <w:p w14:paraId="262EE04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3</w:t>
            </w:r>
            <w:r>
              <w:rPr>
                <w:rFonts w:ascii="Arial" w:eastAsia="仿宋" w:hAnsi="Arial" w:cs="Arial"/>
                <w:bCs/>
                <w:sz w:val="21"/>
                <w:szCs w:val="21"/>
              </w:rPr>
              <w:t>）</w:t>
            </w:r>
          </w:p>
        </w:tc>
        <w:tc>
          <w:tcPr>
            <w:tcW w:w="1422" w:type="pct"/>
            <w:shd w:val="clear" w:color="auto" w:fill="auto"/>
            <w:noWrap/>
            <w:vAlign w:val="center"/>
          </w:tcPr>
          <w:p w14:paraId="6F5F1081"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城市基础设施建设费</w:t>
            </w:r>
          </w:p>
        </w:tc>
        <w:tc>
          <w:tcPr>
            <w:tcW w:w="627" w:type="pct"/>
            <w:shd w:val="clear" w:color="auto" w:fill="auto"/>
            <w:noWrap/>
            <w:vAlign w:val="center"/>
          </w:tcPr>
          <w:p w14:paraId="2D0929B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0.7410</w:t>
            </w:r>
          </w:p>
        </w:tc>
        <w:tc>
          <w:tcPr>
            <w:tcW w:w="634" w:type="pct"/>
            <w:shd w:val="clear" w:color="auto" w:fill="auto"/>
            <w:noWrap/>
            <w:vAlign w:val="center"/>
          </w:tcPr>
          <w:p w14:paraId="539206E7"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241FB951"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70151364" w14:textId="77777777" w:rsidR="0062768B" w:rsidRDefault="0062768B">
            <w:pPr>
              <w:widowControl/>
              <w:adjustRightInd/>
              <w:spacing w:line="240" w:lineRule="exact"/>
              <w:textAlignment w:val="auto"/>
              <w:rPr>
                <w:rFonts w:ascii="Arial" w:eastAsia="仿宋" w:hAnsi="Arial" w:cs="Arial"/>
                <w:bCs/>
                <w:sz w:val="21"/>
                <w:szCs w:val="21"/>
              </w:rPr>
            </w:pPr>
          </w:p>
        </w:tc>
        <w:tc>
          <w:tcPr>
            <w:tcW w:w="1038" w:type="pct"/>
          </w:tcPr>
          <w:p w14:paraId="7395E1A8" w14:textId="77777777" w:rsidR="0062768B" w:rsidRDefault="0062768B">
            <w:pPr>
              <w:widowControl/>
              <w:adjustRightInd/>
              <w:spacing w:line="240" w:lineRule="exact"/>
              <w:textAlignment w:val="auto"/>
              <w:rPr>
                <w:rFonts w:ascii="Arial" w:eastAsia="仿宋" w:hAnsi="Arial" w:cs="Arial"/>
                <w:bCs/>
                <w:sz w:val="21"/>
                <w:szCs w:val="21"/>
              </w:rPr>
            </w:pPr>
          </w:p>
        </w:tc>
      </w:tr>
      <w:tr w:rsidR="0062768B" w14:paraId="4D91AEB7" w14:textId="77777777">
        <w:trPr>
          <w:cantSplit/>
          <w:jc w:val="center"/>
        </w:trPr>
        <w:tc>
          <w:tcPr>
            <w:tcW w:w="332" w:type="pct"/>
            <w:shd w:val="clear" w:color="auto" w:fill="auto"/>
            <w:noWrap/>
            <w:vAlign w:val="center"/>
          </w:tcPr>
          <w:p w14:paraId="651D0334"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4</w:t>
            </w:r>
            <w:r>
              <w:rPr>
                <w:rFonts w:ascii="Arial" w:eastAsia="仿宋" w:hAnsi="Arial" w:cs="Arial"/>
                <w:bCs/>
                <w:sz w:val="21"/>
                <w:szCs w:val="21"/>
              </w:rPr>
              <w:t>）</w:t>
            </w:r>
          </w:p>
        </w:tc>
        <w:tc>
          <w:tcPr>
            <w:tcW w:w="1422" w:type="pct"/>
            <w:shd w:val="clear" w:color="auto" w:fill="auto"/>
            <w:noWrap/>
            <w:vAlign w:val="center"/>
          </w:tcPr>
          <w:p w14:paraId="2510CBD7"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管理费用</w:t>
            </w:r>
          </w:p>
        </w:tc>
        <w:tc>
          <w:tcPr>
            <w:tcW w:w="627" w:type="pct"/>
            <w:shd w:val="clear" w:color="auto" w:fill="auto"/>
            <w:noWrap/>
            <w:vAlign w:val="center"/>
          </w:tcPr>
          <w:p w14:paraId="1068CACE"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0.6227</w:t>
            </w:r>
          </w:p>
        </w:tc>
        <w:tc>
          <w:tcPr>
            <w:tcW w:w="634" w:type="pct"/>
            <w:shd w:val="clear" w:color="auto" w:fill="auto"/>
            <w:noWrap/>
            <w:vAlign w:val="center"/>
          </w:tcPr>
          <w:p w14:paraId="1F38F031"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666359D8"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0C7AAFB4"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w:t>
            </w:r>
          </w:p>
        </w:tc>
        <w:tc>
          <w:tcPr>
            <w:tcW w:w="1038" w:type="pct"/>
          </w:tcPr>
          <w:p w14:paraId="59B34602"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以</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1</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3</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为基数计算</w:t>
            </w:r>
          </w:p>
        </w:tc>
      </w:tr>
      <w:tr w:rsidR="0062768B" w14:paraId="7B744B5A" w14:textId="77777777">
        <w:trPr>
          <w:cantSplit/>
          <w:jc w:val="center"/>
        </w:trPr>
        <w:tc>
          <w:tcPr>
            <w:tcW w:w="332" w:type="pct"/>
            <w:shd w:val="clear" w:color="auto" w:fill="auto"/>
            <w:noWrap/>
            <w:vAlign w:val="center"/>
          </w:tcPr>
          <w:p w14:paraId="68E8833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5</w:t>
            </w:r>
            <w:r>
              <w:rPr>
                <w:rFonts w:ascii="Arial" w:eastAsia="仿宋" w:hAnsi="Arial" w:cs="Arial"/>
                <w:bCs/>
                <w:sz w:val="21"/>
                <w:szCs w:val="21"/>
              </w:rPr>
              <w:t>）</w:t>
            </w:r>
          </w:p>
        </w:tc>
        <w:tc>
          <w:tcPr>
            <w:tcW w:w="1422" w:type="pct"/>
            <w:shd w:val="clear" w:color="auto" w:fill="auto"/>
            <w:noWrap/>
            <w:vAlign w:val="center"/>
          </w:tcPr>
          <w:p w14:paraId="3AFE9B90"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销售费用</w:t>
            </w:r>
          </w:p>
        </w:tc>
        <w:tc>
          <w:tcPr>
            <w:tcW w:w="627" w:type="pct"/>
            <w:shd w:val="clear" w:color="auto" w:fill="auto"/>
            <w:noWrap/>
            <w:vAlign w:val="center"/>
          </w:tcPr>
          <w:p w14:paraId="54A2C132"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3.4351</w:t>
            </w:r>
          </w:p>
        </w:tc>
        <w:tc>
          <w:tcPr>
            <w:tcW w:w="634" w:type="pct"/>
            <w:shd w:val="clear" w:color="auto" w:fill="auto"/>
            <w:noWrap/>
            <w:vAlign w:val="center"/>
          </w:tcPr>
          <w:p w14:paraId="02DA8BDC"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15343198"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0E5F5051"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w:t>
            </w:r>
          </w:p>
        </w:tc>
        <w:tc>
          <w:tcPr>
            <w:tcW w:w="1038" w:type="pct"/>
          </w:tcPr>
          <w:p w14:paraId="7998F17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以</w:t>
            </w:r>
            <w:r>
              <w:rPr>
                <w:rFonts w:ascii="Arial" w:eastAsia="仿宋" w:hAnsi="Arial" w:cs="Arial"/>
                <w:sz w:val="21"/>
                <w:szCs w:val="21"/>
              </w:rPr>
              <w:t>1</w:t>
            </w:r>
            <w:r>
              <w:rPr>
                <w:rFonts w:ascii="Arial" w:eastAsia="仿宋" w:hAnsi="Arial" w:cs="Arial"/>
                <w:sz w:val="21"/>
                <w:szCs w:val="21"/>
              </w:rPr>
              <w:t>为基数计取</w:t>
            </w:r>
          </w:p>
        </w:tc>
      </w:tr>
      <w:tr w:rsidR="0062768B" w14:paraId="688D97C8" w14:textId="77777777">
        <w:trPr>
          <w:cantSplit/>
          <w:jc w:val="center"/>
        </w:trPr>
        <w:tc>
          <w:tcPr>
            <w:tcW w:w="332" w:type="pct"/>
            <w:shd w:val="clear" w:color="auto" w:fill="auto"/>
            <w:noWrap/>
            <w:vAlign w:val="center"/>
          </w:tcPr>
          <w:p w14:paraId="377BB5E7"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6</w:t>
            </w:r>
            <w:r>
              <w:rPr>
                <w:rFonts w:ascii="Arial" w:eastAsia="仿宋" w:hAnsi="Arial" w:cs="Arial"/>
                <w:bCs/>
                <w:sz w:val="21"/>
                <w:szCs w:val="21"/>
              </w:rPr>
              <w:t>）</w:t>
            </w:r>
          </w:p>
        </w:tc>
        <w:tc>
          <w:tcPr>
            <w:tcW w:w="1422" w:type="pct"/>
            <w:shd w:val="clear" w:color="auto" w:fill="auto"/>
            <w:noWrap/>
            <w:vAlign w:val="center"/>
          </w:tcPr>
          <w:p w14:paraId="1FFE42A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购地税费</w:t>
            </w:r>
          </w:p>
        </w:tc>
        <w:tc>
          <w:tcPr>
            <w:tcW w:w="627" w:type="pct"/>
            <w:shd w:val="clear" w:color="auto" w:fill="auto"/>
            <w:noWrap/>
            <w:vAlign w:val="center"/>
          </w:tcPr>
          <w:p w14:paraId="784FAB13"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0.0305P</w:t>
            </w:r>
            <w:r>
              <w:rPr>
                <w:rFonts w:ascii="Arial" w:eastAsia="仿宋" w:hAnsi="Arial" w:cs="Arial"/>
                <w:bCs/>
                <w:sz w:val="21"/>
                <w:szCs w:val="21"/>
                <w:vertAlign w:val="subscript"/>
              </w:rPr>
              <w:t>土</w:t>
            </w:r>
          </w:p>
        </w:tc>
        <w:tc>
          <w:tcPr>
            <w:tcW w:w="634" w:type="pct"/>
            <w:shd w:val="clear" w:color="auto" w:fill="auto"/>
            <w:noWrap/>
            <w:vAlign w:val="bottom"/>
          </w:tcPr>
          <w:p w14:paraId="2362F0C4"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25BB423B"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1BE89FA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3.05%</w:t>
            </w:r>
          </w:p>
        </w:tc>
        <w:tc>
          <w:tcPr>
            <w:tcW w:w="1038" w:type="pct"/>
          </w:tcPr>
          <w:p w14:paraId="4641E22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以估价对象土地价格为基数记取</w:t>
            </w:r>
          </w:p>
        </w:tc>
      </w:tr>
      <w:tr w:rsidR="0062768B" w14:paraId="2FB6B901" w14:textId="77777777">
        <w:trPr>
          <w:cantSplit/>
          <w:jc w:val="center"/>
        </w:trPr>
        <w:tc>
          <w:tcPr>
            <w:tcW w:w="332" w:type="pct"/>
            <w:shd w:val="clear" w:color="auto" w:fill="auto"/>
            <w:noWrap/>
            <w:vAlign w:val="center"/>
          </w:tcPr>
          <w:p w14:paraId="1B04B48B"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7</w:t>
            </w:r>
            <w:r>
              <w:rPr>
                <w:rFonts w:ascii="Arial" w:eastAsia="仿宋" w:hAnsi="Arial" w:cs="Arial"/>
                <w:bCs/>
                <w:sz w:val="21"/>
                <w:szCs w:val="21"/>
              </w:rPr>
              <w:t>）</w:t>
            </w:r>
          </w:p>
        </w:tc>
        <w:tc>
          <w:tcPr>
            <w:tcW w:w="1422" w:type="pct"/>
            <w:shd w:val="clear" w:color="auto" w:fill="auto"/>
            <w:noWrap/>
            <w:vAlign w:val="center"/>
          </w:tcPr>
          <w:p w14:paraId="1E8EE6A7"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投资利息</w:t>
            </w:r>
          </w:p>
        </w:tc>
        <w:tc>
          <w:tcPr>
            <w:tcW w:w="627" w:type="pct"/>
            <w:shd w:val="clear" w:color="auto" w:fill="auto"/>
            <w:noWrap/>
            <w:vAlign w:val="center"/>
          </w:tcPr>
          <w:p w14:paraId="6B336A4F" w14:textId="77777777" w:rsidR="0062768B" w:rsidRDefault="0062768B">
            <w:pPr>
              <w:widowControl/>
              <w:adjustRightInd/>
              <w:spacing w:line="240" w:lineRule="exact"/>
              <w:textAlignment w:val="auto"/>
              <w:rPr>
                <w:rFonts w:ascii="Arial" w:eastAsia="仿宋" w:hAnsi="Arial" w:cs="Arial"/>
                <w:bCs/>
                <w:sz w:val="21"/>
                <w:szCs w:val="21"/>
              </w:rPr>
            </w:pPr>
          </w:p>
        </w:tc>
        <w:tc>
          <w:tcPr>
            <w:tcW w:w="634" w:type="pct"/>
            <w:shd w:val="clear" w:color="auto" w:fill="auto"/>
            <w:noWrap/>
            <w:vAlign w:val="center"/>
          </w:tcPr>
          <w:p w14:paraId="2E824A24"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57632137"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10FE2887"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4.75%</w:t>
            </w:r>
          </w:p>
        </w:tc>
        <w:tc>
          <w:tcPr>
            <w:tcW w:w="1038" w:type="pct"/>
          </w:tcPr>
          <w:p w14:paraId="01658BF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复利计息。后续开发成本、管理费用及销售费用产生的利息</w:t>
            </w:r>
          </w:p>
        </w:tc>
      </w:tr>
      <w:tr w:rsidR="0062768B" w14:paraId="1576CA24" w14:textId="77777777">
        <w:trPr>
          <w:cantSplit/>
          <w:jc w:val="center"/>
        </w:trPr>
        <w:tc>
          <w:tcPr>
            <w:tcW w:w="332" w:type="pct"/>
            <w:shd w:val="clear" w:color="auto" w:fill="auto"/>
            <w:noWrap/>
            <w:vAlign w:val="center"/>
          </w:tcPr>
          <w:p w14:paraId="0FE4190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w:t>
            </w:r>
          </w:p>
        </w:tc>
        <w:tc>
          <w:tcPr>
            <w:tcW w:w="1422" w:type="pct"/>
            <w:shd w:val="clear" w:color="auto" w:fill="auto"/>
            <w:noWrap/>
            <w:vAlign w:val="center"/>
          </w:tcPr>
          <w:p w14:paraId="3CA119B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土地购买价格及购地税</w:t>
            </w:r>
            <w:proofErr w:type="gramStart"/>
            <w:r>
              <w:rPr>
                <w:rFonts w:ascii="Arial" w:eastAsia="仿宋" w:hAnsi="Arial" w:cs="Arial"/>
                <w:sz w:val="21"/>
                <w:szCs w:val="21"/>
              </w:rPr>
              <w:t>费产生</w:t>
            </w:r>
            <w:proofErr w:type="gramEnd"/>
            <w:r>
              <w:rPr>
                <w:rFonts w:ascii="Arial" w:eastAsia="仿宋" w:hAnsi="Arial" w:cs="Arial"/>
                <w:sz w:val="21"/>
                <w:szCs w:val="21"/>
              </w:rPr>
              <w:t>的利息</w:t>
            </w:r>
          </w:p>
        </w:tc>
        <w:tc>
          <w:tcPr>
            <w:tcW w:w="627" w:type="pct"/>
            <w:shd w:val="clear" w:color="auto" w:fill="auto"/>
            <w:noWrap/>
            <w:vAlign w:val="center"/>
          </w:tcPr>
          <w:p w14:paraId="0B636BF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bCs/>
                <w:sz w:val="21"/>
                <w:szCs w:val="21"/>
              </w:rPr>
              <w:t>0.1268P</w:t>
            </w:r>
            <w:r>
              <w:rPr>
                <w:rFonts w:ascii="Arial" w:eastAsia="仿宋" w:hAnsi="Arial" w:cs="Arial"/>
                <w:bCs/>
                <w:sz w:val="21"/>
                <w:szCs w:val="21"/>
                <w:vertAlign w:val="subscript"/>
              </w:rPr>
              <w:t>土</w:t>
            </w:r>
          </w:p>
        </w:tc>
        <w:tc>
          <w:tcPr>
            <w:tcW w:w="634" w:type="pct"/>
            <w:shd w:val="clear" w:color="auto" w:fill="auto"/>
            <w:noWrap/>
            <w:vAlign w:val="center"/>
          </w:tcPr>
          <w:p w14:paraId="003197A2"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0992DE79"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626D7969" w14:textId="77777777" w:rsidR="0062768B" w:rsidRDefault="0062768B">
            <w:pPr>
              <w:widowControl/>
              <w:adjustRightInd/>
              <w:spacing w:line="240" w:lineRule="exact"/>
              <w:textAlignment w:val="auto"/>
              <w:rPr>
                <w:rFonts w:ascii="Arial" w:eastAsia="仿宋" w:hAnsi="Arial" w:cs="Arial"/>
                <w:sz w:val="21"/>
                <w:szCs w:val="21"/>
              </w:rPr>
            </w:pPr>
          </w:p>
        </w:tc>
        <w:tc>
          <w:tcPr>
            <w:tcW w:w="1038" w:type="pct"/>
          </w:tcPr>
          <w:p w14:paraId="1CD794D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取得税费率</w:t>
            </w:r>
            <w:r>
              <w:rPr>
                <w:rFonts w:ascii="Arial" w:eastAsia="仿宋" w:hAnsi="Arial" w:cs="Arial"/>
                <w:sz w:val="21"/>
                <w:szCs w:val="21"/>
              </w:rPr>
              <w:t>/(1+5%)</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年利率</w:t>
            </w:r>
            <w:r>
              <w:rPr>
                <w:rFonts w:ascii="Arial" w:eastAsia="仿宋" w:hAnsi="Arial" w:cs="Arial"/>
                <w:sz w:val="21"/>
                <w:szCs w:val="21"/>
              </w:rPr>
              <w:t>×</w:t>
            </w:r>
            <w:r>
              <w:rPr>
                <w:rFonts w:ascii="Arial" w:eastAsia="仿宋" w:hAnsi="Arial" w:cs="Arial"/>
                <w:sz w:val="21"/>
                <w:szCs w:val="21"/>
              </w:rPr>
              <w:t>建设期</w:t>
            </w:r>
          </w:p>
        </w:tc>
      </w:tr>
      <w:tr w:rsidR="0062768B" w14:paraId="36069126" w14:textId="77777777">
        <w:trPr>
          <w:cantSplit/>
          <w:jc w:val="center"/>
        </w:trPr>
        <w:tc>
          <w:tcPr>
            <w:tcW w:w="332" w:type="pct"/>
            <w:shd w:val="clear" w:color="auto" w:fill="auto"/>
            <w:noWrap/>
            <w:vAlign w:val="center"/>
          </w:tcPr>
          <w:p w14:paraId="0935711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w:t>
            </w:r>
          </w:p>
        </w:tc>
        <w:tc>
          <w:tcPr>
            <w:tcW w:w="1422" w:type="pct"/>
            <w:shd w:val="clear" w:color="auto" w:fill="auto"/>
            <w:noWrap/>
            <w:vAlign w:val="center"/>
          </w:tcPr>
          <w:p w14:paraId="62413B8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5</w:t>
            </w:r>
            <w:r>
              <w:rPr>
                <w:rFonts w:ascii="Arial" w:eastAsia="仿宋" w:hAnsi="Arial" w:cs="Arial"/>
                <w:sz w:val="21"/>
                <w:szCs w:val="21"/>
              </w:rPr>
              <w:t>）</w:t>
            </w:r>
            <w:proofErr w:type="gramStart"/>
            <w:r>
              <w:rPr>
                <w:rFonts w:ascii="Arial" w:eastAsia="仿宋" w:hAnsi="Arial" w:cs="Arial"/>
                <w:sz w:val="21"/>
                <w:szCs w:val="21"/>
              </w:rPr>
              <w:t>项产生</w:t>
            </w:r>
            <w:proofErr w:type="gramEnd"/>
            <w:r>
              <w:rPr>
                <w:rFonts w:ascii="Arial" w:eastAsia="仿宋" w:hAnsi="Arial" w:cs="Arial"/>
                <w:sz w:val="21"/>
                <w:szCs w:val="21"/>
              </w:rPr>
              <w:t>的利息</w:t>
            </w:r>
          </w:p>
        </w:tc>
        <w:tc>
          <w:tcPr>
            <w:tcW w:w="627" w:type="pct"/>
            <w:shd w:val="clear" w:color="auto" w:fill="auto"/>
            <w:noWrap/>
            <w:vAlign w:val="center"/>
          </w:tcPr>
          <w:p w14:paraId="7B967E2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1.4821</w:t>
            </w:r>
          </w:p>
        </w:tc>
        <w:tc>
          <w:tcPr>
            <w:tcW w:w="634" w:type="pct"/>
            <w:shd w:val="clear" w:color="auto" w:fill="auto"/>
            <w:noWrap/>
            <w:vAlign w:val="center"/>
          </w:tcPr>
          <w:p w14:paraId="577216D3"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4EE27E49"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621383FE" w14:textId="77777777" w:rsidR="0062768B" w:rsidRDefault="0062768B">
            <w:pPr>
              <w:widowControl/>
              <w:adjustRightInd/>
              <w:spacing w:line="240" w:lineRule="exact"/>
              <w:textAlignment w:val="auto"/>
              <w:rPr>
                <w:rFonts w:ascii="Arial" w:eastAsia="仿宋" w:hAnsi="Arial" w:cs="Arial"/>
                <w:sz w:val="21"/>
                <w:szCs w:val="21"/>
              </w:rPr>
            </w:pPr>
          </w:p>
        </w:tc>
        <w:tc>
          <w:tcPr>
            <w:tcW w:w="1038" w:type="pct"/>
          </w:tcPr>
          <w:p w14:paraId="21BBA06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3</w:t>
            </w:r>
            <w:r>
              <w:rPr>
                <w:rFonts w:ascii="Arial" w:eastAsia="仿宋" w:hAnsi="Arial" w:cs="Arial"/>
                <w:sz w:val="21"/>
                <w:szCs w:val="21"/>
              </w:rPr>
              <w:t>）项</w:t>
            </w:r>
            <w:r>
              <w:rPr>
                <w:rFonts w:ascii="Arial" w:eastAsia="仿宋" w:hAnsi="Arial" w:cs="Arial"/>
                <w:sz w:val="21"/>
                <w:szCs w:val="21"/>
              </w:rPr>
              <w:t>×</w:t>
            </w:r>
            <w:r>
              <w:rPr>
                <w:rFonts w:ascii="Arial" w:eastAsia="仿宋" w:hAnsi="Arial" w:cs="Arial"/>
                <w:sz w:val="21"/>
                <w:szCs w:val="21"/>
              </w:rPr>
              <w:t>年利率</w:t>
            </w:r>
            <w:r>
              <w:rPr>
                <w:rFonts w:ascii="Arial" w:eastAsia="仿宋" w:hAnsi="Arial" w:cs="Arial"/>
                <w:sz w:val="21"/>
                <w:szCs w:val="21"/>
              </w:rPr>
              <w:t>×</w:t>
            </w:r>
            <w:r>
              <w:rPr>
                <w:rFonts w:ascii="Arial" w:eastAsia="仿宋" w:hAnsi="Arial" w:cs="Arial"/>
                <w:sz w:val="21"/>
                <w:szCs w:val="21"/>
              </w:rPr>
              <w:t>建设期</w:t>
            </w:r>
            <w:r>
              <w:rPr>
                <w:rFonts w:ascii="Arial" w:eastAsia="仿宋" w:hAnsi="Arial" w:cs="Arial"/>
                <w:sz w:val="21"/>
                <w:szCs w:val="21"/>
              </w:rPr>
              <w:t>÷2</w:t>
            </w:r>
          </w:p>
        </w:tc>
      </w:tr>
      <w:tr w:rsidR="0062768B" w14:paraId="5F3E364C" w14:textId="77777777">
        <w:trPr>
          <w:cantSplit/>
          <w:jc w:val="center"/>
        </w:trPr>
        <w:tc>
          <w:tcPr>
            <w:tcW w:w="332" w:type="pct"/>
            <w:shd w:val="clear" w:color="auto" w:fill="auto"/>
            <w:noWrap/>
            <w:vAlign w:val="center"/>
          </w:tcPr>
          <w:p w14:paraId="34FB3BF1"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8</w:t>
            </w:r>
            <w:r>
              <w:rPr>
                <w:rFonts w:ascii="Arial" w:eastAsia="仿宋" w:hAnsi="Arial" w:cs="Arial"/>
                <w:bCs/>
                <w:sz w:val="21"/>
                <w:szCs w:val="21"/>
              </w:rPr>
              <w:t>）</w:t>
            </w:r>
          </w:p>
        </w:tc>
        <w:tc>
          <w:tcPr>
            <w:tcW w:w="1422" w:type="pct"/>
            <w:shd w:val="clear" w:color="auto" w:fill="auto"/>
            <w:noWrap/>
            <w:vAlign w:val="center"/>
          </w:tcPr>
          <w:p w14:paraId="25375DED"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销售税费</w:t>
            </w:r>
          </w:p>
        </w:tc>
        <w:tc>
          <w:tcPr>
            <w:tcW w:w="627" w:type="pct"/>
            <w:shd w:val="clear" w:color="auto" w:fill="auto"/>
            <w:noWrap/>
            <w:vAlign w:val="center"/>
          </w:tcPr>
          <w:p w14:paraId="581B0A9D"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4.4984</w:t>
            </w:r>
          </w:p>
        </w:tc>
        <w:tc>
          <w:tcPr>
            <w:tcW w:w="634" w:type="pct"/>
            <w:shd w:val="clear" w:color="auto" w:fill="auto"/>
            <w:noWrap/>
            <w:vAlign w:val="center"/>
          </w:tcPr>
          <w:p w14:paraId="207307BF"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77FCF4A3"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3E4211A4"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5.5%</w:t>
            </w:r>
          </w:p>
        </w:tc>
        <w:tc>
          <w:tcPr>
            <w:tcW w:w="1038" w:type="pct"/>
          </w:tcPr>
          <w:p w14:paraId="07ABA74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以</w:t>
            </w:r>
            <w:r>
              <w:rPr>
                <w:rFonts w:ascii="Arial" w:eastAsia="仿宋" w:hAnsi="Arial" w:cs="Arial"/>
                <w:sz w:val="21"/>
                <w:szCs w:val="21"/>
              </w:rPr>
              <w:t>“</w:t>
            </w:r>
            <w:r>
              <w:rPr>
                <w:rFonts w:ascii="Arial" w:eastAsia="仿宋" w:hAnsi="Arial" w:cs="Arial"/>
                <w:sz w:val="21"/>
                <w:szCs w:val="21"/>
              </w:rPr>
              <w:t>开发完成后不动产总价</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1+5%</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为基数计取</w:t>
            </w:r>
          </w:p>
        </w:tc>
      </w:tr>
      <w:tr w:rsidR="0062768B" w14:paraId="34B74519" w14:textId="77777777">
        <w:trPr>
          <w:cantSplit/>
          <w:jc w:val="center"/>
        </w:trPr>
        <w:tc>
          <w:tcPr>
            <w:tcW w:w="332" w:type="pct"/>
            <w:shd w:val="clear" w:color="auto" w:fill="auto"/>
            <w:vAlign w:val="center"/>
          </w:tcPr>
          <w:p w14:paraId="70B5EF14"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w:t>
            </w:r>
          </w:p>
        </w:tc>
        <w:tc>
          <w:tcPr>
            <w:tcW w:w="1422" w:type="pct"/>
            <w:shd w:val="clear" w:color="auto" w:fill="auto"/>
            <w:vAlign w:val="center"/>
          </w:tcPr>
          <w:p w14:paraId="0EA1BA92"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投资利润</w:t>
            </w:r>
          </w:p>
        </w:tc>
        <w:tc>
          <w:tcPr>
            <w:tcW w:w="627" w:type="pct"/>
            <w:shd w:val="clear" w:color="auto" w:fill="auto"/>
            <w:vAlign w:val="center"/>
          </w:tcPr>
          <w:p w14:paraId="6D7F2085" w14:textId="77777777" w:rsidR="0062768B" w:rsidRDefault="0062768B">
            <w:pPr>
              <w:widowControl/>
              <w:adjustRightInd/>
              <w:spacing w:line="240" w:lineRule="exact"/>
              <w:textAlignment w:val="auto"/>
              <w:rPr>
                <w:rFonts w:ascii="Arial" w:eastAsia="仿宋" w:hAnsi="Arial" w:cs="Arial"/>
                <w:bCs/>
                <w:sz w:val="21"/>
                <w:szCs w:val="21"/>
              </w:rPr>
            </w:pPr>
          </w:p>
        </w:tc>
        <w:tc>
          <w:tcPr>
            <w:tcW w:w="634" w:type="pct"/>
            <w:shd w:val="clear" w:color="auto" w:fill="auto"/>
            <w:noWrap/>
            <w:vAlign w:val="center"/>
          </w:tcPr>
          <w:p w14:paraId="410F71F9"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0894276A"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vAlign w:val="center"/>
          </w:tcPr>
          <w:p w14:paraId="36B8CBB3"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sz w:val="21"/>
                <w:szCs w:val="21"/>
              </w:rPr>
              <w:t>20%</w:t>
            </w:r>
          </w:p>
        </w:tc>
        <w:tc>
          <w:tcPr>
            <w:tcW w:w="1038" w:type="pct"/>
          </w:tcPr>
          <w:p w14:paraId="6A6B62B9" w14:textId="77777777" w:rsidR="0062768B" w:rsidRDefault="0062768B">
            <w:pPr>
              <w:widowControl/>
              <w:adjustRightInd/>
              <w:spacing w:line="240" w:lineRule="exact"/>
              <w:textAlignment w:val="auto"/>
              <w:rPr>
                <w:rFonts w:ascii="Arial" w:eastAsia="仿宋" w:hAnsi="Arial" w:cs="Arial"/>
                <w:sz w:val="21"/>
                <w:szCs w:val="21"/>
              </w:rPr>
            </w:pPr>
          </w:p>
        </w:tc>
      </w:tr>
      <w:tr w:rsidR="0062768B" w14:paraId="4BFE2DB9" w14:textId="77777777">
        <w:trPr>
          <w:cantSplit/>
          <w:jc w:val="center"/>
        </w:trPr>
        <w:tc>
          <w:tcPr>
            <w:tcW w:w="332" w:type="pct"/>
            <w:shd w:val="clear" w:color="auto" w:fill="auto"/>
            <w:vAlign w:val="center"/>
          </w:tcPr>
          <w:p w14:paraId="75E2AD8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w:t>
            </w:r>
          </w:p>
        </w:tc>
        <w:tc>
          <w:tcPr>
            <w:tcW w:w="1422" w:type="pct"/>
            <w:shd w:val="clear" w:color="auto" w:fill="auto"/>
            <w:noWrap/>
            <w:vAlign w:val="center"/>
          </w:tcPr>
          <w:p w14:paraId="14278E3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土地购买价格及购地税费应计的利润</w:t>
            </w:r>
          </w:p>
        </w:tc>
        <w:tc>
          <w:tcPr>
            <w:tcW w:w="627" w:type="pct"/>
            <w:shd w:val="clear" w:color="auto" w:fill="auto"/>
            <w:noWrap/>
            <w:vAlign w:val="center"/>
          </w:tcPr>
          <w:p w14:paraId="4C870E1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0.2061</w:t>
            </w:r>
            <w:r>
              <w:rPr>
                <w:rFonts w:ascii="Arial" w:eastAsia="仿宋" w:hAnsi="Arial" w:cs="Arial"/>
                <w:bCs/>
                <w:sz w:val="21"/>
                <w:szCs w:val="21"/>
              </w:rPr>
              <w:t>P</w:t>
            </w:r>
            <w:r>
              <w:rPr>
                <w:rFonts w:ascii="Arial" w:eastAsia="仿宋" w:hAnsi="Arial" w:cs="Arial"/>
                <w:bCs/>
                <w:sz w:val="21"/>
                <w:szCs w:val="21"/>
              </w:rPr>
              <w:t>土</w:t>
            </w:r>
          </w:p>
        </w:tc>
        <w:tc>
          <w:tcPr>
            <w:tcW w:w="634" w:type="pct"/>
            <w:shd w:val="clear" w:color="auto" w:fill="auto"/>
            <w:noWrap/>
            <w:vAlign w:val="center"/>
          </w:tcPr>
          <w:p w14:paraId="7433B6AE"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7EF431DC"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vAlign w:val="center"/>
          </w:tcPr>
          <w:p w14:paraId="7929C07A" w14:textId="77777777" w:rsidR="0062768B" w:rsidRDefault="0062768B">
            <w:pPr>
              <w:widowControl/>
              <w:adjustRightInd/>
              <w:spacing w:line="240" w:lineRule="exact"/>
              <w:textAlignment w:val="auto"/>
              <w:rPr>
                <w:rFonts w:ascii="Arial" w:eastAsia="仿宋" w:hAnsi="Arial" w:cs="Arial"/>
                <w:sz w:val="21"/>
                <w:szCs w:val="21"/>
              </w:rPr>
            </w:pPr>
          </w:p>
        </w:tc>
        <w:tc>
          <w:tcPr>
            <w:tcW w:w="1038" w:type="pct"/>
          </w:tcPr>
          <w:p w14:paraId="51C9F66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P+P*</w:t>
            </w:r>
            <w:r>
              <w:rPr>
                <w:rFonts w:ascii="Arial" w:eastAsia="仿宋" w:hAnsi="Arial" w:cs="Arial"/>
                <w:sz w:val="21"/>
                <w:szCs w:val="21"/>
              </w:rPr>
              <w:t>取得税费</w:t>
            </w:r>
            <w:commentRangeStart w:id="375"/>
            <w:r>
              <w:rPr>
                <w:rFonts w:ascii="Arial" w:eastAsia="仿宋" w:hAnsi="Arial" w:cs="Arial"/>
                <w:sz w:val="21"/>
                <w:szCs w:val="21"/>
              </w:rPr>
              <w:t>/(1+5%)</w:t>
            </w:r>
            <w:commentRangeEnd w:id="375"/>
            <w:r w:rsidR="00343FA8">
              <w:rPr>
                <w:rStyle w:val="af6"/>
                <w:lang w:val="zh-CN"/>
              </w:rPr>
              <w:commentReference w:id="375"/>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利润率</w:t>
            </w:r>
          </w:p>
        </w:tc>
      </w:tr>
      <w:tr w:rsidR="0062768B" w14:paraId="2611EBC3" w14:textId="77777777">
        <w:trPr>
          <w:cantSplit/>
          <w:jc w:val="center"/>
        </w:trPr>
        <w:tc>
          <w:tcPr>
            <w:tcW w:w="332" w:type="pct"/>
            <w:shd w:val="clear" w:color="auto" w:fill="auto"/>
            <w:vAlign w:val="center"/>
          </w:tcPr>
          <w:p w14:paraId="712CF26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w:t>
            </w:r>
          </w:p>
        </w:tc>
        <w:tc>
          <w:tcPr>
            <w:tcW w:w="1422" w:type="pct"/>
            <w:shd w:val="clear" w:color="auto" w:fill="auto"/>
            <w:noWrap/>
            <w:vAlign w:val="center"/>
          </w:tcPr>
          <w:p w14:paraId="645CAF0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5</w:t>
            </w:r>
            <w:r>
              <w:rPr>
                <w:rFonts w:ascii="Arial" w:eastAsia="仿宋" w:hAnsi="Arial" w:cs="Arial"/>
                <w:sz w:val="21"/>
                <w:szCs w:val="21"/>
              </w:rPr>
              <w:t>）项及销售费用产生的利息</w:t>
            </w:r>
          </w:p>
        </w:tc>
        <w:tc>
          <w:tcPr>
            <w:tcW w:w="627" w:type="pct"/>
            <w:shd w:val="clear" w:color="auto" w:fill="auto"/>
            <w:vAlign w:val="center"/>
          </w:tcPr>
          <w:p w14:paraId="52B3E71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4.9631</w:t>
            </w:r>
          </w:p>
        </w:tc>
        <w:tc>
          <w:tcPr>
            <w:tcW w:w="634" w:type="pct"/>
            <w:shd w:val="clear" w:color="auto" w:fill="auto"/>
            <w:noWrap/>
            <w:vAlign w:val="center"/>
          </w:tcPr>
          <w:p w14:paraId="5AB4B8F0"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6227C4C0"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vAlign w:val="center"/>
          </w:tcPr>
          <w:p w14:paraId="2AB3D35E" w14:textId="77777777" w:rsidR="0062768B" w:rsidRDefault="0062768B">
            <w:pPr>
              <w:widowControl/>
              <w:adjustRightInd/>
              <w:spacing w:line="240" w:lineRule="exact"/>
              <w:textAlignment w:val="auto"/>
              <w:rPr>
                <w:rFonts w:ascii="Arial" w:eastAsia="仿宋" w:hAnsi="Arial" w:cs="Arial"/>
                <w:sz w:val="21"/>
                <w:szCs w:val="21"/>
              </w:rPr>
            </w:pPr>
          </w:p>
        </w:tc>
        <w:tc>
          <w:tcPr>
            <w:tcW w:w="1038" w:type="pct"/>
          </w:tcPr>
          <w:p w14:paraId="4FC079EA" w14:textId="77777777" w:rsidR="0062768B" w:rsidRDefault="0062768B">
            <w:pPr>
              <w:widowControl/>
              <w:adjustRightInd/>
              <w:spacing w:line="240" w:lineRule="exact"/>
              <w:textAlignment w:val="auto"/>
              <w:rPr>
                <w:rFonts w:ascii="Arial" w:eastAsia="仿宋" w:hAnsi="Arial" w:cs="Arial"/>
                <w:sz w:val="21"/>
                <w:szCs w:val="21"/>
              </w:rPr>
            </w:pPr>
          </w:p>
        </w:tc>
      </w:tr>
      <w:tr w:rsidR="0062768B" w14:paraId="49B7E7FB" w14:textId="77777777">
        <w:trPr>
          <w:cantSplit/>
          <w:jc w:val="center"/>
        </w:trPr>
        <w:tc>
          <w:tcPr>
            <w:tcW w:w="1754" w:type="pct"/>
            <w:gridSpan w:val="2"/>
            <w:shd w:val="clear" w:color="auto" w:fill="auto"/>
            <w:noWrap/>
            <w:vAlign w:val="center"/>
          </w:tcPr>
          <w:p w14:paraId="188E64F2"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4 .</w:t>
            </w:r>
            <w:r>
              <w:rPr>
                <w:rFonts w:ascii="Arial" w:eastAsia="仿宋" w:hAnsi="Arial" w:cs="Arial"/>
                <w:bCs/>
                <w:sz w:val="21"/>
                <w:szCs w:val="21"/>
              </w:rPr>
              <w:t>土地价格</w:t>
            </w:r>
          </w:p>
        </w:tc>
        <w:tc>
          <w:tcPr>
            <w:tcW w:w="627" w:type="pct"/>
            <w:shd w:val="clear" w:color="auto" w:fill="auto"/>
            <w:noWrap/>
            <w:vAlign w:val="center"/>
          </w:tcPr>
          <w:p w14:paraId="29C347DF"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36.7602</w:t>
            </w:r>
          </w:p>
        </w:tc>
        <w:tc>
          <w:tcPr>
            <w:tcW w:w="634" w:type="pct"/>
            <w:shd w:val="clear" w:color="auto" w:fill="auto"/>
            <w:noWrap/>
            <w:vAlign w:val="center"/>
          </w:tcPr>
          <w:p w14:paraId="43A8F314"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43822187"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724D1B05" w14:textId="77777777" w:rsidR="0062768B" w:rsidRDefault="0062768B">
            <w:pPr>
              <w:widowControl/>
              <w:adjustRightInd/>
              <w:spacing w:line="240" w:lineRule="exact"/>
              <w:textAlignment w:val="auto"/>
              <w:rPr>
                <w:rFonts w:ascii="Arial" w:eastAsia="仿宋" w:hAnsi="Arial" w:cs="Arial"/>
                <w:bCs/>
                <w:sz w:val="21"/>
                <w:szCs w:val="21"/>
              </w:rPr>
            </w:pPr>
          </w:p>
        </w:tc>
        <w:tc>
          <w:tcPr>
            <w:tcW w:w="1038" w:type="pct"/>
          </w:tcPr>
          <w:p w14:paraId="13128D00"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1-2-3</w:t>
            </w:r>
          </w:p>
        </w:tc>
      </w:tr>
      <w:tr w:rsidR="0062768B" w14:paraId="575971D8" w14:textId="77777777">
        <w:trPr>
          <w:cantSplit/>
          <w:jc w:val="center"/>
        </w:trPr>
        <w:tc>
          <w:tcPr>
            <w:tcW w:w="1754" w:type="pct"/>
            <w:gridSpan w:val="2"/>
            <w:shd w:val="clear" w:color="auto" w:fill="auto"/>
            <w:noWrap/>
            <w:vAlign w:val="center"/>
          </w:tcPr>
          <w:p w14:paraId="2F4B5DC1"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5 .</w:t>
            </w:r>
            <w:r>
              <w:rPr>
                <w:rFonts w:ascii="Arial" w:eastAsia="仿宋" w:hAnsi="Arial" w:cs="Arial"/>
                <w:bCs/>
                <w:sz w:val="21"/>
                <w:szCs w:val="21"/>
              </w:rPr>
              <w:t>楼面价</w:t>
            </w:r>
          </w:p>
        </w:tc>
        <w:tc>
          <w:tcPr>
            <w:tcW w:w="627" w:type="pct"/>
            <w:shd w:val="clear" w:color="auto" w:fill="auto"/>
            <w:noWrap/>
            <w:vAlign w:val="center"/>
          </w:tcPr>
          <w:p w14:paraId="79587938"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9426</w:t>
            </w:r>
          </w:p>
        </w:tc>
        <w:tc>
          <w:tcPr>
            <w:tcW w:w="634" w:type="pct"/>
            <w:shd w:val="clear" w:color="auto" w:fill="auto"/>
            <w:noWrap/>
            <w:vAlign w:val="center"/>
          </w:tcPr>
          <w:p w14:paraId="522F5DD1"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7E2EFA28"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6B3FCB90" w14:textId="77777777" w:rsidR="0062768B" w:rsidRDefault="0062768B">
            <w:pPr>
              <w:widowControl/>
              <w:adjustRightInd/>
              <w:spacing w:line="240" w:lineRule="exact"/>
              <w:textAlignment w:val="auto"/>
              <w:rPr>
                <w:rFonts w:ascii="Arial" w:eastAsia="仿宋" w:hAnsi="Arial" w:cs="Arial"/>
                <w:bCs/>
                <w:sz w:val="21"/>
                <w:szCs w:val="21"/>
              </w:rPr>
            </w:pPr>
          </w:p>
        </w:tc>
        <w:tc>
          <w:tcPr>
            <w:tcW w:w="1038" w:type="pct"/>
          </w:tcPr>
          <w:p w14:paraId="0971370C"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土地价格</w:t>
            </w:r>
            <w:r>
              <w:rPr>
                <w:rFonts w:ascii="Arial" w:eastAsia="仿宋" w:hAnsi="Arial" w:cs="Arial"/>
                <w:sz w:val="21"/>
                <w:szCs w:val="21"/>
              </w:rPr>
              <w:t>÷</w:t>
            </w:r>
            <w:r>
              <w:rPr>
                <w:rFonts w:ascii="Arial" w:eastAsia="仿宋" w:hAnsi="Arial" w:cs="Arial"/>
                <w:sz w:val="21"/>
                <w:szCs w:val="21"/>
              </w:rPr>
              <w:t>建筑规模</w:t>
            </w:r>
          </w:p>
        </w:tc>
      </w:tr>
    </w:tbl>
    <w:p w14:paraId="1D7144F0" w14:textId="77777777" w:rsidR="0062768B" w:rsidRDefault="00136729">
      <w:pPr>
        <w:spacing w:before="50" w:after="50" w:line="300" w:lineRule="auto"/>
        <w:rPr>
          <w:rFonts w:ascii="Arial" w:eastAsia="仿宋_GB2312" w:hAnsi="Arial" w:cs="Arial"/>
          <w:sz w:val="28"/>
        </w:rPr>
      </w:pPr>
      <w:r>
        <w:rPr>
          <w:rFonts w:ascii="Arial" w:eastAsia="仿宋" w:hAnsi="Arial" w:cs="Arial"/>
          <w:sz w:val="21"/>
          <w:szCs w:val="21"/>
        </w:rPr>
        <w:t>单位：万元、平方米、元</w:t>
      </w:r>
      <w:r>
        <w:rPr>
          <w:rFonts w:ascii="Arial" w:eastAsia="仿宋" w:hAnsi="Arial" w:cs="Arial"/>
          <w:sz w:val="21"/>
          <w:szCs w:val="21"/>
        </w:rPr>
        <w:t>/</w:t>
      </w:r>
      <w:r>
        <w:rPr>
          <w:rFonts w:ascii="Arial" w:eastAsia="仿宋" w:hAnsi="Arial" w:cs="Arial"/>
          <w:sz w:val="21"/>
          <w:szCs w:val="21"/>
        </w:rPr>
        <w:t>平方米</w:t>
      </w:r>
    </w:p>
    <w:p w14:paraId="1D6E5A05" w14:textId="77777777" w:rsidR="0062768B" w:rsidRDefault="0062768B">
      <w:pPr>
        <w:spacing w:line="300" w:lineRule="auto"/>
        <w:ind w:right="14"/>
        <w:rPr>
          <w:rFonts w:ascii="Arial" w:eastAsia="仿宋" w:hAnsi="Arial" w:cs="Arial"/>
          <w:sz w:val="21"/>
          <w:szCs w:val="21"/>
        </w:rPr>
      </w:pPr>
    </w:p>
    <w:p w14:paraId="2D803973" w14:textId="77777777" w:rsidR="0062768B" w:rsidRDefault="00136729">
      <w:pPr>
        <w:spacing w:before="50" w:after="50" w:line="300" w:lineRule="auto"/>
        <w:ind w:firstLineChars="200" w:firstLine="562"/>
        <w:rPr>
          <w:rFonts w:ascii="Arial" w:eastAsia="仿宋" w:hAnsi="Arial" w:cs="Arial"/>
          <w:b/>
          <w:sz w:val="28"/>
        </w:rPr>
      </w:pPr>
      <w:r>
        <w:rPr>
          <w:rFonts w:ascii="Arial" w:eastAsia="仿宋" w:hAnsi="Arial" w:cs="Arial"/>
          <w:b/>
          <w:sz w:val="28"/>
          <w:szCs w:val="28"/>
        </w:rPr>
        <w:br w:type="page"/>
      </w:r>
      <w:r>
        <w:rPr>
          <w:rFonts w:ascii="Arial" w:eastAsia="仿宋" w:hAnsi="Arial" w:cs="Arial"/>
          <w:bCs/>
          <w:sz w:val="28"/>
        </w:rPr>
        <w:lastRenderedPageBreak/>
        <w:t>3.</w:t>
      </w:r>
      <w:r>
        <w:rPr>
          <w:rFonts w:ascii="Arial" w:eastAsia="仿宋" w:hAnsi="Arial" w:cs="Arial"/>
          <w:b/>
          <w:sz w:val="28"/>
        </w:rPr>
        <w:t>求取估价对象公共服务</w:t>
      </w:r>
      <w:proofErr w:type="gramStart"/>
      <w:r>
        <w:rPr>
          <w:rFonts w:ascii="Arial" w:eastAsia="仿宋" w:hAnsi="Arial" w:cs="Arial"/>
          <w:b/>
          <w:sz w:val="28"/>
          <w:szCs w:val="28"/>
        </w:rPr>
        <w:t>用途楼</w:t>
      </w:r>
      <w:proofErr w:type="gramEnd"/>
      <w:r>
        <w:rPr>
          <w:rFonts w:ascii="Arial" w:eastAsia="仿宋" w:hAnsi="Arial" w:cs="Arial"/>
          <w:b/>
          <w:sz w:val="28"/>
          <w:szCs w:val="28"/>
        </w:rPr>
        <w:t>面</w:t>
      </w:r>
      <w:r>
        <w:rPr>
          <w:rFonts w:ascii="Arial" w:eastAsia="仿宋" w:hAnsi="Arial" w:cs="Arial"/>
          <w:b/>
          <w:sz w:val="28"/>
        </w:rPr>
        <w:t>熟地价</w:t>
      </w:r>
    </w:p>
    <w:p w14:paraId="2B28BD22" w14:textId="77777777" w:rsidR="0062768B" w:rsidRDefault="00136729">
      <w:pPr>
        <w:spacing w:line="300" w:lineRule="auto"/>
        <w:ind w:firstLineChars="200" w:firstLine="560"/>
        <w:rPr>
          <w:rFonts w:ascii="Arial" w:eastAsia="仿宋" w:hAnsi="Arial" w:cs="Arial"/>
          <w:bCs/>
          <w:sz w:val="28"/>
        </w:rPr>
      </w:pPr>
      <w:r>
        <w:rPr>
          <w:rFonts w:ascii="Arial" w:eastAsia="仿宋" w:hAnsi="Arial" w:cs="Arial"/>
          <w:bCs/>
          <w:sz w:val="28"/>
        </w:rPr>
        <w:t>（</w:t>
      </w:r>
      <w:r>
        <w:rPr>
          <w:rFonts w:ascii="Arial" w:eastAsia="仿宋" w:hAnsi="Arial" w:cs="Arial"/>
          <w:bCs/>
          <w:sz w:val="28"/>
        </w:rPr>
        <w:t>1</w:t>
      </w:r>
      <w:r>
        <w:rPr>
          <w:rFonts w:ascii="Arial" w:eastAsia="仿宋" w:hAnsi="Arial" w:cs="Arial"/>
          <w:bCs/>
          <w:sz w:val="28"/>
        </w:rPr>
        <w:t>）土地最有效利用方式</w:t>
      </w:r>
    </w:p>
    <w:p w14:paraId="54EC7859" w14:textId="77777777" w:rsidR="0062768B" w:rsidRDefault="00136729">
      <w:pPr>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北京市规划和自然资源委员会顺义分局</w:t>
      </w:r>
      <w:r>
        <w:rPr>
          <w:rFonts w:ascii="Arial" w:eastAsia="仿宋" w:hAnsi="Arial" w:cs="Arial"/>
          <w:sz w:val="28"/>
          <w:szCs w:val="28"/>
        </w:rPr>
        <w:t>出具的</w:t>
      </w:r>
      <w:r>
        <w:rPr>
          <w:rFonts w:ascii="Arial" w:eastAsia="仿宋" w:hAnsi="Arial" w:cs="Arial" w:hint="eastAsia"/>
          <w:sz w:val="28"/>
        </w:rPr>
        <w:t>《北京市规划和自然资源委员会顺义分局关于顺义区高丽营镇夏县营村棚户区改造土地开发项目</w:t>
      </w:r>
      <w:r>
        <w:rPr>
          <w:rFonts w:ascii="Arial" w:eastAsia="仿宋" w:hAnsi="Arial" w:cs="Arial" w:hint="eastAsia"/>
          <w:sz w:val="28"/>
        </w:rPr>
        <w:t>01-008</w:t>
      </w:r>
      <w:r>
        <w:rPr>
          <w:rFonts w:ascii="Arial" w:eastAsia="仿宋" w:hAnsi="Arial" w:cs="Arial" w:hint="eastAsia"/>
          <w:sz w:val="28"/>
        </w:rPr>
        <w:t>、</w:t>
      </w:r>
      <w:r>
        <w:rPr>
          <w:rFonts w:ascii="Arial" w:eastAsia="仿宋" w:hAnsi="Arial" w:cs="Arial" w:hint="eastAsia"/>
          <w:sz w:val="28"/>
        </w:rPr>
        <w:t>01-015-1</w:t>
      </w:r>
      <w:r>
        <w:rPr>
          <w:rFonts w:ascii="Arial" w:eastAsia="仿宋" w:hAnsi="Arial" w:cs="Arial" w:hint="eastAsia"/>
          <w:sz w:val="28"/>
        </w:rPr>
        <w:t>、</w:t>
      </w:r>
      <w:r>
        <w:rPr>
          <w:rFonts w:ascii="Arial" w:eastAsia="仿宋" w:hAnsi="Arial" w:cs="Arial" w:hint="eastAsia"/>
          <w:sz w:val="28"/>
        </w:rPr>
        <w:t>01-015-2</w:t>
      </w:r>
      <w:r>
        <w:rPr>
          <w:rFonts w:ascii="Arial" w:eastAsia="仿宋" w:hAnsi="Arial" w:cs="Arial" w:hint="eastAsia"/>
          <w:sz w:val="28"/>
        </w:rPr>
        <w:t>、</w:t>
      </w:r>
      <w:r>
        <w:rPr>
          <w:rFonts w:ascii="Arial" w:eastAsia="仿宋" w:hAnsi="Arial" w:cs="Arial" w:hint="eastAsia"/>
          <w:sz w:val="28"/>
        </w:rPr>
        <w:t>01-016</w:t>
      </w:r>
      <w:r>
        <w:rPr>
          <w:rFonts w:ascii="Arial" w:eastAsia="仿宋" w:hAnsi="Arial" w:cs="Arial" w:hint="eastAsia"/>
          <w:sz w:val="28"/>
        </w:rPr>
        <w:t>、</w:t>
      </w:r>
      <w:r>
        <w:rPr>
          <w:rFonts w:ascii="Arial" w:eastAsia="仿宋" w:hAnsi="Arial" w:cs="Arial" w:hint="eastAsia"/>
          <w:sz w:val="28"/>
        </w:rPr>
        <w:t>01-020</w:t>
      </w:r>
      <w:r>
        <w:rPr>
          <w:rFonts w:ascii="Arial" w:eastAsia="仿宋" w:hAnsi="Arial" w:cs="Arial" w:hint="eastAsia"/>
          <w:sz w:val="28"/>
        </w:rPr>
        <w:t>、</w:t>
      </w:r>
      <w:r>
        <w:rPr>
          <w:rFonts w:ascii="Arial" w:eastAsia="仿宋" w:hAnsi="Arial" w:cs="Arial" w:hint="eastAsia"/>
          <w:sz w:val="28"/>
        </w:rPr>
        <w:t>01-025</w:t>
      </w:r>
      <w:r>
        <w:rPr>
          <w:rFonts w:ascii="Arial" w:eastAsia="仿宋" w:hAnsi="Arial" w:cs="Arial" w:hint="eastAsia"/>
          <w:sz w:val="28"/>
        </w:rPr>
        <w:t>、</w:t>
      </w:r>
      <w:r>
        <w:rPr>
          <w:rFonts w:ascii="Arial" w:eastAsia="仿宋" w:hAnsi="Arial" w:cs="Arial" w:hint="eastAsia"/>
          <w:sz w:val="28"/>
        </w:rPr>
        <w:t>01-026-1</w:t>
      </w:r>
      <w:r>
        <w:rPr>
          <w:rFonts w:ascii="Arial" w:eastAsia="仿宋" w:hAnsi="Arial" w:cs="Arial" w:hint="eastAsia"/>
          <w:sz w:val="28"/>
        </w:rPr>
        <w:t>等二类居住用地、托幼用地、商业用地地块“多规合一”协同平台供地审核意见的函》（京</w:t>
      </w:r>
      <w:proofErr w:type="gramStart"/>
      <w:r>
        <w:rPr>
          <w:rFonts w:ascii="Arial" w:eastAsia="仿宋" w:hAnsi="Arial" w:cs="Arial" w:hint="eastAsia"/>
          <w:sz w:val="28"/>
        </w:rPr>
        <w:t>规</w:t>
      </w:r>
      <w:proofErr w:type="gramEnd"/>
      <w:r>
        <w:rPr>
          <w:rFonts w:ascii="Arial" w:eastAsia="仿宋" w:hAnsi="Arial" w:cs="Arial" w:hint="eastAsia"/>
          <w:sz w:val="28"/>
        </w:rPr>
        <w:t>自（顺）</w:t>
      </w:r>
      <w:proofErr w:type="gramStart"/>
      <w:r>
        <w:rPr>
          <w:rFonts w:ascii="Arial" w:eastAsia="仿宋" w:hAnsi="Arial" w:cs="Arial" w:hint="eastAsia"/>
          <w:sz w:val="28"/>
        </w:rPr>
        <w:t>供审函</w:t>
      </w:r>
      <w:proofErr w:type="gramEnd"/>
      <w:r>
        <w:rPr>
          <w:rFonts w:ascii="Arial" w:eastAsia="仿宋" w:hAnsi="Arial" w:cs="Arial" w:hint="eastAsia"/>
          <w:sz w:val="28"/>
        </w:rPr>
        <w:t>【</w:t>
      </w:r>
      <w:r>
        <w:rPr>
          <w:rFonts w:ascii="Arial" w:eastAsia="仿宋" w:hAnsi="Arial" w:cs="Arial" w:hint="eastAsia"/>
          <w:sz w:val="28"/>
        </w:rPr>
        <w:t>2023</w:t>
      </w:r>
      <w:r>
        <w:rPr>
          <w:rFonts w:ascii="Arial" w:eastAsia="仿宋" w:hAnsi="Arial" w:cs="Arial" w:hint="eastAsia"/>
          <w:sz w:val="28"/>
        </w:rPr>
        <w:t>】</w:t>
      </w:r>
      <w:r>
        <w:rPr>
          <w:rFonts w:ascii="Arial" w:eastAsia="仿宋" w:hAnsi="Arial" w:cs="Arial" w:hint="eastAsia"/>
          <w:sz w:val="28"/>
        </w:rPr>
        <w:t>0004</w:t>
      </w:r>
      <w:r>
        <w:rPr>
          <w:rFonts w:ascii="Arial" w:eastAsia="仿宋" w:hAnsi="Arial" w:cs="Arial" w:hint="eastAsia"/>
          <w:sz w:val="28"/>
        </w:rPr>
        <w:t>号）</w:t>
      </w:r>
      <w:r>
        <w:rPr>
          <w:rFonts w:ascii="Arial" w:eastAsia="仿宋" w:hAnsi="Arial" w:cs="Arial"/>
          <w:sz w:val="28"/>
        </w:rPr>
        <w:t>复印件及本次评估目的</w:t>
      </w:r>
      <w:r>
        <w:rPr>
          <w:rFonts w:ascii="Arial" w:eastAsia="仿宋" w:hAnsi="Arial" w:cs="Arial"/>
          <w:sz w:val="28"/>
          <w:szCs w:val="28"/>
        </w:rPr>
        <w:t>，本次评估设定如下：</w:t>
      </w:r>
    </w:p>
    <w:p w14:paraId="0ED1D49D" w14:textId="77777777" w:rsidR="0062768B" w:rsidRDefault="00136729">
      <w:pPr>
        <w:spacing w:line="300" w:lineRule="auto"/>
        <w:ind w:firstLineChars="200" w:firstLine="560"/>
        <w:rPr>
          <w:rFonts w:ascii="Arial" w:eastAsia="仿宋" w:hAnsi="Arial" w:cs="Arial"/>
          <w:snapToGrid w:val="0"/>
          <w:sz w:val="28"/>
        </w:rPr>
      </w:pPr>
      <w:r>
        <w:rPr>
          <w:rFonts w:ascii="Arial" w:eastAsia="仿宋" w:hAnsi="Arial" w:cs="Arial"/>
          <w:snapToGrid w:val="0"/>
          <w:sz w:val="28"/>
        </w:rPr>
        <w:t>A</w:t>
      </w:r>
      <w:r>
        <w:rPr>
          <w:rFonts w:ascii="Arial" w:eastAsia="仿宋" w:hAnsi="Arial" w:cs="Arial"/>
          <w:snapToGrid w:val="0"/>
          <w:sz w:val="28"/>
        </w:rPr>
        <w:t>设定估价对象能够顺利完成预期的开发建设目标；</w:t>
      </w:r>
    </w:p>
    <w:p w14:paraId="22D63C31" w14:textId="77777777" w:rsidR="0062768B" w:rsidRDefault="00136729">
      <w:pPr>
        <w:spacing w:line="300" w:lineRule="auto"/>
        <w:ind w:firstLineChars="200" w:firstLine="560"/>
        <w:rPr>
          <w:rFonts w:ascii="Arial" w:eastAsia="仿宋" w:hAnsi="Arial" w:cs="Arial"/>
          <w:snapToGrid w:val="0"/>
          <w:sz w:val="28"/>
        </w:rPr>
      </w:pPr>
      <w:r>
        <w:rPr>
          <w:rFonts w:ascii="Arial" w:eastAsia="仿宋" w:hAnsi="Arial" w:cs="Arial"/>
          <w:snapToGrid w:val="0"/>
          <w:sz w:val="28"/>
        </w:rPr>
        <w:t>B</w:t>
      </w:r>
      <w:r>
        <w:rPr>
          <w:rFonts w:ascii="Arial" w:eastAsia="仿宋" w:hAnsi="Arial" w:cs="Arial"/>
          <w:snapToGrid w:val="0"/>
          <w:sz w:val="28"/>
        </w:rPr>
        <w:t>本项目建筑物建设周期为</w:t>
      </w:r>
      <w:r>
        <w:rPr>
          <w:rFonts w:ascii="Arial" w:eastAsia="仿宋" w:hAnsi="Arial" w:cs="Arial"/>
          <w:snapToGrid w:val="0"/>
          <w:sz w:val="28"/>
        </w:rPr>
        <w:t>2.5</w:t>
      </w:r>
      <w:r>
        <w:rPr>
          <w:rFonts w:ascii="Arial" w:eastAsia="仿宋" w:hAnsi="Arial" w:cs="Arial"/>
          <w:snapToGrid w:val="0"/>
          <w:sz w:val="28"/>
        </w:rPr>
        <w:t>年；</w:t>
      </w:r>
    </w:p>
    <w:p w14:paraId="0FCFDD46" w14:textId="77777777" w:rsidR="0062768B" w:rsidRDefault="00136729">
      <w:pPr>
        <w:spacing w:line="300" w:lineRule="auto"/>
        <w:ind w:firstLineChars="200" w:firstLine="560"/>
        <w:rPr>
          <w:rFonts w:ascii="Arial" w:eastAsia="仿宋" w:hAnsi="Arial" w:cs="Arial"/>
          <w:snapToGrid w:val="0"/>
          <w:sz w:val="28"/>
        </w:rPr>
      </w:pPr>
      <w:r>
        <w:rPr>
          <w:rFonts w:ascii="Arial" w:eastAsia="仿宋" w:hAnsi="Arial" w:cs="Arial"/>
          <w:snapToGrid w:val="0"/>
          <w:sz w:val="28"/>
        </w:rPr>
        <w:t>C</w:t>
      </w:r>
      <w:r>
        <w:rPr>
          <w:rFonts w:ascii="Arial" w:eastAsia="仿宋" w:hAnsi="Arial" w:cs="Arial"/>
          <w:snapToGrid w:val="0"/>
          <w:sz w:val="28"/>
        </w:rPr>
        <w:t>建安费用在项目周期内均匀投入，利息按复利计算；</w:t>
      </w:r>
    </w:p>
    <w:p w14:paraId="3468861F" w14:textId="77777777" w:rsidR="0062768B" w:rsidRDefault="00136729">
      <w:pPr>
        <w:spacing w:line="300" w:lineRule="auto"/>
        <w:ind w:right="14" w:firstLineChars="200" w:firstLine="560"/>
        <w:rPr>
          <w:rFonts w:ascii="Arial" w:eastAsia="仿宋" w:hAnsi="Arial" w:cs="Arial"/>
          <w:snapToGrid w:val="0"/>
          <w:sz w:val="28"/>
        </w:rPr>
      </w:pPr>
      <w:r>
        <w:rPr>
          <w:rFonts w:ascii="Arial" w:eastAsia="仿宋" w:hAnsi="Arial" w:cs="Arial"/>
          <w:snapToGrid w:val="0"/>
          <w:sz w:val="28"/>
        </w:rPr>
        <w:t>D</w:t>
      </w:r>
      <w:r>
        <w:rPr>
          <w:rFonts w:ascii="Arial" w:eastAsia="仿宋" w:hAnsi="Arial" w:cs="Arial"/>
          <w:snapToGrid w:val="0"/>
          <w:sz w:val="28"/>
        </w:rPr>
        <w:t>在开发建设期间，房地产市场不会发生大的变化；</w:t>
      </w:r>
    </w:p>
    <w:p w14:paraId="28EE15E0" w14:textId="77777777" w:rsidR="0062768B" w:rsidRDefault="00136729">
      <w:pPr>
        <w:spacing w:line="300" w:lineRule="auto"/>
        <w:ind w:firstLineChars="200" w:firstLine="560"/>
        <w:rPr>
          <w:rFonts w:ascii="Arial" w:eastAsia="仿宋" w:hAnsi="Arial" w:cs="Arial"/>
          <w:snapToGrid w:val="0"/>
          <w:sz w:val="28"/>
        </w:rPr>
      </w:pPr>
      <w:r>
        <w:rPr>
          <w:rFonts w:ascii="Arial" w:eastAsia="仿宋" w:hAnsi="Arial" w:cs="Arial"/>
          <w:snapToGrid w:val="0"/>
          <w:sz w:val="28"/>
        </w:rPr>
        <w:t>E</w:t>
      </w:r>
      <w:r>
        <w:rPr>
          <w:rFonts w:ascii="Arial" w:eastAsia="仿宋" w:hAnsi="Arial" w:cs="Arial"/>
          <w:snapToGrid w:val="0"/>
          <w:sz w:val="28"/>
        </w:rPr>
        <w:t>本项目最佳用途为公共服务；</w:t>
      </w:r>
    </w:p>
    <w:p w14:paraId="50C9F835" w14:textId="77777777" w:rsidR="0062768B" w:rsidRDefault="00136729">
      <w:pPr>
        <w:spacing w:line="300" w:lineRule="auto"/>
        <w:ind w:left="560" w:right="14"/>
        <w:rPr>
          <w:rFonts w:ascii="Arial" w:eastAsia="仿宋" w:hAnsi="Arial" w:cs="Arial"/>
          <w:snapToGrid w:val="0"/>
          <w:sz w:val="28"/>
        </w:rPr>
      </w:pPr>
      <w:r>
        <w:rPr>
          <w:rFonts w:ascii="Arial" w:eastAsia="仿宋" w:hAnsi="Arial" w:cs="Arial"/>
          <w:snapToGrid w:val="0"/>
          <w:sz w:val="28"/>
        </w:rPr>
        <w:t>F</w:t>
      </w:r>
      <w:r>
        <w:rPr>
          <w:rFonts w:ascii="Arial" w:eastAsia="仿宋" w:hAnsi="Arial" w:cs="Arial"/>
          <w:snapToGrid w:val="0"/>
          <w:sz w:val="28"/>
        </w:rPr>
        <w:t>该项目在建成后即销售完毕；</w:t>
      </w:r>
    </w:p>
    <w:p w14:paraId="6F43EE2E" w14:textId="77777777" w:rsidR="0062768B" w:rsidRDefault="00136729">
      <w:pPr>
        <w:spacing w:line="300" w:lineRule="auto"/>
        <w:ind w:left="560" w:right="14"/>
        <w:rPr>
          <w:rFonts w:ascii="Arial" w:eastAsia="仿宋" w:hAnsi="Arial" w:cs="Arial"/>
          <w:snapToGrid w:val="0"/>
          <w:sz w:val="28"/>
        </w:rPr>
      </w:pPr>
      <w:r>
        <w:rPr>
          <w:rFonts w:ascii="Arial" w:eastAsia="仿宋" w:hAnsi="Arial" w:cs="Arial"/>
          <w:snapToGrid w:val="0"/>
          <w:sz w:val="28"/>
        </w:rPr>
        <w:t>G</w:t>
      </w:r>
      <w:r>
        <w:rPr>
          <w:rFonts w:ascii="Arial" w:eastAsia="仿宋" w:hAnsi="Arial" w:cs="Arial"/>
          <w:snapToGrid w:val="0"/>
          <w:sz w:val="28"/>
        </w:rPr>
        <w:t>在开发过程中或有调整规划用途情况建议参照本估价结果价值水平。</w:t>
      </w:r>
    </w:p>
    <w:p w14:paraId="1C154E41" w14:textId="77777777" w:rsidR="0062768B" w:rsidRDefault="00136729">
      <w:pPr>
        <w:spacing w:after="26" w:line="300" w:lineRule="auto"/>
        <w:ind w:firstLineChars="200" w:firstLine="560"/>
        <w:rPr>
          <w:rFonts w:ascii="Arial" w:eastAsia="仿宋" w:hAnsi="Arial" w:cs="Arial"/>
          <w:snapToGrid w:val="0"/>
          <w:sz w:val="28"/>
        </w:rPr>
      </w:pPr>
      <w:r>
        <w:rPr>
          <w:rFonts w:ascii="Arial" w:eastAsia="仿宋" w:hAnsi="Arial" w:cs="Arial"/>
          <w:snapToGrid w:val="0"/>
          <w:sz w:val="28"/>
        </w:rPr>
        <w:t>剩余法是在预计开发完成后不动产正常交易价格的基础上，扣除预计的正常开发成本及有关专业费用、利息、利润和税收等，以价格余额来估算估价对象价格的一种方法。</w:t>
      </w:r>
    </w:p>
    <w:p w14:paraId="7867CAAF" w14:textId="77777777" w:rsidR="0062768B" w:rsidRDefault="00136729">
      <w:pPr>
        <w:spacing w:after="51" w:line="300" w:lineRule="auto"/>
        <w:ind w:firstLineChars="200" w:firstLine="560"/>
        <w:rPr>
          <w:rFonts w:ascii="Arial" w:eastAsia="仿宋" w:hAnsi="Arial" w:cs="Arial"/>
          <w:snapToGrid w:val="0"/>
          <w:sz w:val="28"/>
        </w:rPr>
      </w:pPr>
      <w:r>
        <w:rPr>
          <w:rFonts w:ascii="Arial" w:eastAsia="仿宋" w:hAnsi="Arial" w:cs="Arial"/>
          <w:snapToGrid w:val="0"/>
          <w:sz w:val="28"/>
        </w:rPr>
        <w:t>剩余法基本公式如下：</w:t>
      </w:r>
    </w:p>
    <w:p w14:paraId="40D788D2" w14:textId="77777777" w:rsidR="0062768B" w:rsidRDefault="00136729">
      <w:pPr>
        <w:spacing w:before="50" w:after="50" w:line="300" w:lineRule="auto"/>
        <w:ind w:firstLineChars="200" w:firstLine="560"/>
        <w:rPr>
          <w:rFonts w:ascii="Arial" w:eastAsia="仿宋" w:hAnsi="Arial" w:cs="Arial"/>
          <w:b/>
          <w:sz w:val="28"/>
        </w:rPr>
      </w:pPr>
      <w:r>
        <w:rPr>
          <w:rFonts w:ascii="Arial" w:eastAsia="仿宋" w:hAnsi="Arial" w:cs="Arial"/>
          <w:snapToGrid w:val="0"/>
          <w:sz w:val="28"/>
        </w:rPr>
        <w:t>熟地价值：</w:t>
      </w:r>
      <w:proofErr w:type="gramStart"/>
      <w:r>
        <w:rPr>
          <w:rFonts w:ascii="Arial" w:eastAsia="仿宋" w:hAnsi="Arial" w:cs="Arial"/>
          <w:sz w:val="28"/>
        </w:rPr>
        <w:t>待估宗</w:t>
      </w:r>
      <w:proofErr w:type="gramEnd"/>
      <w:r>
        <w:rPr>
          <w:rFonts w:ascii="Arial" w:eastAsia="仿宋" w:hAnsi="Arial" w:cs="Arial"/>
          <w:sz w:val="28"/>
        </w:rPr>
        <w:t>地价格</w:t>
      </w:r>
      <w:r>
        <w:rPr>
          <w:rFonts w:ascii="Arial" w:eastAsia="仿宋" w:hAnsi="Arial" w:cs="Arial"/>
          <w:sz w:val="28"/>
        </w:rPr>
        <w:t>=</w:t>
      </w:r>
      <w:r>
        <w:rPr>
          <w:rFonts w:ascii="Arial" w:eastAsia="仿宋" w:hAnsi="Arial" w:cs="Arial"/>
          <w:sz w:val="28"/>
        </w:rPr>
        <w:t>不动产总价</w:t>
      </w:r>
      <w:r>
        <w:rPr>
          <w:rFonts w:ascii="Arial" w:eastAsia="仿宋" w:hAnsi="Arial" w:cs="Arial"/>
          <w:sz w:val="28"/>
        </w:rPr>
        <w:t>-</w:t>
      </w:r>
      <w:r>
        <w:rPr>
          <w:rFonts w:ascii="Arial" w:eastAsia="仿宋" w:hAnsi="Arial" w:cs="Arial"/>
          <w:sz w:val="28"/>
        </w:rPr>
        <w:t>开发项目整体的开发成本</w:t>
      </w:r>
      <w:r>
        <w:rPr>
          <w:rFonts w:ascii="Arial" w:eastAsia="仿宋" w:hAnsi="Arial" w:cs="Arial"/>
          <w:sz w:val="28"/>
        </w:rPr>
        <w:t>-</w:t>
      </w:r>
      <w:r>
        <w:rPr>
          <w:rFonts w:ascii="Arial" w:eastAsia="仿宋" w:hAnsi="Arial" w:cs="Arial"/>
          <w:sz w:val="28"/>
        </w:rPr>
        <w:t>客观开发利润</w:t>
      </w:r>
    </w:p>
    <w:p w14:paraId="27A8B3D6" w14:textId="77777777" w:rsidR="0062768B" w:rsidRDefault="00136729">
      <w:pPr>
        <w:widowControl/>
        <w:adjustRightInd/>
        <w:spacing w:after="5" w:line="300" w:lineRule="auto"/>
        <w:ind w:right="14" w:firstLineChars="200" w:firstLine="560"/>
        <w:jc w:val="both"/>
        <w:textAlignment w:val="auto"/>
        <w:rPr>
          <w:rFonts w:ascii="Arial" w:eastAsia="仿宋" w:hAnsi="Arial" w:cs="Arial"/>
          <w:snapToGrid w:val="0"/>
          <w:sz w:val="28"/>
        </w:rPr>
      </w:pPr>
      <w:r>
        <w:rPr>
          <w:rFonts w:ascii="Arial" w:eastAsia="仿宋" w:hAnsi="Arial" w:cs="Arial"/>
          <w:bCs/>
          <w:sz w:val="28"/>
        </w:rPr>
        <w:t>（</w:t>
      </w:r>
      <w:r>
        <w:rPr>
          <w:rFonts w:ascii="Arial" w:eastAsia="仿宋" w:hAnsi="Arial" w:cs="Arial"/>
          <w:bCs/>
          <w:sz w:val="28"/>
        </w:rPr>
        <w:t>2</w:t>
      </w:r>
      <w:r>
        <w:rPr>
          <w:rFonts w:ascii="Arial" w:eastAsia="仿宋" w:hAnsi="Arial" w:cs="Arial"/>
          <w:bCs/>
          <w:sz w:val="28"/>
        </w:rPr>
        <w:t>）</w:t>
      </w:r>
      <w:r>
        <w:rPr>
          <w:rFonts w:ascii="Arial" w:eastAsia="仿宋" w:hAnsi="Arial" w:cs="Arial"/>
          <w:snapToGrid w:val="0"/>
          <w:sz w:val="28"/>
        </w:rPr>
        <w:t>开发完成后的房地产价值的确定</w:t>
      </w:r>
    </w:p>
    <w:p w14:paraId="0E07E087" w14:textId="77777777" w:rsidR="0062768B" w:rsidRDefault="00136729">
      <w:pPr>
        <w:spacing w:after="26" w:line="300" w:lineRule="auto"/>
        <w:ind w:firstLineChars="200" w:firstLine="560"/>
        <w:jc w:val="both"/>
        <w:rPr>
          <w:rFonts w:ascii="Arial" w:eastAsia="仿宋" w:hAnsi="Arial" w:cs="Arial"/>
          <w:snapToGrid w:val="0"/>
          <w:sz w:val="28"/>
        </w:rPr>
      </w:pPr>
      <w:r>
        <w:rPr>
          <w:rFonts w:ascii="Arial" w:eastAsia="仿宋" w:hAnsi="Arial" w:cs="Arial"/>
          <w:snapToGrid w:val="0"/>
          <w:sz w:val="28"/>
        </w:rPr>
        <w:t>假设建造</w:t>
      </w:r>
      <w:r>
        <w:rPr>
          <w:rFonts w:ascii="Arial" w:eastAsia="仿宋" w:hAnsi="Arial" w:cs="Arial"/>
          <w:snapToGrid w:val="0"/>
          <w:sz w:val="28"/>
          <w:lang w:eastAsia="zh-Hans"/>
        </w:rPr>
        <w:t>公共服务</w:t>
      </w:r>
      <w:r>
        <w:rPr>
          <w:rFonts w:ascii="Arial" w:eastAsia="仿宋" w:hAnsi="Arial" w:cs="Arial"/>
          <w:snapToGrid w:val="0"/>
          <w:sz w:val="28"/>
        </w:rPr>
        <w:t>用房，预计施工进度、施工计划及预计装修标准、设备设施情况等事项以周边类似房地产项目为参考。</w:t>
      </w:r>
    </w:p>
    <w:p w14:paraId="5F3D4EF7" w14:textId="77777777" w:rsidR="0062768B" w:rsidRDefault="00136729">
      <w:pPr>
        <w:spacing w:after="26" w:line="300" w:lineRule="auto"/>
        <w:ind w:firstLineChars="200" w:firstLine="560"/>
        <w:rPr>
          <w:rFonts w:ascii="Arial" w:eastAsia="仿宋" w:hAnsi="Arial" w:cs="Arial"/>
          <w:snapToGrid w:val="0"/>
          <w:sz w:val="28"/>
        </w:rPr>
      </w:pPr>
      <w:r>
        <w:rPr>
          <w:rFonts w:ascii="Arial" w:eastAsia="仿宋" w:hAnsi="Arial" w:cs="Arial"/>
          <w:snapToGrid w:val="0"/>
          <w:sz w:val="28"/>
        </w:rPr>
        <w:t>综合分析估价对象的规划利用和管理限制条件，结合估价对象周边的业态、基础设施及公共配套设施状况，确定</w:t>
      </w:r>
      <w:r>
        <w:rPr>
          <w:rFonts w:ascii="Arial" w:eastAsia="仿宋" w:hAnsi="Arial" w:cs="Arial"/>
          <w:snapToGrid w:val="0"/>
          <w:sz w:val="28"/>
          <w:lang w:eastAsia="zh-Hans"/>
        </w:rPr>
        <w:t>公共服务</w:t>
      </w:r>
      <w:r>
        <w:rPr>
          <w:rFonts w:ascii="Arial" w:eastAsia="仿宋" w:hAnsi="Arial" w:cs="Arial"/>
          <w:snapToGrid w:val="0"/>
          <w:sz w:val="28"/>
        </w:rPr>
        <w:t>为</w:t>
      </w:r>
      <w:proofErr w:type="gramStart"/>
      <w:r>
        <w:rPr>
          <w:rFonts w:ascii="Arial" w:eastAsia="仿宋" w:hAnsi="Arial" w:cs="Arial"/>
          <w:snapToGrid w:val="0"/>
          <w:sz w:val="28"/>
        </w:rPr>
        <w:t>最佳利用</w:t>
      </w:r>
      <w:proofErr w:type="gramEnd"/>
      <w:r>
        <w:rPr>
          <w:rFonts w:ascii="Arial" w:eastAsia="仿宋" w:hAnsi="Arial" w:cs="Arial"/>
          <w:snapToGrid w:val="0"/>
          <w:sz w:val="28"/>
        </w:rPr>
        <w:t>方式。</w:t>
      </w:r>
    </w:p>
    <w:p w14:paraId="4E0B5536" w14:textId="77777777" w:rsidR="0062768B" w:rsidRDefault="00136729">
      <w:pPr>
        <w:spacing w:after="26" w:line="300" w:lineRule="auto"/>
        <w:ind w:firstLineChars="200" w:firstLine="560"/>
        <w:rPr>
          <w:rFonts w:ascii="Arial" w:eastAsia="仿宋" w:hAnsi="Arial" w:cs="Arial"/>
          <w:snapToGrid w:val="0"/>
          <w:sz w:val="28"/>
        </w:rPr>
      </w:pPr>
      <w:r>
        <w:rPr>
          <w:rFonts w:ascii="Arial" w:eastAsia="仿宋" w:hAnsi="Arial" w:cs="Arial"/>
          <w:snapToGrid w:val="0"/>
          <w:sz w:val="28"/>
        </w:rPr>
        <w:t>根据项目的整体建筑规模和预期设备、装修标准，预计本项目建筑物建设周期为</w:t>
      </w:r>
      <w:r>
        <w:rPr>
          <w:rFonts w:ascii="Arial" w:eastAsia="仿宋" w:hAnsi="Arial" w:cs="Arial"/>
          <w:snapToGrid w:val="0"/>
          <w:sz w:val="28"/>
        </w:rPr>
        <w:t>2.5</w:t>
      </w:r>
      <w:r>
        <w:rPr>
          <w:rFonts w:ascii="Arial" w:eastAsia="仿宋" w:hAnsi="Arial" w:cs="Arial"/>
          <w:snapToGrid w:val="0"/>
          <w:sz w:val="28"/>
        </w:rPr>
        <w:t>年。</w:t>
      </w:r>
    </w:p>
    <w:p w14:paraId="23D0DFA5" w14:textId="77777777" w:rsidR="0062768B" w:rsidRDefault="00136729">
      <w:pPr>
        <w:spacing w:after="26" w:line="300" w:lineRule="auto"/>
        <w:ind w:firstLineChars="200" w:firstLine="560"/>
        <w:rPr>
          <w:rFonts w:ascii="Arial" w:eastAsia="仿宋" w:hAnsi="Arial" w:cs="Arial"/>
          <w:snapToGrid w:val="0"/>
          <w:sz w:val="28"/>
        </w:rPr>
      </w:pPr>
      <w:r>
        <w:rPr>
          <w:rFonts w:ascii="Arial" w:eastAsia="仿宋" w:hAnsi="Arial" w:cs="Arial"/>
          <w:snapToGrid w:val="0"/>
          <w:sz w:val="28"/>
        </w:rPr>
        <w:t>A.</w:t>
      </w:r>
      <w:r>
        <w:rPr>
          <w:rFonts w:ascii="Arial" w:eastAsia="仿宋" w:hAnsi="Arial" w:cs="Arial"/>
          <w:snapToGrid w:val="0"/>
          <w:sz w:val="28"/>
        </w:rPr>
        <w:t>市场比较法求取估价对象</w:t>
      </w:r>
      <w:r>
        <w:rPr>
          <w:rFonts w:ascii="Arial" w:eastAsia="仿宋" w:hAnsi="Arial" w:cs="Arial"/>
          <w:snapToGrid w:val="0"/>
          <w:sz w:val="28"/>
          <w:lang w:eastAsia="zh-Hans"/>
        </w:rPr>
        <w:t>公共服务</w:t>
      </w:r>
      <w:r>
        <w:rPr>
          <w:rFonts w:ascii="Arial" w:eastAsia="仿宋" w:hAnsi="Arial" w:cs="Arial"/>
          <w:snapToGrid w:val="0"/>
          <w:sz w:val="28"/>
        </w:rPr>
        <w:t>用房市场租金价格</w:t>
      </w:r>
    </w:p>
    <w:p w14:paraId="1F208D6B" w14:textId="77777777" w:rsidR="0062768B" w:rsidRDefault="00136729">
      <w:pPr>
        <w:spacing w:after="26" w:line="300" w:lineRule="auto"/>
        <w:ind w:firstLineChars="200" w:firstLine="560"/>
        <w:jc w:val="both"/>
        <w:rPr>
          <w:rFonts w:ascii="Arial" w:eastAsia="仿宋" w:hAnsi="Arial" w:cs="Arial"/>
          <w:sz w:val="28"/>
        </w:rPr>
      </w:pPr>
      <w:r>
        <w:rPr>
          <w:rFonts w:ascii="Arial" w:eastAsia="仿宋" w:hAnsi="Arial" w:cs="Arial"/>
          <w:snapToGrid w:val="0"/>
          <w:sz w:val="28"/>
        </w:rPr>
        <w:t>估价对象</w:t>
      </w:r>
      <w:r>
        <w:rPr>
          <w:rFonts w:ascii="Arial" w:eastAsia="仿宋" w:hAnsi="Arial" w:cs="Arial"/>
          <w:snapToGrid w:val="0"/>
          <w:sz w:val="28"/>
          <w:lang w:eastAsia="zh-Hans"/>
        </w:rPr>
        <w:t>公共服务</w:t>
      </w:r>
      <w:r>
        <w:rPr>
          <w:rFonts w:ascii="Arial" w:eastAsia="仿宋" w:hAnsi="Arial" w:cs="Arial"/>
          <w:snapToGrid w:val="0"/>
          <w:sz w:val="28"/>
        </w:rPr>
        <w:t>用房市场租金价格的确定根据评估专业人员的市场</w:t>
      </w:r>
      <w:r>
        <w:rPr>
          <w:rFonts w:ascii="Arial" w:eastAsia="仿宋" w:hAnsi="Arial" w:cs="Arial"/>
          <w:snapToGrid w:val="0"/>
          <w:sz w:val="28"/>
        </w:rPr>
        <w:lastRenderedPageBreak/>
        <w:t>调查及租金数据库</w:t>
      </w:r>
      <w:r>
        <w:rPr>
          <w:rFonts w:ascii="Arial" w:eastAsia="仿宋" w:hAnsi="Arial" w:cs="Arial"/>
          <w:sz w:val="28"/>
          <w:szCs w:val="28"/>
        </w:rPr>
        <w:t>等信息，</w:t>
      </w:r>
      <w:r>
        <w:rPr>
          <w:rFonts w:ascii="Arial" w:eastAsia="仿宋" w:hAnsi="Arial" w:cs="Arial"/>
          <w:sz w:val="28"/>
        </w:rPr>
        <w:t>采用房地产交易中的替代原则，选取与估价对象类似用途的出租案例，并分别进行交易情况、交易时间、用途、区域因素、个别因素的修正。详见下表。</w:t>
      </w:r>
    </w:p>
    <w:p w14:paraId="3EDDF87F" w14:textId="77777777" w:rsidR="0062768B" w:rsidRDefault="00136729">
      <w:pPr>
        <w:tabs>
          <w:tab w:val="left" w:pos="3261"/>
        </w:tabs>
        <w:spacing w:before="50" w:after="50" w:line="300" w:lineRule="auto"/>
        <w:jc w:val="center"/>
        <w:rPr>
          <w:rFonts w:ascii="Arial" w:eastAsia="仿宋" w:hAnsi="Arial" w:cs="Arial"/>
          <w:b/>
          <w:sz w:val="28"/>
        </w:rPr>
      </w:pPr>
      <w:r>
        <w:rPr>
          <w:rFonts w:ascii="Arial" w:eastAsia="仿宋" w:hAnsi="Arial" w:cs="Arial"/>
          <w:sz w:val="28"/>
          <w:szCs w:val="28"/>
        </w:rPr>
        <w:t>估价对象及案例位置示意图：</w:t>
      </w:r>
    </w:p>
    <w:p w14:paraId="6492E392" w14:textId="77777777" w:rsidR="0062768B" w:rsidRDefault="00136729">
      <w:pPr>
        <w:spacing w:after="26" w:line="360" w:lineRule="auto"/>
        <w:ind w:firstLineChars="200" w:firstLine="480"/>
        <w:jc w:val="center"/>
        <w:rPr>
          <w:rFonts w:ascii="Arial" w:hAnsi="Arial" w:cs="Arial"/>
        </w:rPr>
      </w:pPr>
      <w:r>
        <w:rPr>
          <w:noProof/>
        </w:rPr>
        <w:drawing>
          <wp:inline distT="0" distB="0" distL="0" distR="0" wp14:anchorId="5FF13226" wp14:editId="431DB618">
            <wp:extent cx="4912360" cy="3487420"/>
            <wp:effectExtent l="0" t="0" r="0" b="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4912360" cy="3487420"/>
                    </a:xfrm>
                    <a:prstGeom prst="rect">
                      <a:avLst/>
                    </a:prstGeom>
                    <a:noFill/>
                    <a:ln>
                      <a:noFill/>
                    </a:ln>
                  </pic:spPr>
                </pic:pic>
              </a:graphicData>
            </a:graphic>
          </wp:inline>
        </w:drawing>
      </w:r>
    </w:p>
    <w:p w14:paraId="72314428" w14:textId="77777777" w:rsidR="0062768B" w:rsidRDefault="00136729">
      <w:pPr>
        <w:spacing w:after="26" w:line="360" w:lineRule="auto"/>
        <w:ind w:firstLineChars="200" w:firstLine="560"/>
        <w:jc w:val="both"/>
        <w:rPr>
          <w:rFonts w:ascii="Arial" w:eastAsia="仿宋" w:hAnsi="Arial" w:cs="Arial"/>
          <w:sz w:val="28"/>
          <w:szCs w:val="28"/>
        </w:rPr>
      </w:pPr>
      <w:r>
        <w:rPr>
          <w:rFonts w:ascii="Arial" w:eastAsia="仿宋" w:hAnsi="Arial" w:cs="Arial"/>
          <w:sz w:val="28"/>
          <w:szCs w:val="28"/>
        </w:rPr>
        <w:t>案例</w:t>
      </w:r>
      <w:r>
        <w:rPr>
          <w:rFonts w:ascii="Arial" w:eastAsia="仿宋" w:hAnsi="Arial" w:cs="Arial"/>
          <w:sz w:val="28"/>
          <w:szCs w:val="28"/>
        </w:rPr>
        <w:t xml:space="preserve">G                  </w:t>
      </w:r>
      <w:r>
        <w:rPr>
          <w:rFonts w:ascii="Arial" w:eastAsia="仿宋" w:hAnsi="Arial" w:cs="Arial"/>
          <w:sz w:val="28"/>
          <w:szCs w:val="28"/>
        </w:rPr>
        <w:t>案例</w:t>
      </w:r>
      <w:r>
        <w:rPr>
          <w:rFonts w:ascii="Arial" w:eastAsia="仿宋" w:hAnsi="Arial" w:cs="Arial"/>
          <w:sz w:val="28"/>
          <w:szCs w:val="28"/>
        </w:rPr>
        <w:t xml:space="preserve">H                </w:t>
      </w:r>
      <w:r>
        <w:rPr>
          <w:rFonts w:ascii="Arial" w:eastAsia="仿宋" w:hAnsi="Arial" w:cs="Arial"/>
          <w:sz w:val="28"/>
          <w:szCs w:val="28"/>
        </w:rPr>
        <w:t>案例</w:t>
      </w:r>
      <w:r>
        <w:rPr>
          <w:rFonts w:ascii="Arial" w:eastAsia="仿宋" w:hAnsi="Arial" w:cs="Arial"/>
          <w:sz w:val="28"/>
          <w:szCs w:val="28"/>
        </w:rPr>
        <w:t>I</w:t>
      </w:r>
    </w:p>
    <w:p w14:paraId="6710B6DA" w14:textId="77777777" w:rsidR="0062768B" w:rsidRDefault="00136729">
      <w:pPr>
        <w:spacing w:after="26" w:line="360" w:lineRule="auto"/>
        <w:ind w:firstLineChars="200" w:firstLine="480"/>
        <w:jc w:val="both"/>
        <w:rPr>
          <w:rFonts w:ascii="Arial" w:eastAsia="仿宋" w:hAnsi="Arial" w:cs="Arial"/>
          <w:sz w:val="28"/>
          <w:szCs w:val="28"/>
        </w:rPr>
      </w:pPr>
      <w:r>
        <w:rPr>
          <w:noProof/>
        </w:rPr>
        <w:drawing>
          <wp:inline distT="0" distB="0" distL="0" distR="0" wp14:anchorId="65DF8BD6" wp14:editId="4C0477C5">
            <wp:extent cx="1403350" cy="10953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1403350" cy="1095375"/>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6273910A" wp14:editId="0690099F">
            <wp:extent cx="1456690" cy="1073785"/>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456690" cy="1073785"/>
                    </a:xfrm>
                    <a:prstGeom prst="rect">
                      <a:avLst/>
                    </a:prstGeom>
                    <a:noFill/>
                    <a:ln>
                      <a:noFill/>
                    </a:ln>
                  </pic:spPr>
                </pic:pic>
              </a:graphicData>
            </a:graphic>
          </wp:inline>
        </w:drawing>
      </w:r>
      <w:r>
        <w:rPr>
          <w:rFonts w:ascii="Arial" w:eastAsia="仿宋" w:hAnsi="Arial" w:cs="Arial"/>
          <w:sz w:val="28"/>
          <w:szCs w:val="28"/>
        </w:rPr>
        <w:t xml:space="preserve">     </w:t>
      </w:r>
      <w:r>
        <w:rPr>
          <w:noProof/>
        </w:rPr>
        <w:drawing>
          <wp:inline distT="0" distB="0" distL="0" distR="0" wp14:anchorId="5ECDDC32" wp14:editId="1A85564A">
            <wp:extent cx="1414145" cy="1042035"/>
            <wp:effectExtent l="0" t="0" r="8255" b="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414145" cy="1042035"/>
                    </a:xfrm>
                    <a:prstGeom prst="rect">
                      <a:avLst/>
                    </a:prstGeom>
                    <a:noFill/>
                    <a:ln>
                      <a:noFill/>
                    </a:ln>
                  </pic:spPr>
                </pic:pic>
              </a:graphicData>
            </a:graphic>
          </wp:inline>
        </w:drawing>
      </w:r>
    </w:p>
    <w:p w14:paraId="0743C102" w14:textId="77777777" w:rsidR="0062768B" w:rsidRDefault="0062768B">
      <w:pPr>
        <w:spacing w:after="26" w:line="360" w:lineRule="auto"/>
        <w:jc w:val="center"/>
        <w:rPr>
          <w:rFonts w:ascii="Arial" w:eastAsia="仿宋" w:hAnsi="Arial" w:cs="Arial"/>
          <w:b/>
          <w:bCs/>
          <w:szCs w:val="28"/>
        </w:rPr>
      </w:pPr>
    </w:p>
    <w:p w14:paraId="4D502E36" w14:textId="77777777" w:rsidR="0062768B" w:rsidRDefault="0062768B">
      <w:pPr>
        <w:spacing w:after="26" w:line="360" w:lineRule="auto"/>
        <w:jc w:val="center"/>
        <w:rPr>
          <w:rFonts w:ascii="Arial" w:eastAsia="仿宋" w:hAnsi="Arial" w:cs="Arial"/>
          <w:b/>
          <w:bCs/>
          <w:szCs w:val="28"/>
        </w:rPr>
      </w:pPr>
    </w:p>
    <w:p w14:paraId="1809A835" w14:textId="77777777" w:rsidR="0062768B" w:rsidRDefault="0062768B">
      <w:pPr>
        <w:spacing w:after="26" w:line="360" w:lineRule="auto"/>
        <w:jc w:val="center"/>
        <w:rPr>
          <w:rFonts w:ascii="Arial" w:eastAsia="仿宋" w:hAnsi="Arial" w:cs="Arial"/>
          <w:b/>
          <w:bCs/>
          <w:szCs w:val="28"/>
        </w:rPr>
      </w:pPr>
    </w:p>
    <w:p w14:paraId="4586C3E2" w14:textId="77777777" w:rsidR="0062768B" w:rsidRDefault="0062768B">
      <w:pPr>
        <w:spacing w:after="26" w:line="360" w:lineRule="auto"/>
        <w:jc w:val="center"/>
        <w:rPr>
          <w:rFonts w:ascii="Arial" w:eastAsia="仿宋" w:hAnsi="Arial" w:cs="Arial"/>
          <w:b/>
          <w:bCs/>
          <w:szCs w:val="28"/>
        </w:rPr>
      </w:pPr>
    </w:p>
    <w:p w14:paraId="5E158BA4" w14:textId="77777777" w:rsidR="0062768B" w:rsidRDefault="0062768B">
      <w:pPr>
        <w:spacing w:after="26" w:line="360" w:lineRule="auto"/>
        <w:jc w:val="center"/>
        <w:rPr>
          <w:rFonts w:ascii="Arial" w:eastAsia="仿宋" w:hAnsi="Arial" w:cs="Arial"/>
          <w:b/>
          <w:bCs/>
          <w:szCs w:val="28"/>
        </w:rPr>
      </w:pPr>
    </w:p>
    <w:p w14:paraId="7B9B0AE9" w14:textId="77777777" w:rsidR="0062768B" w:rsidRDefault="0062768B">
      <w:pPr>
        <w:spacing w:after="26" w:line="360" w:lineRule="auto"/>
        <w:jc w:val="center"/>
        <w:rPr>
          <w:rFonts w:ascii="Arial" w:eastAsia="仿宋" w:hAnsi="Arial" w:cs="Arial"/>
          <w:b/>
          <w:bCs/>
          <w:szCs w:val="28"/>
        </w:rPr>
      </w:pPr>
    </w:p>
    <w:p w14:paraId="05FE81E9" w14:textId="77777777" w:rsidR="0062768B" w:rsidRDefault="0062768B">
      <w:pPr>
        <w:spacing w:after="26" w:line="360" w:lineRule="auto"/>
        <w:jc w:val="center"/>
        <w:rPr>
          <w:rFonts w:ascii="Arial" w:eastAsia="仿宋" w:hAnsi="Arial" w:cs="Arial"/>
          <w:b/>
          <w:bCs/>
          <w:szCs w:val="28"/>
        </w:rPr>
      </w:pPr>
    </w:p>
    <w:p w14:paraId="0FCA8577" w14:textId="77777777" w:rsidR="0062768B" w:rsidRDefault="0062768B">
      <w:pPr>
        <w:spacing w:after="26" w:line="360" w:lineRule="auto"/>
        <w:jc w:val="center"/>
        <w:rPr>
          <w:rFonts w:ascii="Arial" w:eastAsia="仿宋" w:hAnsi="Arial" w:cs="Arial"/>
          <w:b/>
          <w:bCs/>
          <w:szCs w:val="28"/>
        </w:rPr>
      </w:pPr>
    </w:p>
    <w:p w14:paraId="21CB3021" w14:textId="77777777" w:rsidR="0062768B" w:rsidRDefault="00136729">
      <w:pPr>
        <w:spacing w:after="26" w:line="360" w:lineRule="auto"/>
        <w:jc w:val="center"/>
        <w:rPr>
          <w:rFonts w:ascii="Arial" w:eastAsia="仿宋" w:hAnsi="Arial" w:cs="Arial"/>
          <w:sz w:val="28"/>
          <w:szCs w:val="28"/>
        </w:rPr>
      </w:pPr>
      <w:r>
        <w:rPr>
          <w:rFonts w:ascii="Arial" w:eastAsia="仿宋" w:hAnsi="Arial" w:cs="Arial"/>
          <w:b/>
          <w:bCs/>
          <w:szCs w:val="28"/>
        </w:rPr>
        <w:t>表</w:t>
      </w:r>
      <w:r>
        <w:rPr>
          <w:rFonts w:ascii="Arial" w:eastAsia="仿宋" w:hAnsi="Arial" w:cs="Arial"/>
          <w:b/>
          <w:bCs/>
          <w:szCs w:val="28"/>
        </w:rPr>
        <w:t>5</w:t>
      </w:r>
      <w:r>
        <w:rPr>
          <w:rFonts w:ascii="Arial" w:eastAsia="仿宋" w:hAnsi="Arial" w:cs="Arial"/>
          <w:b/>
          <w:bCs/>
          <w:szCs w:val="28"/>
        </w:rPr>
        <w:t>：比较因素条件说明及指数表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477"/>
        <w:gridCol w:w="571"/>
        <w:gridCol w:w="1840"/>
        <w:gridCol w:w="487"/>
        <w:gridCol w:w="1502"/>
        <w:gridCol w:w="530"/>
        <w:gridCol w:w="1409"/>
        <w:gridCol w:w="533"/>
        <w:gridCol w:w="1213"/>
        <w:gridCol w:w="622"/>
      </w:tblGrid>
      <w:tr w:rsidR="0062768B" w14:paraId="1E6C568D" w14:textId="77777777">
        <w:trPr>
          <w:tblHeader/>
          <w:jc w:val="center"/>
        </w:trPr>
        <w:tc>
          <w:tcPr>
            <w:tcW w:w="1048" w:type="dxa"/>
            <w:gridSpan w:val="2"/>
            <w:vMerge w:val="restart"/>
            <w:tcBorders>
              <w:tl2br w:val="single" w:sz="4" w:space="0" w:color="auto"/>
            </w:tcBorders>
            <w:vAlign w:val="center"/>
          </w:tcPr>
          <w:p w14:paraId="0B021731" w14:textId="77777777" w:rsidR="0062768B" w:rsidRDefault="00136729">
            <w:pPr>
              <w:widowControl/>
              <w:adjustRightInd/>
              <w:spacing w:line="240" w:lineRule="exact"/>
              <w:jc w:val="right"/>
              <w:textAlignment w:val="auto"/>
              <w:rPr>
                <w:rFonts w:ascii="Arial" w:eastAsia="仿宋" w:hAnsi="Arial" w:cs="Arial"/>
                <w:snapToGrid w:val="0"/>
                <w:sz w:val="18"/>
                <w:szCs w:val="18"/>
              </w:rPr>
            </w:pPr>
            <w:r>
              <w:rPr>
                <w:rFonts w:ascii="Arial" w:eastAsia="仿宋" w:hAnsi="Arial" w:cs="Arial"/>
                <w:snapToGrid w:val="0"/>
                <w:sz w:val="18"/>
                <w:szCs w:val="18"/>
              </w:rPr>
              <w:lastRenderedPageBreak/>
              <w:t>估价对象及</w:t>
            </w:r>
          </w:p>
          <w:p w14:paraId="6A4064ED" w14:textId="77777777" w:rsidR="0062768B" w:rsidRDefault="00136729">
            <w:pPr>
              <w:widowControl/>
              <w:adjustRightInd/>
              <w:spacing w:line="240" w:lineRule="exact"/>
              <w:jc w:val="right"/>
              <w:textAlignment w:val="auto"/>
              <w:rPr>
                <w:rFonts w:ascii="Arial" w:eastAsia="仿宋" w:hAnsi="Arial" w:cs="Arial"/>
                <w:snapToGrid w:val="0"/>
                <w:sz w:val="18"/>
                <w:szCs w:val="18"/>
              </w:rPr>
            </w:pPr>
            <w:r>
              <w:rPr>
                <w:rFonts w:ascii="Arial" w:eastAsia="仿宋" w:hAnsi="Arial" w:cs="Arial"/>
                <w:snapToGrid w:val="0"/>
                <w:sz w:val="18"/>
                <w:szCs w:val="18"/>
              </w:rPr>
              <w:t>可比案例</w:t>
            </w:r>
          </w:p>
          <w:p w14:paraId="436CC5CB" w14:textId="77777777" w:rsidR="0062768B" w:rsidRDefault="0062768B">
            <w:pPr>
              <w:widowControl/>
              <w:adjustRightInd/>
              <w:spacing w:line="240" w:lineRule="exact"/>
              <w:jc w:val="center"/>
              <w:textAlignment w:val="auto"/>
              <w:rPr>
                <w:rFonts w:ascii="Arial" w:eastAsia="仿宋" w:hAnsi="Arial" w:cs="Arial"/>
                <w:snapToGrid w:val="0"/>
                <w:sz w:val="18"/>
                <w:szCs w:val="18"/>
              </w:rPr>
            </w:pPr>
          </w:p>
          <w:p w14:paraId="3EECD397" w14:textId="77777777" w:rsidR="0062768B" w:rsidRDefault="0062768B">
            <w:pPr>
              <w:widowControl/>
              <w:adjustRightInd/>
              <w:spacing w:line="240" w:lineRule="exact"/>
              <w:jc w:val="center"/>
              <w:textAlignment w:val="auto"/>
              <w:rPr>
                <w:rFonts w:ascii="Arial" w:eastAsia="仿宋" w:hAnsi="Arial" w:cs="Arial"/>
                <w:snapToGrid w:val="0"/>
                <w:sz w:val="18"/>
                <w:szCs w:val="18"/>
              </w:rPr>
            </w:pPr>
          </w:p>
          <w:p w14:paraId="1E7E0F57" w14:textId="77777777" w:rsidR="0062768B" w:rsidRDefault="00136729">
            <w:pPr>
              <w:widowControl/>
              <w:adjustRightInd/>
              <w:spacing w:line="240" w:lineRule="exact"/>
              <w:textAlignment w:val="auto"/>
              <w:rPr>
                <w:rFonts w:ascii="Arial" w:eastAsia="仿宋" w:hAnsi="Arial" w:cs="Arial"/>
                <w:snapToGrid w:val="0"/>
                <w:sz w:val="18"/>
                <w:szCs w:val="18"/>
              </w:rPr>
            </w:pPr>
            <w:r>
              <w:rPr>
                <w:rFonts w:ascii="Arial" w:eastAsia="仿宋" w:hAnsi="Arial" w:cs="Arial"/>
                <w:snapToGrid w:val="0"/>
                <w:sz w:val="18"/>
                <w:szCs w:val="18"/>
              </w:rPr>
              <w:t>比较因素</w:t>
            </w:r>
          </w:p>
          <w:p w14:paraId="651F3B05" w14:textId="77777777" w:rsidR="0062768B" w:rsidRDefault="0062768B">
            <w:pPr>
              <w:widowControl/>
              <w:adjustRightInd/>
              <w:spacing w:line="240" w:lineRule="exact"/>
              <w:jc w:val="center"/>
              <w:textAlignment w:val="auto"/>
              <w:rPr>
                <w:rFonts w:ascii="Arial" w:eastAsia="仿宋" w:hAnsi="Arial" w:cs="Arial"/>
                <w:snapToGrid w:val="0"/>
                <w:sz w:val="18"/>
                <w:szCs w:val="18"/>
              </w:rPr>
            </w:pPr>
          </w:p>
        </w:tc>
        <w:tc>
          <w:tcPr>
            <w:tcW w:w="2327" w:type="dxa"/>
            <w:gridSpan w:val="2"/>
            <w:vAlign w:val="center"/>
          </w:tcPr>
          <w:p w14:paraId="7A28146A" w14:textId="77777777" w:rsidR="0062768B" w:rsidRDefault="00136729">
            <w:pPr>
              <w:widowControl/>
              <w:adjustRightInd/>
              <w:spacing w:line="240" w:lineRule="exact"/>
              <w:jc w:val="both"/>
              <w:textAlignment w:val="auto"/>
              <w:rPr>
                <w:rFonts w:ascii="Arial" w:eastAsia="仿宋" w:hAnsi="Arial" w:cs="Arial"/>
                <w:snapToGrid w:val="0"/>
                <w:sz w:val="18"/>
                <w:szCs w:val="18"/>
              </w:rPr>
            </w:pPr>
            <w:r>
              <w:rPr>
                <w:rFonts w:ascii="Arial" w:eastAsia="仿宋" w:hAnsi="Arial" w:cs="Arial"/>
                <w:snapToGrid w:val="0"/>
                <w:sz w:val="18"/>
                <w:szCs w:val="18"/>
              </w:rPr>
              <w:t>估价对象</w:t>
            </w:r>
          </w:p>
        </w:tc>
        <w:tc>
          <w:tcPr>
            <w:tcW w:w="2032" w:type="dxa"/>
            <w:gridSpan w:val="2"/>
            <w:vAlign w:val="center"/>
          </w:tcPr>
          <w:p w14:paraId="6EA43265"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案例</w:t>
            </w:r>
            <w:r>
              <w:rPr>
                <w:rFonts w:ascii="Arial" w:eastAsia="仿宋" w:hAnsi="Arial" w:cs="Arial"/>
                <w:snapToGrid w:val="0"/>
                <w:sz w:val="18"/>
                <w:szCs w:val="18"/>
              </w:rPr>
              <w:t>G</w:t>
            </w:r>
          </w:p>
        </w:tc>
        <w:tc>
          <w:tcPr>
            <w:tcW w:w="1942" w:type="dxa"/>
            <w:gridSpan w:val="2"/>
          </w:tcPr>
          <w:p w14:paraId="2C2E51B1"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案例</w:t>
            </w:r>
            <w:r>
              <w:rPr>
                <w:rFonts w:ascii="Arial" w:eastAsia="仿宋" w:hAnsi="Arial" w:cs="Arial"/>
                <w:snapToGrid w:val="0"/>
                <w:sz w:val="18"/>
                <w:szCs w:val="18"/>
              </w:rPr>
              <w:t>H</w:t>
            </w:r>
          </w:p>
        </w:tc>
        <w:tc>
          <w:tcPr>
            <w:tcW w:w="1835" w:type="dxa"/>
            <w:gridSpan w:val="2"/>
            <w:vAlign w:val="center"/>
          </w:tcPr>
          <w:p w14:paraId="0800B6AA"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案例</w:t>
            </w:r>
            <w:r>
              <w:rPr>
                <w:rFonts w:ascii="Arial" w:eastAsia="仿宋" w:hAnsi="Arial" w:cs="Arial"/>
                <w:snapToGrid w:val="0"/>
                <w:sz w:val="18"/>
                <w:szCs w:val="18"/>
              </w:rPr>
              <w:t>I</w:t>
            </w:r>
          </w:p>
        </w:tc>
      </w:tr>
      <w:tr w:rsidR="0062768B" w14:paraId="51619A5F" w14:textId="77777777">
        <w:trPr>
          <w:tblHeader/>
          <w:jc w:val="center"/>
        </w:trPr>
        <w:tc>
          <w:tcPr>
            <w:tcW w:w="1048" w:type="dxa"/>
            <w:gridSpan w:val="2"/>
            <w:vMerge/>
            <w:tcBorders>
              <w:tl2br w:val="single" w:sz="4" w:space="0" w:color="auto"/>
            </w:tcBorders>
            <w:vAlign w:val="center"/>
          </w:tcPr>
          <w:p w14:paraId="3D411AF1" w14:textId="77777777" w:rsidR="0062768B" w:rsidRDefault="0062768B">
            <w:pPr>
              <w:widowControl/>
              <w:adjustRightInd/>
              <w:spacing w:line="240" w:lineRule="exact"/>
              <w:jc w:val="center"/>
              <w:textAlignment w:val="auto"/>
              <w:rPr>
                <w:rFonts w:ascii="Arial" w:eastAsia="仿宋" w:hAnsi="Arial" w:cs="Arial"/>
                <w:snapToGrid w:val="0"/>
                <w:sz w:val="18"/>
                <w:szCs w:val="18"/>
              </w:rPr>
            </w:pPr>
          </w:p>
        </w:tc>
        <w:tc>
          <w:tcPr>
            <w:tcW w:w="1840" w:type="dxa"/>
            <w:vAlign w:val="center"/>
          </w:tcPr>
          <w:p w14:paraId="05B3607A" w14:textId="77777777" w:rsidR="0062768B" w:rsidRDefault="00136729">
            <w:pPr>
              <w:widowControl/>
              <w:adjustRightInd/>
              <w:spacing w:line="240" w:lineRule="exact"/>
              <w:jc w:val="center"/>
              <w:textAlignment w:val="auto"/>
              <w:rPr>
                <w:rFonts w:ascii="Arial" w:eastAsia="仿宋" w:hAnsi="Arial" w:cs="Arial"/>
                <w:snapToGrid w:val="0"/>
                <w:sz w:val="18"/>
                <w:szCs w:val="18"/>
                <w:lang w:eastAsia="zh-Hans"/>
              </w:rPr>
            </w:pPr>
            <w:r>
              <w:rPr>
                <w:rFonts w:ascii="Arial" w:eastAsia="仿宋" w:hAnsi="Arial" w:cs="Arial"/>
                <w:snapToGrid w:val="0"/>
                <w:sz w:val="18"/>
                <w:szCs w:val="18"/>
                <w:lang w:eastAsia="zh-Hans"/>
              </w:rPr>
              <w:t>北京市顺义区高丽营副中心区</w:t>
            </w:r>
            <w:r>
              <w:rPr>
                <w:rFonts w:ascii="Arial" w:eastAsia="仿宋" w:hAnsi="Arial" w:cs="Arial"/>
                <w:snapToGrid w:val="0"/>
                <w:sz w:val="18"/>
                <w:szCs w:val="18"/>
                <w:lang w:eastAsia="zh-Hans"/>
              </w:rPr>
              <w:t>SY02-0102-6003</w:t>
            </w:r>
            <w:r>
              <w:rPr>
                <w:rFonts w:ascii="Arial" w:eastAsia="仿宋" w:hAnsi="Arial" w:cs="Arial"/>
                <w:snapToGrid w:val="0"/>
                <w:sz w:val="18"/>
                <w:szCs w:val="18"/>
                <w:lang w:eastAsia="zh-Hans"/>
              </w:rPr>
              <w:t>号地块</w:t>
            </w:r>
          </w:p>
        </w:tc>
        <w:tc>
          <w:tcPr>
            <w:tcW w:w="487" w:type="dxa"/>
            <w:vAlign w:val="center"/>
          </w:tcPr>
          <w:p w14:paraId="4D88E264"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系数</w:t>
            </w:r>
          </w:p>
        </w:tc>
        <w:tc>
          <w:tcPr>
            <w:tcW w:w="1502" w:type="dxa"/>
            <w:vAlign w:val="center"/>
          </w:tcPr>
          <w:p w14:paraId="1761E767" w14:textId="77777777" w:rsidR="0062768B" w:rsidRDefault="00136729">
            <w:pPr>
              <w:widowControl/>
              <w:adjustRightInd/>
              <w:spacing w:line="240" w:lineRule="auto"/>
              <w:jc w:val="center"/>
              <w:textAlignment w:val="auto"/>
              <w:rPr>
                <w:rFonts w:ascii="仿宋" w:eastAsia="仿宋" w:hAnsi="仿宋"/>
                <w:color w:val="000000"/>
                <w:sz w:val="18"/>
                <w:szCs w:val="18"/>
              </w:rPr>
            </w:pPr>
            <w:r>
              <w:rPr>
                <w:rFonts w:ascii="仿宋" w:eastAsia="仿宋" w:hAnsi="仿宋" w:hint="eastAsia"/>
                <w:color w:val="000000"/>
                <w:sz w:val="18"/>
                <w:szCs w:val="18"/>
                <w:lang w:eastAsia="zh-Hans"/>
              </w:rPr>
              <w:t>数码视讯产业园</w:t>
            </w:r>
          </w:p>
        </w:tc>
        <w:tc>
          <w:tcPr>
            <w:tcW w:w="530" w:type="dxa"/>
            <w:vAlign w:val="center"/>
          </w:tcPr>
          <w:p w14:paraId="21F7226D" w14:textId="77777777" w:rsidR="0062768B" w:rsidRDefault="00136729">
            <w:pPr>
              <w:jc w:val="center"/>
              <w:rPr>
                <w:rFonts w:ascii="仿宋" w:eastAsia="仿宋" w:hAnsi="仿宋"/>
                <w:color w:val="000000"/>
                <w:sz w:val="18"/>
                <w:szCs w:val="18"/>
              </w:rPr>
            </w:pPr>
            <w:r>
              <w:rPr>
                <w:rFonts w:ascii="仿宋" w:eastAsia="仿宋" w:hAnsi="仿宋" w:hint="eastAsia"/>
                <w:color w:val="000000"/>
                <w:sz w:val="18"/>
                <w:szCs w:val="18"/>
              </w:rPr>
              <w:t>系数</w:t>
            </w:r>
          </w:p>
        </w:tc>
        <w:tc>
          <w:tcPr>
            <w:tcW w:w="1409" w:type="dxa"/>
            <w:vAlign w:val="center"/>
          </w:tcPr>
          <w:p w14:paraId="20F0786E" w14:textId="77777777" w:rsidR="0062768B" w:rsidRDefault="00136729">
            <w:pPr>
              <w:jc w:val="center"/>
              <w:rPr>
                <w:rFonts w:ascii="仿宋" w:eastAsia="仿宋" w:hAnsi="仿宋"/>
                <w:color w:val="000000"/>
                <w:sz w:val="18"/>
                <w:szCs w:val="18"/>
              </w:rPr>
            </w:pPr>
            <w:r>
              <w:rPr>
                <w:rFonts w:ascii="仿宋" w:eastAsia="仿宋" w:hAnsi="仿宋" w:hint="eastAsia"/>
                <w:color w:val="000000"/>
                <w:sz w:val="18"/>
                <w:szCs w:val="18"/>
                <w:lang w:eastAsia="zh-Hans"/>
              </w:rPr>
              <w:t>博润中心</w:t>
            </w:r>
          </w:p>
        </w:tc>
        <w:tc>
          <w:tcPr>
            <w:tcW w:w="533" w:type="dxa"/>
            <w:vAlign w:val="center"/>
          </w:tcPr>
          <w:p w14:paraId="4448DCB7" w14:textId="77777777" w:rsidR="0062768B" w:rsidRDefault="00136729">
            <w:pPr>
              <w:jc w:val="center"/>
              <w:rPr>
                <w:rFonts w:ascii="仿宋" w:eastAsia="仿宋" w:hAnsi="仿宋"/>
                <w:color w:val="000000"/>
                <w:sz w:val="18"/>
                <w:szCs w:val="18"/>
              </w:rPr>
            </w:pPr>
            <w:r>
              <w:rPr>
                <w:rFonts w:ascii="仿宋" w:eastAsia="仿宋" w:hAnsi="仿宋" w:hint="eastAsia"/>
                <w:color w:val="000000"/>
                <w:sz w:val="18"/>
                <w:szCs w:val="18"/>
              </w:rPr>
              <w:t>系数</w:t>
            </w:r>
          </w:p>
        </w:tc>
        <w:tc>
          <w:tcPr>
            <w:tcW w:w="1213" w:type="dxa"/>
            <w:vAlign w:val="center"/>
          </w:tcPr>
          <w:p w14:paraId="3A4840A2" w14:textId="77777777" w:rsidR="0062768B" w:rsidRDefault="00136729">
            <w:pPr>
              <w:jc w:val="center"/>
              <w:rPr>
                <w:rFonts w:ascii="仿宋" w:eastAsia="仿宋" w:hAnsi="仿宋"/>
                <w:color w:val="000000"/>
                <w:sz w:val="18"/>
                <w:szCs w:val="18"/>
              </w:rPr>
            </w:pPr>
            <w:r>
              <w:rPr>
                <w:rFonts w:ascii="仿宋" w:eastAsia="仿宋" w:hAnsi="仿宋" w:hint="eastAsia"/>
                <w:color w:val="000000"/>
                <w:sz w:val="18"/>
                <w:szCs w:val="18"/>
                <w:lang w:eastAsia="zh-Hans"/>
              </w:rPr>
              <w:t>城建道桥大厦</w:t>
            </w:r>
          </w:p>
        </w:tc>
        <w:tc>
          <w:tcPr>
            <w:tcW w:w="622" w:type="dxa"/>
            <w:vAlign w:val="center"/>
          </w:tcPr>
          <w:p w14:paraId="00E44CC4" w14:textId="77777777" w:rsidR="0062768B" w:rsidRDefault="00136729">
            <w:pPr>
              <w:jc w:val="center"/>
              <w:rPr>
                <w:rFonts w:ascii="仿宋" w:eastAsia="仿宋" w:hAnsi="仿宋"/>
                <w:color w:val="000000"/>
                <w:sz w:val="18"/>
                <w:szCs w:val="18"/>
              </w:rPr>
            </w:pPr>
            <w:r>
              <w:rPr>
                <w:rFonts w:ascii="仿宋" w:eastAsia="仿宋" w:hAnsi="仿宋" w:hint="eastAsia"/>
                <w:color w:val="000000"/>
                <w:sz w:val="18"/>
                <w:szCs w:val="18"/>
              </w:rPr>
              <w:t>系数</w:t>
            </w:r>
          </w:p>
        </w:tc>
      </w:tr>
      <w:tr w:rsidR="0062768B" w14:paraId="1FFD389C" w14:textId="77777777">
        <w:trPr>
          <w:jc w:val="center"/>
        </w:trPr>
        <w:tc>
          <w:tcPr>
            <w:tcW w:w="1048" w:type="dxa"/>
            <w:gridSpan w:val="2"/>
            <w:vAlign w:val="center"/>
          </w:tcPr>
          <w:p w14:paraId="286C1DEF"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交易时间</w:t>
            </w:r>
          </w:p>
        </w:tc>
        <w:tc>
          <w:tcPr>
            <w:tcW w:w="1840" w:type="dxa"/>
            <w:vAlign w:val="center"/>
          </w:tcPr>
          <w:p w14:paraId="56C51C96" w14:textId="77777777" w:rsidR="0062768B" w:rsidRDefault="00550FB0">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2023</w:t>
            </w:r>
            <w:r>
              <w:rPr>
                <w:rFonts w:ascii="Arial" w:eastAsia="仿宋" w:hAnsi="Arial" w:cs="Arial"/>
                <w:snapToGrid w:val="0"/>
                <w:sz w:val="18"/>
                <w:szCs w:val="18"/>
              </w:rPr>
              <w:t>年</w:t>
            </w:r>
            <w:r>
              <w:rPr>
                <w:rFonts w:ascii="Arial" w:eastAsia="仿宋" w:hAnsi="Arial" w:cs="Arial"/>
                <w:snapToGrid w:val="0"/>
                <w:sz w:val="18"/>
                <w:szCs w:val="18"/>
              </w:rPr>
              <w:t>6</w:t>
            </w:r>
            <w:r>
              <w:rPr>
                <w:rFonts w:ascii="Arial" w:eastAsia="仿宋" w:hAnsi="Arial" w:cs="Arial"/>
                <w:snapToGrid w:val="0"/>
                <w:sz w:val="18"/>
                <w:szCs w:val="18"/>
              </w:rPr>
              <w:t>月</w:t>
            </w:r>
            <w:r>
              <w:rPr>
                <w:rFonts w:ascii="Arial" w:eastAsia="仿宋" w:hAnsi="Arial" w:cs="Arial"/>
                <w:snapToGrid w:val="0"/>
                <w:sz w:val="18"/>
                <w:szCs w:val="18"/>
              </w:rPr>
              <w:t>20</w:t>
            </w:r>
            <w:r>
              <w:rPr>
                <w:rFonts w:ascii="Arial" w:eastAsia="仿宋" w:hAnsi="Arial" w:cs="Arial"/>
                <w:snapToGrid w:val="0"/>
                <w:sz w:val="18"/>
                <w:szCs w:val="18"/>
              </w:rPr>
              <w:t>日</w:t>
            </w:r>
          </w:p>
        </w:tc>
        <w:tc>
          <w:tcPr>
            <w:tcW w:w="487" w:type="dxa"/>
            <w:vAlign w:val="center"/>
          </w:tcPr>
          <w:p w14:paraId="62E67A43"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100</w:t>
            </w:r>
          </w:p>
        </w:tc>
        <w:tc>
          <w:tcPr>
            <w:tcW w:w="1502" w:type="dxa"/>
            <w:vAlign w:val="center"/>
          </w:tcPr>
          <w:p w14:paraId="3EED3907"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2023</w:t>
            </w:r>
            <w:r>
              <w:rPr>
                <w:rFonts w:ascii="Arial" w:eastAsia="仿宋" w:hAnsi="Arial" w:cs="Arial"/>
                <w:snapToGrid w:val="0"/>
                <w:sz w:val="18"/>
                <w:szCs w:val="18"/>
              </w:rPr>
              <w:t>年</w:t>
            </w:r>
            <w:r>
              <w:rPr>
                <w:rFonts w:ascii="Arial" w:eastAsia="仿宋" w:hAnsi="Arial" w:cs="Arial"/>
                <w:snapToGrid w:val="0"/>
                <w:sz w:val="18"/>
                <w:szCs w:val="18"/>
              </w:rPr>
              <w:t>4</w:t>
            </w:r>
            <w:r>
              <w:rPr>
                <w:rFonts w:ascii="Arial" w:eastAsia="仿宋" w:hAnsi="Arial" w:cs="Arial"/>
                <w:snapToGrid w:val="0"/>
                <w:sz w:val="18"/>
                <w:szCs w:val="18"/>
              </w:rPr>
              <w:t>月</w:t>
            </w:r>
          </w:p>
        </w:tc>
        <w:tc>
          <w:tcPr>
            <w:tcW w:w="530" w:type="dxa"/>
            <w:vAlign w:val="center"/>
          </w:tcPr>
          <w:p w14:paraId="2DB18F78"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100</w:t>
            </w:r>
          </w:p>
        </w:tc>
        <w:tc>
          <w:tcPr>
            <w:tcW w:w="1409" w:type="dxa"/>
            <w:vAlign w:val="center"/>
          </w:tcPr>
          <w:p w14:paraId="0FD9C4D7"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2023</w:t>
            </w:r>
            <w:r>
              <w:rPr>
                <w:rFonts w:ascii="Arial" w:eastAsia="仿宋" w:hAnsi="Arial" w:cs="Arial"/>
                <w:snapToGrid w:val="0"/>
                <w:sz w:val="18"/>
                <w:szCs w:val="18"/>
              </w:rPr>
              <w:t>年</w:t>
            </w:r>
            <w:r>
              <w:rPr>
                <w:rFonts w:ascii="Arial" w:eastAsia="仿宋" w:hAnsi="Arial" w:cs="Arial"/>
                <w:snapToGrid w:val="0"/>
                <w:sz w:val="18"/>
                <w:szCs w:val="18"/>
              </w:rPr>
              <w:t>4</w:t>
            </w:r>
            <w:r>
              <w:rPr>
                <w:rFonts w:ascii="Arial" w:eastAsia="仿宋" w:hAnsi="Arial" w:cs="Arial"/>
                <w:snapToGrid w:val="0"/>
                <w:sz w:val="18"/>
                <w:szCs w:val="18"/>
              </w:rPr>
              <w:t>月</w:t>
            </w:r>
          </w:p>
        </w:tc>
        <w:tc>
          <w:tcPr>
            <w:tcW w:w="533" w:type="dxa"/>
            <w:vAlign w:val="center"/>
          </w:tcPr>
          <w:p w14:paraId="30612234"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100</w:t>
            </w:r>
          </w:p>
        </w:tc>
        <w:tc>
          <w:tcPr>
            <w:tcW w:w="1213" w:type="dxa"/>
            <w:vAlign w:val="center"/>
          </w:tcPr>
          <w:p w14:paraId="196A0447"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2023</w:t>
            </w:r>
            <w:r>
              <w:rPr>
                <w:rFonts w:ascii="Arial" w:eastAsia="仿宋" w:hAnsi="Arial" w:cs="Arial"/>
                <w:snapToGrid w:val="0"/>
                <w:sz w:val="18"/>
                <w:szCs w:val="18"/>
              </w:rPr>
              <w:t>年</w:t>
            </w:r>
            <w:r>
              <w:rPr>
                <w:rFonts w:ascii="Arial" w:eastAsia="仿宋" w:hAnsi="Arial" w:cs="Arial"/>
                <w:snapToGrid w:val="0"/>
                <w:sz w:val="18"/>
                <w:szCs w:val="18"/>
              </w:rPr>
              <w:t>4</w:t>
            </w:r>
            <w:r>
              <w:rPr>
                <w:rFonts w:ascii="Arial" w:eastAsia="仿宋" w:hAnsi="Arial" w:cs="Arial"/>
                <w:snapToGrid w:val="0"/>
                <w:sz w:val="18"/>
                <w:szCs w:val="18"/>
              </w:rPr>
              <w:t>月</w:t>
            </w:r>
          </w:p>
        </w:tc>
        <w:tc>
          <w:tcPr>
            <w:tcW w:w="622" w:type="dxa"/>
            <w:vAlign w:val="center"/>
          </w:tcPr>
          <w:p w14:paraId="1332D40A"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100</w:t>
            </w:r>
          </w:p>
        </w:tc>
      </w:tr>
      <w:tr w:rsidR="0062768B" w14:paraId="23716D72" w14:textId="77777777">
        <w:trPr>
          <w:jc w:val="center"/>
        </w:trPr>
        <w:tc>
          <w:tcPr>
            <w:tcW w:w="1048" w:type="dxa"/>
            <w:gridSpan w:val="2"/>
            <w:vAlign w:val="center"/>
          </w:tcPr>
          <w:p w14:paraId="50717C42"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交易情况</w:t>
            </w:r>
          </w:p>
        </w:tc>
        <w:tc>
          <w:tcPr>
            <w:tcW w:w="1840" w:type="dxa"/>
            <w:vAlign w:val="center"/>
          </w:tcPr>
          <w:p w14:paraId="2CB8C3AC"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正常</w:t>
            </w:r>
          </w:p>
        </w:tc>
        <w:tc>
          <w:tcPr>
            <w:tcW w:w="487" w:type="dxa"/>
            <w:vAlign w:val="center"/>
          </w:tcPr>
          <w:p w14:paraId="47377334"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502" w:type="dxa"/>
            <w:vAlign w:val="center"/>
          </w:tcPr>
          <w:p w14:paraId="354B63F0"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正常</w:t>
            </w:r>
          </w:p>
        </w:tc>
        <w:tc>
          <w:tcPr>
            <w:tcW w:w="530" w:type="dxa"/>
            <w:vAlign w:val="center"/>
          </w:tcPr>
          <w:p w14:paraId="2845C40F"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409" w:type="dxa"/>
            <w:vAlign w:val="center"/>
          </w:tcPr>
          <w:p w14:paraId="177F2D12"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正常</w:t>
            </w:r>
          </w:p>
        </w:tc>
        <w:tc>
          <w:tcPr>
            <w:tcW w:w="533" w:type="dxa"/>
            <w:vAlign w:val="center"/>
          </w:tcPr>
          <w:p w14:paraId="04F0D92B"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213" w:type="dxa"/>
            <w:vAlign w:val="center"/>
          </w:tcPr>
          <w:p w14:paraId="26C800FE"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正常</w:t>
            </w:r>
          </w:p>
        </w:tc>
        <w:tc>
          <w:tcPr>
            <w:tcW w:w="622" w:type="dxa"/>
            <w:vAlign w:val="center"/>
          </w:tcPr>
          <w:p w14:paraId="61DAD6DB"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r>
      <w:tr w:rsidR="0062768B" w14:paraId="18FE60EA" w14:textId="77777777">
        <w:trPr>
          <w:jc w:val="center"/>
        </w:trPr>
        <w:tc>
          <w:tcPr>
            <w:tcW w:w="1048" w:type="dxa"/>
            <w:gridSpan w:val="2"/>
            <w:vAlign w:val="center"/>
          </w:tcPr>
          <w:p w14:paraId="518078BE"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用途</w:t>
            </w:r>
          </w:p>
        </w:tc>
        <w:tc>
          <w:tcPr>
            <w:tcW w:w="1840" w:type="dxa"/>
            <w:vAlign w:val="center"/>
          </w:tcPr>
          <w:p w14:paraId="48A4F20E"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公共服务</w:t>
            </w:r>
          </w:p>
        </w:tc>
        <w:tc>
          <w:tcPr>
            <w:tcW w:w="487" w:type="dxa"/>
            <w:vAlign w:val="center"/>
          </w:tcPr>
          <w:p w14:paraId="7AE6E58A"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502" w:type="dxa"/>
            <w:vAlign w:val="center"/>
          </w:tcPr>
          <w:p w14:paraId="0700D2E7" w14:textId="77777777" w:rsidR="0062768B" w:rsidRDefault="00136729">
            <w:pPr>
              <w:spacing w:line="240" w:lineRule="auto"/>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办公</w:t>
            </w:r>
          </w:p>
        </w:tc>
        <w:tc>
          <w:tcPr>
            <w:tcW w:w="530" w:type="dxa"/>
            <w:vAlign w:val="center"/>
          </w:tcPr>
          <w:p w14:paraId="45A78D75" w14:textId="77777777" w:rsidR="0062768B" w:rsidRDefault="00136729">
            <w:pPr>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102</w:t>
            </w:r>
          </w:p>
        </w:tc>
        <w:tc>
          <w:tcPr>
            <w:tcW w:w="1409" w:type="dxa"/>
            <w:vAlign w:val="center"/>
          </w:tcPr>
          <w:p w14:paraId="47EA9B6B" w14:textId="77777777" w:rsidR="0062768B" w:rsidRDefault="00136729">
            <w:pPr>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办公</w:t>
            </w:r>
          </w:p>
        </w:tc>
        <w:tc>
          <w:tcPr>
            <w:tcW w:w="533" w:type="dxa"/>
            <w:vAlign w:val="center"/>
          </w:tcPr>
          <w:p w14:paraId="0E593084" w14:textId="77777777" w:rsidR="0062768B" w:rsidRDefault="00136729">
            <w:pPr>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102</w:t>
            </w:r>
          </w:p>
        </w:tc>
        <w:tc>
          <w:tcPr>
            <w:tcW w:w="1213" w:type="dxa"/>
            <w:vAlign w:val="center"/>
          </w:tcPr>
          <w:p w14:paraId="0EA6E6DD" w14:textId="77777777" w:rsidR="0062768B" w:rsidRDefault="00136729">
            <w:pPr>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办公</w:t>
            </w:r>
          </w:p>
        </w:tc>
        <w:tc>
          <w:tcPr>
            <w:tcW w:w="622" w:type="dxa"/>
            <w:vAlign w:val="center"/>
          </w:tcPr>
          <w:p w14:paraId="33F35486" w14:textId="77777777" w:rsidR="0062768B" w:rsidRDefault="00136729">
            <w:pPr>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102</w:t>
            </w:r>
          </w:p>
        </w:tc>
      </w:tr>
      <w:tr w:rsidR="0062768B" w14:paraId="2E6B821A" w14:textId="77777777">
        <w:trPr>
          <w:jc w:val="center"/>
        </w:trPr>
        <w:tc>
          <w:tcPr>
            <w:tcW w:w="477" w:type="dxa"/>
            <w:vMerge w:val="restart"/>
            <w:vAlign w:val="center"/>
          </w:tcPr>
          <w:p w14:paraId="71D8A861"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区域</w:t>
            </w:r>
          </w:p>
          <w:p w14:paraId="1FC073FF"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因素</w:t>
            </w:r>
          </w:p>
          <w:p w14:paraId="352EC0B3" w14:textId="77777777" w:rsidR="0062768B" w:rsidRDefault="0062768B">
            <w:pPr>
              <w:widowControl/>
              <w:adjustRightInd/>
              <w:spacing w:line="240" w:lineRule="exact"/>
              <w:jc w:val="center"/>
              <w:textAlignment w:val="auto"/>
              <w:rPr>
                <w:rFonts w:ascii="Arial" w:eastAsia="仿宋" w:hAnsi="Arial" w:cs="Arial"/>
                <w:snapToGrid w:val="0"/>
                <w:sz w:val="18"/>
                <w:szCs w:val="18"/>
              </w:rPr>
            </w:pPr>
          </w:p>
        </w:tc>
        <w:tc>
          <w:tcPr>
            <w:tcW w:w="571" w:type="dxa"/>
            <w:vAlign w:val="center"/>
          </w:tcPr>
          <w:p w14:paraId="5DA35C4E" w14:textId="77777777" w:rsidR="0062768B" w:rsidRDefault="00136729">
            <w:pPr>
              <w:widowControl/>
              <w:adjustRightInd/>
              <w:spacing w:line="240" w:lineRule="exact"/>
              <w:jc w:val="center"/>
              <w:textAlignment w:val="auto"/>
              <w:rPr>
                <w:rFonts w:ascii="Arial" w:eastAsia="仿宋" w:hAnsi="Arial" w:cs="Arial"/>
                <w:snapToGrid w:val="0"/>
                <w:sz w:val="18"/>
                <w:szCs w:val="18"/>
                <w:lang w:eastAsia="zh-Hans"/>
              </w:rPr>
            </w:pPr>
            <w:r>
              <w:rPr>
                <w:rFonts w:ascii="Arial" w:eastAsia="仿宋" w:hAnsi="Arial" w:cs="Arial"/>
                <w:snapToGrid w:val="0"/>
                <w:sz w:val="18"/>
                <w:szCs w:val="18"/>
                <w:lang w:eastAsia="zh-Hans"/>
              </w:rPr>
              <w:t>物业集聚程度</w:t>
            </w:r>
          </w:p>
        </w:tc>
        <w:tc>
          <w:tcPr>
            <w:tcW w:w="1840" w:type="dxa"/>
            <w:vAlign w:val="center"/>
          </w:tcPr>
          <w:p w14:paraId="5F190EE6"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估价对象位于北京市顺义区高丽营镇夏县营村，周边</w:t>
            </w:r>
            <w:r>
              <w:rPr>
                <w:rFonts w:ascii="Arial" w:eastAsia="仿宋" w:hAnsi="Arial" w:cs="Arial" w:hint="eastAsia"/>
                <w:snapToGrid w:val="0"/>
                <w:sz w:val="18"/>
                <w:szCs w:val="18"/>
                <w:lang w:eastAsia="zh-Hans"/>
              </w:rPr>
              <w:t>2</w:t>
            </w:r>
            <w:r>
              <w:rPr>
                <w:rFonts w:ascii="Arial" w:eastAsia="仿宋" w:hAnsi="Arial" w:cs="Arial" w:hint="eastAsia"/>
                <w:snapToGrid w:val="0"/>
                <w:sz w:val="18"/>
                <w:szCs w:val="18"/>
                <w:lang w:eastAsia="zh-Hans"/>
              </w:rPr>
              <w:t>公里范围内有双悦大楼、智慧谷商务中心等办公项目，周边公共服务物业数量较少，物业集聚程度较差。</w:t>
            </w:r>
          </w:p>
        </w:tc>
        <w:tc>
          <w:tcPr>
            <w:tcW w:w="487" w:type="dxa"/>
            <w:vAlign w:val="center"/>
          </w:tcPr>
          <w:p w14:paraId="5F5D8357"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502" w:type="dxa"/>
            <w:vAlign w:val="center"/>
          </w:tcPr>
          <w:p w14:paraId="21848F20"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案例</w:t>
            </w:r>
            <w:r>
              <w:rPr>
                <w:rFonts w:ascii="Arial" w:eastAsia="仿宋" w:hAnsi="Arial" w:cs="Arial" w:hint="eastAsia"/>
                <w:snapToGrid w:val="0"/>
                <w:sz w:val="18"/>
                <w:szCs w:val="18"/>
                <w:lang w:eastAsia="zh-Hans"/>
              </w:rPr>
              <w:t>G</w:t>
            </w:r>
            <w:r>
              <w:rPr>
                <w:rFonts w:ascii="Arial" w:eastAsia="仿宋" w:hAnsi="Arial" w:cs="Arial" w:hint="eastAsia"/>
                <w:snapToGrid w:val="0"/>
                <w:sz w:val="18"/>
                <w:szCs w:val="18"/>
                <w:lang w:eastAsia="zh-Hans"/>
              </w:rPr>
              <w:t>周边约</w:t>
            </w:r>
            <w:r>
              <w:rPr>
                <w:rFonts w:ascii="Arial" w:eastAsia="仿宋" w:hAnsi="Arial" w:cs="Arial" w:hint="eastAsia"/>
                <w:snapToGrid w:val="0"/>
                <w:sz w:val="18"/>
                <w:szCs w:val="18"/>
                <w:lang w:eastAsia="zh-Hans"/>
              </w:rPr>
              <w:t>2</w:t>
            </w:r>
            <w:r>
              <w:rPr>
                <w:rFonts w:ascii="Arial" w:eastAsia="仿宋" w:hAnsi="Arial" w:cs="Arial" w:hint="eastAsia"/>
                <w:snapToGrid w:val="0"/>
                <w:sz w:val="18"/>
                <w:szCs w:val="18"/>
                <w:lang w:eastAsia="zh-Hans"/>
              </w:rPr>
              <w:t>公里范围内有中关村顺义园、理想汽车北京研发总部等办公园区，周边公共服务物业数量较少，物业集聚程度较差</w:t>
            </w:r>
          </w:p>
        </w:tc>
        <w:tc>
          <w:tcPr>
            <w:tcW w:w="530" w:type="dxa"/>
            <w:vAlign w:val="center"/>
          </w:tcPr>
          <w:p w14:paraId="75739564"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409" w:type="dxa"/>
            <w:vAlign w:val="center"/>
          </w:tcPr>
          <w:p w14:paraId="6E370434"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案例</w:t>
            </w:r>
            <w:r>
              <w:rPr>
                <w:rFonts w:ascii="Arial" w:eastAsia="仿宋" w:hAnsi="Arial" w:cs="Arial" w:hint="eastAsia"/>
                <w:snapToGrid w:val="0"/>
                <w:sz w:val="18"/>
                <w:szCs w:val="18"/>
                <w:lang w:eastAsia="zh-Hans"/>
              </w:rPr>
              <w:t>H</w:t>
            </w:r>
            <w:r>
              <w:rPr>
                <w:rFonts w:ascii="Arial" w:eastAsia="仿宋" w:hAnsi="Arial" w:cs="Arial" w:hint="eastAsia"/>
                <w:snapToGrid w:val="0"/>
                <w:sz w:val="18"/>
                <w:szCs w:val="18"/>
                <w:lang w:eastAsia="zh-Hans"/>
              </w:rPr>
              <w:t>周边约</w:t>
            </w:r>
            <w:r>
              <w:rPr>
                <w:rFonts w:ascii="Arial" w:eastAsia="仿宋" w:hAnsi="Arial" w:cs="Arial" w:hint="eastAsia"/>
                <w:snapToGrid w:val="0"/>
                <w:sz w:val="18"/>
                <w:szCs w:val="18"/>
                <w:lang w:eastAsia="zh-Hans"/>
              </w:rPr>
              <w:t>2</w:t>
            </w:r>
            <w:r>
              <w:rPr>
                <w:rFonts w:ascii="Arial" w:eastAsia="仿宋" w:hAnsi="Arial" w:cs="Arial" w:hint="eastAsia"/>
                <w:snapToGrid w:val="0"/>
                <w:sz w:val="18"/>
                <w:szCs w:val="18"/>
                <w:lang w:eastAsia="zh-Hans"/>
              </w:rPr>
              <w:t>公里有绿地启航国际、中景江山赋写字楼、信得科技办公楼等办公项目，物业集聚程度较好</w:t>
            </w:r>
          </w:p>
        </w:tc>
        <w:tc>
          <w:tcPr>
            <w:tcW w:w="533" w:type="dxa"/>
            <w:vAlign w:val="center"/>
          </w:tcPr>
          <w:p w14:paraId="4FA927DD"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104</w:t>
            </w:r>
          </w:p>
        </w:tc>
        <w:tc>
          <w:tcPr>
            <w:tcW w:w="1213" w:type="dxa"/>
            <w:vAlign w:val="center"/>
          </w:tcPr>
          <w:p w14:paraId="276B358F"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案例</w:t>
            </w:r>
            <w:r>
              <w:rPr>
                <w:rFonts w:ascii="Arial" w:eastAsia="仿宋" w:hAnsi="Arial" w:cs="Arial" w:hint="eastAsia"/>
                <w:snapToGrid w:val="0"/>
                <w:sz w:val="18"/>
                <w:szCs w:val="18"/>
                <w:lang w:eastAsia="zh-Hans"/>
              </w:rPr>
              <w:t>I</w:t>
            </w:r>
            <w:r>
              <w:rPr>
                <w:rFonts w:ascii="Arial" w:eastAsia="仿宋" w:hAnsi="Arial" w:cs="Arial" w:hint="eastAsia"/>
                <w:snapToGrid w:val="0"/>
                <w:sz w:val="18"/>
                <w:szCs w:val="18"/>
                <w:lang w:eastAsia="zh-Hans"/>
              </w:rPr>
              <w:t>周边约</w:t>
            </w:r>
            <w:r>
              <w:rPr>
                <w:rFonts w:ascii="Arial" w:eastAsia="仿宋" w:hAnsi="Arial" w:cs="Arial" w:hint="eastAsia"/>
                <w:snapToGrid w:val="0"/>
                <w:sz w:val="18"/>
                <w:szCs w:val="18"/>
                <w:lang w:eastAsia="zh-Hans"/>
              </w:rPr>
              <w:t>2</w:t>
            </w:r>
            <w:r>
              <w:rPr>
                <w:rFonts w:ascii="Arial" w:eastAsia="仿宋" w:hAnsi="Arial" w:cs="Arial" w:hint="eastAsia"/>
                <w:snapToGrid w:val="0"/>
                <w:sz w:val="18"/>
                <w:szCs w:val="18"/>
                <w:lang w:eastAsia="zh-Hans"/>
              </w:rPr>
              <w:t>公里有嘉和一品写字楼、天博中心、顺接大厦、圣宇大厦、泰吉尔商务中心写字楼等办公项目，物业集聚程度较好</w:t>
            </w:r>
          </w:p>
        </w:tc>
        <w:tc>
          <w:tcPr>
            <w:tcW w:w="622" w:type="dxa"/>
            <w:vAlign w:val="center"/>
          </w:tcPr>
          <w:p w14:paraId="56F2747B"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104</w:t>
            </w:r>
          </w:p>
        </w:tc>
      </w:tr>
      <w:tr w:rsidR="0062768B" w14:paraId="63CB421A" w14:textId="77777777">
        <w:trPr>
          <w:jc w:val="center"/>
        </w:trPr>
        <w:tc>
          <w:tcPr>
            <w:tcW w:w="477" w:type="dxa"/>
            <w:vMerge/>
            <w:vAlign w:val="center"/>
          </w:tcPr>
          <w:p w14:paraId="6D6AFD1A" w14:textId="77777777" w:rsidR="0062768B" w:rsidRDefault="0062768B">
            <w:pPr>
              <w:widowControl/>
              <w:adjustRightInd/>
              <w:spacing w:line="240" w:lineRule="exact"/>
              <w:jc w:val="center"/>
              <w:textAlignment w:val="auto"/>
              <w:rPr>
                <w:rFonts w:ascii="Arial" w:eastAsia="仿宋" w:hAnsi="Arial" w:cs="Arial"/>
                <w:snapToGrid w:val="0"/>
                <w:sz w:val="18"/>
                <w:szCs w:val="18"/>
              </w:rPr>
            </w:pPr>
          </w:p>
        </w:tc>
        <w:tc>
          <w:tcPr>
            <w:tcW w:w="571" w:type="dxa"/>
            <w:vAlign w:val="center"/>
          </w:tcPr>
          <w:p w14:paraId="3C7CD099"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交通便捷度</w:t>
            </w:r>
          </w:p>
        </w:tc>
        <w:tc>
          <w:tcPr>
            <w:tcW w:w="1840" w:type="dxa"/>
            <w:vAlign w:val="center"/>
          </w:tcPr>
          <w:p w14:paraId="1B5B44B1"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估价对象属于北京市顺义区高丽营镇夏县营村，估价对象紧临城市主干道——火寺路、周边</w:t>
            </w:r>
            <w:r>
              <w:rPr>
                <w:rFonts w:ascii="Arial" w:eastAsia="仿宋" w:hAnsi="Arial" w:cs="Arial" w:hint="eastAsia"/>
                <w:snapToGrid w:val="0"/>
                <w:sz w:val="18"/>
                <w:szCs w:val="18"/>
                <w:lang w:eastAsia="zh-Hans"/>
              </w:rPr>
              <w:t>1</w:t>
            </w:r>
            <w:r>
              <w:rPr>
                <w:rFonts w:ascii="Arial" w:eastAsia="仿宋" w:hAnsi="Arial" w:cs="Arial" w:hint="eastAsia"/>
                <w:snapToGrid w:val="0"/>
                <w:sz w:val="18"/>
                <w:szCs w:val="18"/>
                <w:lang w:eastAsia="zh-Hans"/>
              </w:rPr>
              <w:t>公里范围内有顺</w:t>
            </w:r>
            <w:r>
              <w:rPr>
                <w:rFonts w:ascii="Arial" w:eastAsia="仿宋" w:hAnsi="Arial" w:cs="Arial" w:hint="eastAsia"/>
                <w:snapToGrid w:val="0"/>
                <w:sz w:val="18"/>
                <w:szCs w:val="18"/>
                <w:lang w:eastAsia="zh-Hans"/>
              </w:rPr>
              <w:t>25</w:t>
            </w:r>
            <w:r>
              <w:rPr>
                <w:rFonts w:ascii="Arial" w:eastAsia="仿宋" w:hAnsi="Arial" w:cs="Arial" w:hint="eastAsia"/>
                <w:snapToGrid w:val="0"/>
                <w:sz w:val="18"/>
                <w:szCs w:val="18"/>
                <w:lang w:eastAsia="zh-Hans"/>
              </w:rPr>
              <w:t>路、顺</w:t>
            </w:r>
            <w:r>
              <w:rPr>
                <w:rFonts w:ascii="Arial" w:eastAsia="仿宋" w:hAnsi="Arial" w:cs="Arial" w:hint="eastAsia"/>
                <w:snapToGrid w:val="0"/>
                <w:sz w:val="18"/>
                <w:szCs w:val="18"/>
                <w:lang w:eastAsia="zh-Hans"/>
              </w:rPr>
              <w:t>42</w:t>
            </w:r>
            <w:r>
              <w:rPr>
                <w:rFonts w:ascii="Arial" w:eastAsia="仿宋" w:hAnsi="Arial" w:cs="Arial" w:hint="eastAsia"/>
                <w:snapToGrid w:val="0"/>
                <w:sz w:val="18"/>
                <w:szCs w:val="18"/>
                <w:lang w:eastAsia="zh-Hans"/>
              </w:rPr>
              <w:t>路、顺</w:t>
            </w:r>
            <w:r>
              <w:rPr>
                <w:rFonts w:ascii="Arial" w:eastAsia="仿宋" w:hAnsi="Arial" w:cs="Arial" w:hint="eastAsia"/>
                <w:snapToGrid w:val="0"/>
                <w:sz w:val="18"/>
                <w:szCs w:val="18"/>
                <w:lang w:eastAsia="zh-Hans"/>
              </w:rPr>
              <w:t>49</w:t>
            </w:r>
            <w:r>
              <w:rPr>
                <w:rFonts w:ascii="Arial" w:eastAsia="仿宋" w:hAnsi="Arial" w:cs="Arial" w:hint="eastAsia"/>
                <w:snapToGrid w:val="0"/>
                <w:sz w:val="18"/>
                <w:szCs w:val="18"/>
                <w:lang w:eastAsia="zh-Hans"/>
              </w:rPr>
              <w:t>路、顺</w:t>
            </w:r>
            <w:r>
              <w:rPr>
                <w:rFonts w:ascii="Arial" w:eastAsia="仿宋" w:hAnsi="Arial" w:cs="Arial" w:hint="eastAsia"/>
                <w:snapToGrid w:val="0"/>
                <w:sz w:val="18"/>
                <w:szCs w:val="18"/>
                <w:lang w:eastAsia="zh-Hans"/>
              </w:rPr>
              <w:t>69</w:t>
            </w:r>
            <w:r>
              <w:rPr>
                <w:rFonts w:ascii="Arial" w:eastAsia="仿宋" w:hAnsi="Arial" w:cs="Arial" w:hint="eastAsia"/>
                <w:snapToGrid w:val="0"/>
                <w:sz w:val="18"/>
                <w:szCs w:val="18"/>
                <w:lang w:eastAsia="zh-Hans"/>
              </w:rPr>
              <w:t>路等公交线路，区域内交通一般，区域间通达性较差，综合评价交通便捷度较差。</w:t>
            </w:r>
          </w:p>
        </w:tc>
        <w:tc>
          <w:tcPr>
            <w:tcW w:w="487" w:type="dxa"/>
            <w:vAlign w:val="center"/>
          </w:tcPr>
          <w:p w14:paraId="1766FC3E"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502" w:type="dxa"/>
            <w:vAlign w:val="center"/>
          </w:tcPr>
          <w:p w14:paraId="64E78401"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案例</w:t>
            </w:r>
            <w:r>
              <w:rPr>
                <w:rFonts w:ascii="Arial" w:eastAsia="仿宋" w:hAnsi="Arial" w:cs="Arial" w:hint="eastAsia"/>
                <w:snapToGrid w:val="0"/>
                <w:sz w:val="18"/>
                <w:szCs w:val="18"/>
                <w:lang w:eastAsia="zh-Hans"/>
              </w:rPr>
              <w:t>G</w:t>
            </w:r>
            <w:r>
              <w:rPr>
                <w:rFonts w:ascii="Arial" w:eastAsia="仿宋" w:hAnsi="Arial" w:cs="Arial" w:hint="eastAsia"/>
                <w:snapToGrid w:val="0"/>
                <w:sz w:val="18"/>
                <w:szCs w:val="18"/>
                <w:lang w:eastAsia="zh-Hans"/>
              </w:rPr>
              <w:t>周边</w:t>
            </w:r>
            <w:r>
              <w:rPr>
                <w:rFonts w:ascii="Arial" w:eastAsia="仿宋" w:hAnsi="Arial" w:cs="Arial" w:hint="eastAsia"/>
                <w:snapToGrid w:val="0"/>
                <w:sz w:val="18"/>
                <w:szCs w:val="18"/>
                <w:lang w:eastAsia="zh-Hans"/>
              </w:rPr>
              <w:t>1</w:t>
            </w:r>
            <w:r>
              <w:rPr>
                <w:rFonts w:ascii="Arial" w:eastAsia="仿宋" w:hAnsi="Arial" w:cs="Arial" w:hint="eastAsia"/>
                <w:snapToGrid w:val="0"/>
                <w:sz w:val="18"/>
                <w:szCs w:val="18"/>
                <w:lang w:eastAsia="zh-Hans"/>
              </w:rPr>
              <w:t>公里有快速直达专线</w:t>
            </w:r>
            <w:r>
              <w:rPr>
                <w:rFonts w:ascii="Arial" w:eastAsia="仿宋" w:hAnsi="Arial" w:cs="Arial" w:hint="eastAsia"/>
                <w:snapToGrid w:val="0"/>
                <w:sz w:val="18"/>
                <w:szCs w:val="18"/>
                <w:lang w:eastAsia="zh-Hans"/>
              </w:rPr>
              <w:t>41</w:t>
            </w:r>
            <w:r>
              <w:rPr>
                <w:rFonts w:ascii="Arial" w:eastAsia="仿宋" w:hAnsi="Arial" w:cs="Arial" w:hint="eastAsia"/>
                <w:snapToGrid w:val="0"/>
                <w:sz w:val="18"/>
                <w:szCs w:val="18"/>
                <w:lang w:eastAsia="zh-Hans"/>
              </w:rPr>
              <w:t>路、顺</w:t>
            </w:r>
            <w:r>
              <w:rPr>
                <w:rFonts w:ascii="Arial" w:eastAsia="仿宋" w:hAnsi="Arial" w:cs="Arial" w:hint="eastAsia"/>
                <w:snapToGrid w:val="0"/>
                <w:sz w:val="18"/>
                <w:szCs w:val="18"/>
                <w:lang w:eastAsia="zh-Hans"/>
              </w:rPr>
              <w:t>49</w:t>
            </w:r>
            <w:r>
              <w:rPr>
                <w:rFonts w:ascii="Arial" w:eastAsia="仿宋" w:hAnsi="Arial" w:cs="Arial" w:hint="eastAsia"/>
                <w:snapToGrid w:val="0"/>
                <w:sz w:val="18"/>
                <w:szCs w:val="18"/>
                <w:lang w:eastAsia="zh-Hans"/>
              </w:rPr>
              <w:t>路、顺</w:t>
            </w:r>
            <w:r>
              <w:rPr>
                <w:rFonts w:ascii="Arial" w:eastAsia="仿宋" w:hAnsi="Arial" w:cs="Arial" w:hint="eastAsia"/>
                <w:snapToGrid w:val="0"/>
                <w:sz w:val="18"/>
                <w:szCs w:val="18"/>
                <w:lang w:eastAsia="zh-Hans"/>
              </w:rPr>
              <w:t>67</w:t>
            </w:r>
            <w:r>
              <w:rPr>
                <w:rFonts w:ascii="Arial" w:eastAsia="仿宋" w:hAnsi="Arial" w:cs="Arial" w:hint="eastAsia"/>
                <w:snapToGrid w:val="0"/>
                <w:sz w:val="18"/>
                <w:szCs w:val="18"/>
                <w:lang w:eastAsia="zh-Hans"/>
              </w:rPr>
              <w:t>路、顺</w:t>
            </w:r>
            <w:r>
              <w:rPr>
                <w:rFonts w:ascii="Arial" w:eastAsia="仿宋" w:hAnsi="Arial" w:cs="Arial" w:hint="eastAsia"/>
                <w:snapToGrid w:val="0"/>
                <w:sz w:val="18"/>
                <w:szCs w:val="18"/>
                <w:lang w:eastAsia="zh-Hans"/>
              </w:rPr>
              <w:t>69</w:t>
            </w:r>
            <w:r>
              <w:rPr>
                <w:rFonts w:ascii="Arial" w:eastAsia="仿宋" w:hAnsi="Arial" w:cs="Arial" w:hint="eastAsia"/>
                <w:snapToGrid w:val="0"/>
                <w:sz w:val="18"/>
                <w:szCs w:val="18"/>
                <w:lang w:eastAsia="zh-Hans"/>
              </w:rPr>
              <w:t>路等公交线路，区域内交通一般，区域间通达性较差，综合评价交通便捷度较差</w:t>
            </w:r>
          </w:p>
        </w:tc>
        <w:tc>
          <w:tcPr>
            <w:tcW w:w="530" w:type="dxa"/>
            <w:vAlign w:val="center"/>
          </w:tcPr>
          <w:p w14:paraId="20BFFE05"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409" w:type="dxa"/>
            <w:vAlign w:val="center"/>
          </w:tcPr>
          <w:p w14:paraId="0080CFA0"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案例</w:t>
            </w:r>
            <w:r>
              <w:rPr>
                <w:rFonts w:ascii="Arial" w:eastAsia="仿宋" w:hAnsi="Arial" w:cs="Arial"/>
                <w:snapToGrid w:val="0"/>
                <w:sz w:val="18"/>
                <w:szCs w:val="18"/>
                <w:lang w:eastAsia="zh-Hans"/>
              </w:rPr>
              <w:t>H</w:t>
            </w:r>
            <w:r>
              <w:rPr>
                <w:rFonts w:ascii="Arial" w:eastAsia="仿宋" w:hAnsi="Arial" w:cs="Arial" w:hint="eastAsia"/>
                <w:snapToGrid w:val="0"/>
                <w:sz w:val="18"/>
                <w:szCs w:val="18"/>
                <w:lang w:eastAsia="zh-Hans"/>
              </w:rPr>
              <w:t>靠近机场北线高速，临近城市高速路</w:t>
            </w:r>
            <w:r>
              <w:rPr>
                <w:rFonts w:ascii="Arial" w:eastAsia="仿宋" w:hAnsi="Arial" w:cs="Arial"/>
                <w:snapToGrid w:val="0"/>
                <w:sz w:val="18"/>
                <w:szCs w:val="18"/>
                <w:lang w:eastAsia="zh-Hans"/>
              </w:rPr>
              <w:t>——</w:t>
            </w:r>
            <w:r>
              <w:rPr>
                <w:rFonts w:ascii="Arial" w:eastAsia="仿宋" w:hAnsi="Arial" w:cs="Arial" w:hint="eastAsia"/>
                <w:snapToGrid w:val="0"/>
                <w:sz w:val="18"/>
                <w:szCs w:val="18"/>
                <w:lang w:eastAsia="zh-Hans"/>
              </w:rPr>
              <w:t>机场北线高速，有空港</w:t>
            </w:r>
            <w:r>
              <w:rPr>
                <w:rFonts w:ascii="Arial" w:eastAsia="仿宋" w:hAnsi="Arial" w:cs="Arial"/>
                <w:snapToGrid w:val="0"/>
                <w:sz w:val="18"/>
                <w:szCs w:val="18"/>
                <w:lang w:eastAsia="zh-Hans"/>
              </w:rPr>
              <w:t>3</w:t>
            </w:r>
            <w:r>
              <w:rPr>
                <w:rFonts w:ascii="Arial" w:eastAsia="仿宋" w:hAnsi="Arial" w:cs="Arial" w:hint="eastAsia"/>
                <w:snapToGrid w:val="0"/>
                <w:sz w:val="18"/>
                <w:szCs w:val="18"/>
                <w:lang w:eastAsia="zh-Hans"/>
              </w:rPr>
              <w:t>路、顺</w:t>
            </w:r>
            <w:r>
              <w:rPr>
                <w:rFonts w:ascii="Arial" w:eastAsia="仿宋" w:hAnsi="Arial" w:cs="Arial"/>
                <w:snapToGrid w:val="0"/>
                <w:sz w:val="18"/>
                <w:szCs w:val="18"/>
                <w:lang w:eastAsia="zh-Hans"/>
              </w:rPr>
              <w:t>57</w:t>
            </w:r>
            <w:r>
              <w:rPr>
                <w:rFonts w:ascii="Arial" w:eastAsia="仿宋" w:hAnsi="Arial" w:cs="Arial" w:hint="eastAsia"/>
                <w:snapToGrid w:val="0"/>
                <w:sz w:val="18"/>
                <w:szCs w:val="18"/>
                <w:lang w:eastAsia="zh-Hans"/>
              </w:rPr>
              <w:t>路、顺</w:t>
            </w:r>
            <w:r>
              <w:rPr>
                <w:rFonts w:ascii="Arial" w:eastAsia="仿宋" w:hAnsi="Arial" w:cs="Arial"/>
                <w:snapToGrid w:val="0"/>
                <w:sz w:val="18"/>
                <w:szCs w:val="18"/>
                <w:lang w:eastAsia="zh-Hans"/>
              </w:rPr>
              <w:t>58</w:t>
            </w:r>
            <w:r>
              <w:rPr>
                <w:rFonts w:ascii="Arial" w:eastAsia="仿宋" w:hAnsi="Arial" w:cs="Arial" w:hint="eastAsia"/>
                <w:snapToGrid w:val="0"/>
                <w:sz w:val="18"/>
                <w:szCs w:val="18"/>
                <w:lang w:eastAsia="zh-Hans"/>
              </w:rPr>
              <w:t>路、</w:t>
            </w:r>
            <w:r>
              <w:rPr>
                <w:rFonts w:ascii="Arial" w:eastAsia="仿宋" w:hAnsi="Arial" w:cs="Arial"/>
                <w:snapToGrid w:val="0"/>
                <w:sz w:val="18"/>
                <w:szCs w:val="18"/>
                <w:lang w:eastAsia="zh-Hans"/>
              </w:rPr>
              <w:t>59</w:t>
            </w:r>
            <w:r>
              <w:rPr>
                <w:rFonts w:ascii="Arial" w:eastAsia="仿宋" w:hAnsi="Arial" w:cs="Arial" w:hint="eastAsia"/>
                <w:snapToGrid w:val="0"/>
                <w:sz w:val="18"/>
                <w:szCs w:val="18"/>
                <w:lang w:eastAsia="zh-Hans"/>
              </w:rPr>
              <w:t>路、顺</w:t>
            </w:r>
            <w:r>
              <w:rPr>
                <w:rFonts w:ascii="Arial" w:eastAsia="仿宋" w:hAnsi="Arial" w:cs="Arial"/>
                <w:snapToGrid w:val="0"/>
                <w:sz w:val="18"/>
                <w:szCs w:val="18"/>
                <w:lang w:eastAsia="zh-Hans"/>
              </w:rPr>
              <w:t>69</w:t>
            </w:r>
            <w:r>
              <w:rPr>
                <w:rFonts w:ascii="Arial" w:eastAsia="仿宋" w:hAnsi="Arial" w:cs="Arial" w:hint="eastAsia"/>
                <w:snapToGrid w:val="0"/>
                <w:sz w:val="18"/>
                <w:szCs w:val="18"/>
                <w:lang w:eastAsia="zh-Hans"/>
              </w:rPr>
              <w:t>路、顺</w:t>
            </w:r>
            <w:r>
              <w:rPr>
                <w:rFonts w:ascii="Arial" w:eastAsia="仿宋" w:hAnsi="Arial" w:cs="Arial"/>
                <w:snapToGrid w:val="0"/>
                <w:sz w:val="18"/>
                <w:szCs w:val="18"/>
                <w:lang w:eastAsia="zh-Hans"/>
              </w:rPr>
              <w:t>69</w:t>
            </w:r>
            <w:r>
              <w:rPr>
                <w:rFonts w:ascii="Arial" w:eastAsia="仿宋" w:hAnsi="Arial" w:cs="Arial" w:hint="eastAsia"/>
                <w:snapToGrid w:val="0"/>
                <w:sz w:val="18"/>
                <w:szCs w:val="18"/>
                <w:lang w:eastAsia="zh-Hans"/>
              </w:rPr>
              <w:t>路区间等多条公交线路通过，距地铁</w:t>
            </w:r>
            <w:r>
              <w:rPr>
                <w:rFonts w:ascii="Arial" w:eastAsia="仿宋" w:hAnsi="Arial" w:cs="Arial"/>
                <w:snapToGrid w:val="0"/>
                <w:sz w:val="18"/>
                <w:szCs w:val="18"/>
                <w:lang w:eastAsia="zh-Hans"/>
              </w:rPr>
              <w:t>15</w:t>
            </w:r>
            <w:r>
              <w:rPr>
                <w:rFonts w:ascii="Arial" w:eastAsia="仿宋" w:hAnsi="Arial" w:cs="Arial" w:hint="eastAsia"/>
                <w:snapToGrid w:val="0"/>
                <w:sz w:val="18"/>
                <w:szCs w:val="18"/>
                <w:lang w:eastAsia="zh-Hans"/>
              </w:rPr>
              <w:t>号线（后沙峪站）约</w:t>
            </w:r>
            <w:r>
              <w:rPr>
                <w:rFonts w:ascii="Arial" w:eastAsia="仿宋" w:hAnsi="Arial" w:cs="Arial"/>
                <w:snapToGrid w:val="0"/>
                <w:sz w:val="18"/>
                <w:szCs w:val="18"/>
                <w:lang w:eastAsia="zh-Hans"/>
              </w:rPr>
              <w:t>0.9</w:t>
            </w:r>
            <w:r>
              <w:rPr>
                <w:rFonts w:ascii="Arial" w:eastAsia="仿宋" w:hAnsi="Arial" w:cs="Arial" w:hint="eastAsia"/>
                <w:snapToGrid w:val="0"/>
                <w:sz w:val="18"/>
                <w:szCs w:val="18"/>
                <w:lang w:eastAsia="zh-Hans"/>
              </w:rPr>
              <w:t>公里，综合评价交通便捷度较好。</w:t>
            </w:r>
          </w:p>
        </w:tc>
        <w:tc>
          <w:tcPr>
            <w:tcW w:w="533" w:type="dxa"/>
            <w:vAlign w:val="center"/>
          </w:tcPr>
          <w:p w14:paraId="68A9DD60"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106</w:t>
            </w:r>
          </w:p>
        </w:tc>
        <w:tc>
          <w:tcPr>
            <w:tcW w:w="1213" w:type="dxa"/>
            <w:vAlign w:val="center"/>
          </w:tcPr>
          <w:p w14:paraId="579EAB2E"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案例</w:t>
            </w:r>
            <w:r>
              <w:rPr>
                <w:rFonts w:ascii="Arial" w:eastAsia="仿宋" w:hAnsi="Arial" w:cs="Arial"/>
                <w:snapToGrid w:val="0"/>
                <w:sz w:val="18"/>
                <w:szCs w:val="18"/>
                <w:lang w:eastAsia="zh-Hans"/>
              </w:rPr>
              <w:t>I</w:t>
            </w:r>
            <w:r>
              <w:rPr>
                <w:rFonts w:ascii="Arial" w:eastAsia="仿宋" w:hAnsi="Arial" w:cs="Arial" w:hint="eastAsia"/>
                <w:snapToGrid w:val="0"/>
                <w:sz w:val="18"/>
                <w:szCs w:val="18"/>
                <w:lang w:eastAsia="zh-Hans"/>
              </w:rPr>
              <w:t>靠近东六环快速路，有顺</w:t>
            </w:r>
            <w:r>
              <w:rPr>
                <w:rFonts w:ascii="Arial" w:eastAsia="仿宋" w:hAnsi="Arial" w:cs="Arial"/>
                <w:snapToGrid w:val="0"/>
                <w:sz w:val="18"/>
                <w:szCs w:val="18"/>
                <w:lang w:eastAsia="zh-Hans"/>
              </w:rPr>
              <w:t>2</w:t>
            </w:r>
            <w:r>
              <w:rPr>
                <w:rFonts w:ascii="Arial" w:eastAsia="仿宋" w:hAnsi="Arial" w:cs="Arial" w:hint="eastAsia"/>
                <w:snapToGrid w:val="0"/>
                <w:sz w:val="18"/>
                <w:szCs w:val="18"/>
                <w:lang w:eastAsia="zh-Hans"/>
              </w:rPr>
              <w:t>路、顺</w:t>
            </w:r>
            <w:r>
              <w:rPr>
                <w:rFonts w:ascii="Arial" w:eastAsia="仿宋" w:hAnsi="Arial" w:cs="Arial"/>
                <w:snapToGrid w:val="0"/>
                <w:sz w:val="18"/>
                <w:szCs w:val="18"/>
                <w:lang w:eastAsia="zh-Hans"/>
              </w:rPr>
              <w:t>4</w:t>
            </w:r>
            <w:r>
              <w:rPr>
                <w:rFonts w:ascii="Arial" w:eastAsia="仿宋" w:hAnsi="Arial" w:cs="Arial" w:hint="eastAsia"/>
                <w:snapToGrid w:val="0"/>
                <w:sz w:val="18"/>
                <w:szCs w:val="18"/>
                <w:lang w:eastAsia="zh-Hans"/>
              </w:rPr>
              <w:t>路、顺</w:t>
            </w:r>
            <w:r>
              <w:rPr>
                <w:rFonts w:ascii="Arial" w:eastAsia="仿宋" w:hAnsi="Arial" w:cs="Arial"/>
                <w:snapToGrid w:val="0"/>
                <w:sz w:val="18"/>
                <w:szCs w:val="18"/>
                <w:lang w:eastAsia="zh-Hans"/>
              </w:rPr>
              <w:t>66</w:t>
            </w:r>
            <w:r>
              <w:rPr>
                <w:rFonts w:ascii="Arial" w:eastAsia="仿宋" w:hAnsi="Arial" w:cs="Arial" w:hint="eastAsia"/>
                <w:snapToGrid w:val="0"/>
                <w:sz w:val="18"/>
                <w:szCs w:val="18"/>
                <w:lang w:eastAsia="zh-Hans"/>
              </w:rPr>
              <w:t>路、空港</w:t>
            </w:r>
            <w:r>
              <w:rPr>
                <w:rFonts w:ascii="Arial" w:eastAsia="仿宋" w:hAnsi="Arial" w:cs="Arial"/>
                <w:snapToGrid w:val="0"/>
                <w:sz w:val="18"/>
                <w:szCs w:val="18"/>
                <w:lang w:eastAsia="zh-Hans"/>
              </w:rPr>
              <w:t>15</w:t>
            </w:r>
            <w:r>
              <w:rPr>
                <w:rFonts w:ascii="Arial" w:eastAsia="仿宋" w:hAnsi="Arial" w:cs="Arial" w:hint="eastAsia"/>
                <w:snapToGrid w:val="0"/>
                <w:sz w:val="18"/>
                <w:szCs w:val="18"/>
                <w:lang w:eastAsia="zh-Hans"/>
              </w:rPr>
              <w:t>路、郊</w:t>
            </w:r>
            <w:r>
              <w:rPr>
                <w:rFonts w:ascii="Arial" w:eastAsia="仿宋" w:hAnsi="Arial" w:cs="Arial"/>
                <w:snapToGrid w:val="0"/>
                <w:sz w:val="18"/>
                <w:szCs w:val="18"/>
                <w:lang w:eastAsia="zh-Hans"/>
              </w:rPr>
              <w:t>100</w:t>
            </w:r>
            <w:r>
              <w:rPr>
                <w:rFonts w:ascii="Arial" w:eastAsia="仿宋" w:hAnsi="Arial" w:cs="Arial" w:hint="eastAsia"/>
                <w:snapToGrid w:val="0"/>
                <w:sz w:val="18"/>
                <w:szCs w:val="18"/>
                <w:lang w:eastAsia="zh-Hans"/>
              </w:rPr>
              <w:t>路等多条公交线路通过，距地铁</w:t>
            </w:r>
            <w:r>
              <w:rPr>
                <w:rFonts w:ascii="Arial" w:eastAsia="仿宋" w:hAnsi="Arial" w:cs="Arial"/>
                <w:snapToGrid w:val="0"/>
                <w:sz w:val="18"/>
                <w:szCs w:val="18"/>
                <w:lang w:eastAsia="zh-Hans"/>
              </w:rPr>
              <w:t>15</w:t>
            </w:r>
            <w:r>
              <w:rPr>
                <w:rFonts w:ascii="Arial" w:eastAsia="仿宋" w:hAnsi="Arial" w:cs="Arial" w:hint="eastAsia"/>
                <w:snapToGrid w:val="0"/>
                <w:sz w:val="18"/>
                <w:szCs w:val="18"/>
                <w:lang w:eastAsia="zh-Hans"/>
              </w:rPr>
              <w:t>号线（南法信站）约</w:t>
            </w:r>
            <w:r>
              <w:rPr>
                <w:rFonts w:ascii="Arial" w:eastAsia="仿宋" w:hAnsi="Arial" w:cs="Arial"/>
                <w:snapToGrid w:val="0"/>
                <w:sz w:val="18"/>
                <w:szCs w:val="18"/>
                <w:lang w:eastAsia="zh-Hans"/>
              </w:rPr>
              <w:t>0.5</w:t>
            </w:r>
            <w:r>
              <w:rPr>
                <w:rFonts w:ascii="Arial" w:eastAsia="仿宋" w:hAnsi="Arial" w:cs="Arial" w:hint="eastAsia"/>
                <w:snapToGrid w:val="0"/>
                <w:sz w:val="18"/>
                <w:szCs w:val="18"/>
                <w:lang w:eastAsia="zh-Hans"/>
              </w:rPr>
              <w:t>公里，综合评价交通便捷度较好。</w:t>
            </w:r>
          </w:p>
        </w:tc>
        <w:tc>
          <w:tcPr>
            <w:tcW w:w="622" w:type="dxa"/>
            <w:vAlign w:val="center"/>
          </w:tcPr>
          <w:p w14:paraId="7D19D9F3"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106</w:t>
            </w:r>
          </w:p>
        </w:tc>
      </w:tr>
      <w:tr w:rsidR="0062768B" w14:paraId="54F9B16B" w14:textId="77777777">
        <w:trPr>
          <w:jc w:val="center"/>
        </w:trPr>
        <w:tc>
          <w:tcPr>
            <w:tcW w:w="477" w:type="dxa"/>
            <w:vMerge/>
            <w:vAlign w:val="center"/>
          </w:tcPr>
          <w:p w14:paraId="07B3BEFC" w14:textId="77777777" w:rsidR="0062768B" w:rsidRDefault="0062768B">
            <w:pPr>
              <w:widowControl/>
              <w:adjustRightInd/>
              <w:spacing w:line="240" w:lineRule="exact"/>
              <w:jc w:val="center"/>
              <w:textAlignment w:val="auto"/>
              <w:rPr>
                <w:rFonts w:ascii="Arial" w:eastAsia="仿宋" w:hAnsi="Arial" w:cs="Arial"/>
                <w:snapToGrid w:val="0"/>
                <w:sz w:val="18"/>
                <w:szCs w:val="18"/>
              </w:rPr>
            </w:pPr>
          </w:p>
        </w:tc>
        <w:tc>
          <w:tcPr>
            <w:tcW w:w="571" w:type="dxa"/>
            <w:vAlign w:val="center"/>
          </w:tcPr>
          <w:p w14:paraId="15B26D5E"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公共配套设施</w:t>
            </w:r>
          </w:p>
        </w:tc>
        <w:tc>
          <w:tcPr>
            <w:tcW w:w="1840" w:type="dxa"/>
            <w:vAlign w:val="center"/>
          </w:tcPr>
          <w:p w14:paraId="791A5BE1"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估价对象周边</w:t>
            </w:r>
            <w:r>
              <w:rPr>
                <w:rFonts w:ascii="Arial" w:eastAsia="仿宋" w:hAnsi="Arial" w:cs="Arial" w:hint="eastAsia"/>
                <w:snapToGrid w:val="0"/>
                <w:sz w:val="18"/>
                <w:szCs w:val="18"/>
                <w:lang w:eastAsia="zh-Hans"/>
              </w:rPr>
              <w:t>2</w:t>
            </w:r>
            <w:r>
              <w:rPr>
                <w:rFonts w:ascii="Arial" w:eastAsia="仿宋" w:hAnsi="Arial" w:cs="Arial" w:hint="eastAsia"/>
                <w:snapToGrid w:val="0"/>
                <w:sz w:val="18"/>
                <w:szCs w:val="18"/>
                <w:lang w:eastAsia="zh-Hans"/>
              </w:rPr>
              <w:t>公里范围内有北京超天商贸中心、隆华购物中心、社区商业街、世纪华联超市等商业服务设施；北京农商银行张喜庄分理处、北京顺义银座村镇银行高丽营支行、中国邮政储蓄银行张喜庄邮政储蓄等金融机构；高丽营第一幼儿园、高丽营第二小学、高丽营第二中学等教育资源；北京顺义天苑医院、北京市顺义区高丽营镇张喜庄卫生院、北京市顺义区高丽营镇河津营村卫生室等医疗设施，公共</w:t>
            </w:r>
            <w:r>
              <w:rPr>
                <w:rFonts w:ascii="Arial" w:eastAsia="仿宋" w:hAnsi="Arial" w:cs="Arial" w:hint="eastAsia"/>
                <w:snapToGrid w:val="0"/>
                <w:sz w:val="18"/>
                <w:szCs w:val="18"/>
                <w:lang w:eastAsia="zh-Hans"/>
              </w:rPr>
              <w:lastRenderedPageBreak/>
              <w:t>配套设施齐备情况一般。</w:t>
            </w:r>
          </w:p>
        </w:tc>
        <w:tc>
          <w:tcPr>
            <w:tcW w:w="487" w:type="dxa"/>
            <w:vAlign w:val="center"/>
          </w:tcPr>
          <w:p w14:paraId="0343B171"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lastRenderedPageBreak/>
              <w:t>100</w:t>
            </w:r>
          </w:p>
        </w:tc>
        <w:tc>
          <w:tcPr>
            <w:tcW w:w="1502" w:type="dxa"/>
            <w:vAlign w:val="center"/>
          </w:tcPr>
          <w:p w14:paraId="56FAE257"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案例</w:t>
            </w:r>
            <w:r>
              <w:rPr>
                <w:rFonts w:ascii="Arial" w:eastAsia="仿宋" w:hAnsi="Arial" w:cs="Arial" w:hint="eastAsia"/>
                <w:snapToGrid w:val="0"/>
                <w:sz w:val="18"/>
                <w:szCs w:val="18"/>
                <w:lang w:eastAsia="zh-Hans"/>
              </w:rPr>
              <w:t>G</w:t>
            </w:r>
            <w:r>
              <w:rPr>
                <w:rFonts w:ascii="Arial" w:eastAsia="仿宋" w:hAnsi="Arial" w:cs="Arial" w:hint="eastAsia"/>
                <w:snapToGrid w:val="0"/>
                <w:sz w:val="18"/>
                <w:szCs w:val="18"/>
                <w:lang w:eastAsia="zh-Hans"/>
              </w:rPr>
              <w:t>周边约</w:t>
            </w:r>
            <w:r>
              <w:rPr>
                <w:rFonts w:ascii="Arial" w:eastAsia="仿宋" w:hAnsi="Arial" w:cs="Arial" w:hint="eastAsia"/>
                <w:snapToGrid w:val="0"/>
                <w:sz w:val="18"/>
                <w:szCs w:val="18"/>
                <w:lang w:eastAsia="zh-Hans"/>
              </w:rPr>
              <w:t>2</w:t>
            </w:r>
            <w:r>
              <w:rPr>
                <w:rFonts w:ascii="Arial" w:eastAsia="仿宋" w:hAnsi="Arial" w:cs="Arial" w:hint="eastAsia"/>
                <w:snapToGrid w:val="0"/>
                <w:sz w:val="18"/>
                <w:szCs w:val="18"/>
                <w:lang w:eastAsia="zh-Hans"/>
              </w:rPr>
              <w:t>公里范围内有丽喜花园商业街、临街商业等商业服务设施；北京农商银行张喜庄分理处、北京顺义银座村镇银行高丽营支行、中国邮政储蓄银行张喜庄邮政储蓄等金融机构；高丽营第一幼儿园、高丽营第二小学、高丽营第二中学等教育资源；北京顺义天苑医院、北京市顺义区高丽营镇张喜庄卫生院、</w:t>
            </w:r>
            <w:r>
              <w:rPr>
                <w:rFonts w:ascii="Arial" w:eastAsia="仿宋" w:hAnsi="Arial" w:cs="Arial" w:hint="eastAsia"/>
                <w:snapToGrid w:val="0"/>
                <w:sz w:val="18"/>
                <w:szCs w:val="18"/>
                <w:lang w:eastAsia="zh-Hans"/>
              </w:rPr>
              <w:lastRenderedPageBreak/>
              <w:t>北京市顺义区高丽营镇河津营村卫生室等医疗设施，公共配套设施齐备情况一般</w:t>
            </w:r>
          </w:p>
        </w:tc>
        <w:tc>
          <w:tcPr>
            <w:tcW w:w="530" w:type="dxa"/>
            <w:vAlign w:val="center"/>
          </w:tcPr>
          <w:p w14:paraId="71C9F67A"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lastRenderedPageBreak/>
              <w:t>100</w:t>
            </w:r>
          </w:p>
        </w:tc>
        <w:tc>
          <w:tcPr>
            <w:tcW w:w="1409" w:type="dxa"/>
            <w:vAlign w:val="center"/>
          </w:tcPr>
          <w:p w14:paraId="6C01931D" w14:textId="77777777" w:rsidR="0062768B" w:rsidRDefault="00136729">
            <w:pPr>
              <w:spacing w:line="240" w:lineRule="exact"/>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案例</w:t>
            </w:r>
            <w:r>
              <w:rPr>
                <w:rFonts w:ascii="Arial" w:eastAsia="仿宋" w:hAnsi="Arial" w:cs="Arial"/>
                <w:snapToGrid w:val="0"/>
                <w:sz w:val="18"/>
                <w:szCs w:val="18"/>
                <w:lang w:eastAsia="zh-Hans"/>
              </w:rPr>
              <w:t>H</w:t>
            </w:r>
            <w:r>
              <w:rPr>
                <w:rFonts w:ascii="Arial" w:eastAsia="仿宋" w:hAnsi="Arial" w:cs="Arial" w:hint="eastAsia"/>
                <w:snapToGrid w:val="0"/>
                <w:sz w:val="18"/>
                <w:szCs w:val="18"/>
                <w:lang w:eastAsia="zh-Hans"/>
              </w:rPr>
              <w:t>周边约</w:t>
            </w:r>
            <w:r>
              <w:rPr>
                <w:rFonts w:ascii="Arial" w:eastAsia="仿宋" w:hAnsi="Arial" w:cs="Arial"/>
                <w:snapToGrid w:val="0"/>
                <w:sz w:val="18"/>
                <w:szCs w:val="18"/>
                <w:lang w:eastAsia="zh-Hans"/>
              </w:rPr>
              <w:t>2</w:t>
            </w:r>
            <w:r>
              <w:rPr>
                <w:rFonts w:ascii="Arial" w:eastAsia="仿宋" w:hAnsi="Arial" w:cs="Arial" w:hint="eastAsia"/>
                <w:snapToGrid w:val="0"/>
                <w:sz w:val="18"/>
                <w:szCs w:val="18"/>
                <w:lang w:eastAsia="zh-Hans"/>
              </w:rPr>
              <w:t>公里内有禾光幼儿园、后沙峪中心小学、顺义第十中学等教育资源，有上海银行</w:t>
            </w:r>
            <w:r>
              <w:rPr>
                <w:rFonts w:ascii="Arial" w:eastAsia="仿宋" w:hAnsi="Arial" w:cs="Arial"/>
                <w:snapToGrid w:val="0"/>
                <w:sz w:val="18"/>
                <w:szCs w:val="18"/>
                <w:lang w:eastAsia="zh-Hans"/>
              </w:rPr>
              <w:t>(</w:t>
            </w:r>
            <w:r>
              <w:rPr>
                <w:rFonts w:ascii="Arial" w:eastAsia="仿宋" w:hAnsi="Arial" w:cs="Arial" w:hint="eastAsia"/>
                <w:snapToGrid w:val="0"/>
                <w:sz w:val="18"/>
                <w:szCs w:val="18"/>
                <w:lang w:eastAsia="zh-Hans"/>
              </w:rPr>
              <w:t>顺义支行</w:t>
            </w:r>
            <w:r>
              <w:rPr>
                <w:rFonts w:ascii="Arial" w:eastAsia="仿宋" w:hAnsi="Arial" w:cs="Arial"/>
                <w:snapToGrid w:val="0"/>
                <w:sz w:val="18"/>
                <w:szCs w:val="18"/>
                <w:lang w:eastAsia="zh-Hans"/>
              </w:rPr>
              <w:t>)</w:t>
            </w:r>
            <w:r>
              <w:rPr>
                <w:rFonts w:ascii="Arial" w:eastAsia="仿宋" w:hAnsi="Arial" w:cs="Arial" w:hint="eastAsia"/>
                <w:snapToGrid w:val="0"/>
                <w:sz w:val="18"/>
                <w:szCs w:val="18"/>
                <w:lang w:eastAsia="zh-Hans"/>
              </w:rPr>
              <w:t>、中国光大银行</w:t>
            </w:r>
            <w:r>
              <w:rPr>
                <w:rFonts w:ascii="Arial" w:eastAsia="仿宋" w:hAnsi="Arial" w:cs="Arial"/>
                <w:snapToGrid w:val="0"/>
                <w:sz w:val="18"/>
                <w:szCs w:val="18"/>
                <w:lang w:eastAsia="zh-Hans"/>
              </w:rPr>
              <w:t>(</w:t>
            </w:r>
            <w:r>
              <w:rPr>
                <w:rFonts w:ascii="Arial" w:eastAsia="仿宋" w:hAnsi="Arial" w:cs="Arial" w:hint="eastAsia"/>
                <w:snapToGrid w:val="0"/>
                <w:sz w:val="18"/>
                <w:szCs w:val="18"/>
                <w:lang w:eastAsia="zh-Hans"/>
              </w:rPr>
              <w:t>顺义后沙峪支行</w:t>
            </w:r>
            <w:r>
              <w:rPr>
                <w:rFonts w:ascii="Arial" w:eastAsia="仿宋" w:hAnsi="Arial" w:cs="Arial"/>
                <w:snapToGrid w:val="0"/>
                <w:sz w:val="18"/>
                <w:szCs w:val="18"/>
                <w:lang w:eastAsia="zh-Hans"/>
              </w:rPr>
              <w:t>)</w:t>
            </w:r>
            <w:r>
              <w:rPr>
                <w:rFonts w:ascii="Arial" w:eastAsia="仿宋" w:hAnsi="Arial" w:cs="Arial" w:hint="eastAsia"/>
                <w:snapToGrid w:val="0"/>
                <w:sz w:val="18"/>
                <w:szCs w:val="18"/>
                <w:lang w:eastAsia="zh-Hans"/>
              </w:rPr>
              <w:t>等金融机构，有山姆会员商店</w:t>
            </w:r>
            <w:r>
              <w:rPr>
                <w:rFonts w:ascii="Arial" w:eastAsia="仿宋" w:hAnsi="Arial" w:cs="Arial"/>
                <w:snapToGrid w:val="0"/>
                <w:sz w:val="18"/>
                <w:szCs w:val="18"/>
                <w:lang w:eastAsia="zh-Hans"/>
              </w:rPr>
              <w:t>(</w:t>
            </w:r>
            <w:r>
              <w:rPr>
                <w:rFonts w:ascii="Arial" w:eastAsia="仿宋" w:hAnsi="Arial" w:cs="Arial" w:hint="eastAsia"/>
                <w:snapToGrid w:val="0"/>
                <w:sz w:val="18"/>
                <w:szCs w:val="18"/>
                <w:lang w:eastAsia="zh-Hans"/>
              </w:rPr>
              <w:t>顺义店</w:t>
            </w:r>
            <w:r>
              <w:rPr>
                <w:rFonts w:ascii="Arial" w:eastAsia="仿宋" w:hAnsi="Arial" w:cs="Arial"/>
                <w:snapToGrid w:val="0"/>
                <w:sz w:val="18"/>
                <w:szCs w:val="18"/>
                <w:lang w:eastAsia="zh-Hans"/>
              </w:rPr>
              <w:t>)</w:t>
            </w:r>
            <w:r>
              <w:rPr>
                <w:rFonts w:ascii="Arial" w:eastAsia="仿宋" w:hAnsi="Arial" w:cs="Arial" w:hint="eastAsia"/>
                <w:snapToGrid w:val="0"/>
                <w:sz w:val="18"/>
                <w:szCs w:val="18"/>
                <w:lang w:eastAsia="zh-Hans"/>
              </w:rPr>
              <w:t>、永辉超市</w:t>
            </w:r>
            <w:r>
              <w:rPr>
                <w:rFonts w:ascii="Arial" w:eastAsia="仿宋" w:hAnsi="Arial" w:cs="Arial"/>
                <w:snapToGrid w:val="0"/>
                <w:sz w:val="18"/>
                <w:szCs w:val="18"/>
                <w:lang w:eastAsia="zh-Hans"/>
              </w:rPr>
              <w:t>(</w:t>
            </w:r>
            <w:r>
              <w:rPr>
                <w:rFonts w:ascii="Arial" w:eastAsia="仿宋" w:hAnsi="Arial" w:cs="Arial" w:hint="eastAsia"/>
                <w:snapToGrid w:val="0"/>
                <w:sz w:val="18"/>
                <w:szCs w:val="18"/>
                <w:lang w:eastAsia="zh-Hans"/>
              </w:rPr>
              <w:t>枫尚世纪奥特莱斯购物广场店</w:t>
            </w:r>
            <w:r>
              <w:rPr>
                <w:rFonts w:ascii="Arial" w:eastAsia="仿宋" w:hAnsi="Arial" w:cs="Arial"/>
                <w:snapToGrid w:val="0"/>
                <w:sz w:val="18"/>
                <w:szCs w:val="18"/>
                <w:lang w:eastAsia="zh-Hans"/>
              </w:rPr>
              <w:t>)</w:t>
            </w:r>
            <w:r>
              <w:rPr>
                <w:rFonts w:ascii="Arial" w:eastAsia="仿宋" w:hAnsi="Arial" w:cs="Arial" w:hint="eastAsia"/>
                <w:snapToGrid w:val="0"/>
                <w:sz w:val="18"/>
                <w:szCs w:val="18"/>
                <w:lang w:eastAsia="zh-Hans"/>
              </w:rPr>
              <w:t>等商业服务设施，有北京市顺义区空港医院、北京杏园金方国医医院等医疗设施，公共服</w:t>
            </w:r>
            <w:r>
              <w:rPr>
                <w:rFonts w:ascii="Arial" w:eastAsia="仿宋" w:hAnsi="Arial" w:cs="Arial" w:hint="eastAsia"/>
                <w:snapToGrid w:val="0"/>
                <w:sz w:val="18"/>
                <w:szCs w:val="18"/>
                <w:lang w:eastAsia="zh-Hans"/>
              </w:rPr>
              <w:lastRenderedPageBreak/>
              <w:t>务设施齐备度较好。</w:t>
            </w:r>
          </w:p>
        </w:tc>
        <w:tc>
          <w:tcPr>
            <w:tcW w:w="533" w:type="dxa"/>
            <w:vAlign w:val="center"/>
          </w:tcPr>
          <w:p w14:paraId="1375B5DA"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lastRenderedPageBreak/>
              <w:t>102</w:t>
            </w:r>
          </w:p>
        </w:tc>
        <w:tc>
          <w:tcPr>
            <w:tcW w:w="1213" w:type="dxa"/>
            <w:vAlign w:val="center"/>
          </w:tcPr>
          <w:p w14:paraId="25CE187B" w14:textId="77777777" w:rsidR="0062768B" w:rsidRDefault="00136729">
            <w:pPr>
              <w:spacing w:line="240" w:lineRule="exact"/>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案例</w:t>
            </w:r>
            <w:r>
              <w:rPr>
                <w:rFonts w:ascii="Arial" w:eastAsia="仿宋" w:hAnsi="Arial" w:cs="Arial"/>
                <w:snapToGrid w:val="0"/>
                <w:sz w:val="18"/>
                <w:szCs w:val="18"/>
                <w:lang w:eastAsia="zh-Hans"/>
              </w:rPr>
              <w:t>I</w:t>
            </w:r>
            <w:r>
              <w:rPr>
                <w:rFonts w:ascii="Arial" w:eastAsia="仿宋" w:hAnsi="Arial" w:cs="Arial" w:hint="eastAsia"/>
                <w:snapToGrid w:val="0"/>
                <w:sz w:val="18"/>
                <w:szCs w:val="18"/>
                <w:lang w:eastAsia="zh-Hans"/>
              </w:rPr>
              <w:t>周边</w:t>
            </w:r>
            <w:r>
              <w:rPr>
                <w:rFonts w:ascii="Arial" w:eastAsia="仿宋" w:hAnsi="Arial" w:cs="Arial"/>
                <w:snapToGrid w:val="0"/>
                <w:sz w:val="18"/>
                <w:szCs w:val="18"/>
                <w:lang w:eastAsia="zh-Hans"/>
              </w:rPr>
              <w:t>2</w:t>
            </w:r>
            <w:r>
              <w:rPr>
                <w:rFonts w:ascii="Arial" w:eastAsia="仿宋" w:hAnsi="Arial" w:cs="Arial" w:hint="eastAsia"/>
                <w:snapToGrid w:val="0"/>
                <w:sz w:val="18"/>
                <w:szCs w:val="18"/>
                <w:lang w:eastAsia="zh-Hans"/>
              </w:rPr>
              <w:t>公里内有南法信中心小学、北京市顺义区第二中学等教育资源，有南京银行北京顺义支行、中国农业银行等金融机构，有家得利超市、石门市场、社区商业街等商业服务设施，有北京市顺义区南法信卫生院、北京市顺义区城区社区卫生服务中心宏城花园社区</w:t>
            </w:r>
            <w:r>
              <w:rPr>
                <w:rFonts w:ascii="Arial" w:eastAsia="仿宋" w:hAnsi="Arial" w:cs="Arial" w:hint="eastAsia"/>
                <w:snapToGrid w:val="0"/>
                <w:sz w:val="18"/>
                <w:szCs w:val="18"/>
                <w:lang w:eastAsia="zh-Hans"/>
              </w:rPr>
              <w:lastRenderedPageBreak/>
              <w:t>卫生服务站、忠锐口腔科等医疗设施，公共服务设施齐备度较好。</w:t>
            </w:r>
          </w:p>
        </w:tc>
        <w:tc>
          <w:tcPr>
            <w:tcW w:w="622" w:type="dxa"/>
            <w:vAlign w:val="center"/>
          </w:tcPr>
          <w:p w14:paraId="6E8DE792"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lastRenderedPageBreak/>
              <w:t>100</w:t>
            </w:r>
          </w:p>
        </w:tc>
      </w:tr>
      <w:tr w:rsidR="0062768B" w14:paraId="11FD0785" w14:textId="77777777">
        <w:trPr>
          <w:jc w:val="center"/>
        </w:trPr>
        <w:tc>
          <w:tcPr>
            <w:tcW w:w="477" w:type="dxa"/>
            <w:vMerge/>
            <w:vAlign w:val="center"/>
          </w:tcPr>
          <w:p w14:paraId="0A182693" w14:textId="77777777" w:rsidR="0062768B" w:rsidRDefault="0062768B">
            <w:pPr>
              <w:widowControl/>
              <w:adjustRightInd/>
              <w:spacing w:line="240" w:lineRule="exact"/>
              <w:jc w:val="center"/>
              <w:textAlignment w:val="auto"/>
              <w:rPr>
                <w:rFonts w:ascii="Arial" w:eastAsia="仿宋" w:hAnsi="Arial" w:cs="Arial"/>
                <w:snapToGrid w:val="0"/>
                <w:sz w:val="18"/>
                <w:szCs w:val="18"/>
              </w:rPr>
            </w:pPr>
          </w:p>
        </w:tc>
        <w:tc>
          <w:tcPr>
            <w:tcW w:w="571" w:type="dxa"/>
            <w:vAlign w:val="center"/>
          </w:tcPr>
          <w:p w14:paraId="5B8C7A91"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基础设施水平</w:t>
            </w:r>
          </w:p>
        </w:tc>
        <w:tc>
          <w:tcPr>
            <w:tcW w:w="1840" w:type="dxa"/>
            <w:vAlign w:val="center"/>
          </w:tcPr>
          <w:p w14:paraId="3746EA1D"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所在区域基础设施水平达到七通。</w:t>
            </w:r>
          </w:p>
        </w:tc>
        <w:tc>
          <w:tcPr>
            <w:tcW w:w="487" w:type="dxa"/>
            <w:vAlign w:val="center"/>
          </w:tcPr>
          <w:p w14:paraId="3690216B"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502" w:type="dxa"/>
            <w:vAlign w:val="center"/>
          </w:tcPr>
          <w:p w14:paraId="525ED944"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所在区域基础设施水平达到七通。</w:t>
            </w:r>
          </w:p>
        </w:tc>
        <w:tc>
          <w:tcPr>
            <w:tcW w:w="530" w:type="dxa"/>
            <w:vAlign w:val="center"/>
          </w:tcPr>
          <w:p w14:paraId="1BC1E5EA"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409" w:type="dxa"/>
            <w:vAlign w:val="center"/>
          </w:tcPr>
          <w:p w14:paraId="789DFE2C"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所在区域基础设施水平达到七通。</w:t>
            </w:r>
          </w:p>
        </w:tc>
        <w:tc>
          <w:tcPr>
            <w:tcW w:w="533" w:type="dxa"/>
            <w:vAlign w:val="center"/>
          </w:tcPr>
          <w:p w14:paraId="602CD8B7"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213" w:type="dxa"/>
            <w:vAlign w:val="center"/>
          </w:tcPr>
          <w:p w14:paraId="3382D2B3"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所在区域基础设施水平达到七通。</w:t>
            </w:r>
          </w:p>
        </w:tc>
        <w:tc>
          <w:tcPr>
            <w:tcW w:w="622" w:type="dxa"/>
            <w:vAlign w:val="center"/>
          </w:tcPr>
          <w:p w14:paraId="3CD9FE49"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r>
      <w:tr w:rsidR="0062768B" w14:paraId="7AEF5070" w14:textId="77777777">
        <w:trPr>
          <w:jc w:val="center"/>
        </w:trPr>
        <w:tc>
          <w:tcPr>
            <w:tcW w:w="477" w:type="dxa"/>
            <w:vMerge/>
            <w:vAlign w:val="center"/>
          </w:tcPr>
          <w:p w14:paraId="33163A5B" w14:textId="77777777" w:rsidR="0062768B" w:rsidRDefault="0062768B">
            <w:pPr>
              <w:widowControl/>
              <w:adjustRightInd/>
              <w:spacing w:line="240" w:lineRule="exact"/>
              <w:jc w:val="center"/>
              <w:textAlignment w:val="auto"/>
              <w:rPr>
                <w:rFonts w:ascii="Arial" w:eastAsia="仿宋" w:hAnsi="Arial" w:cs="Arial"/>
                <w:snapToGrid w:val="0"/>
                <w:sz w:val="18"/>
                <w:szCs w:val="18"/>
              </w:rPr>
            </w:pPr>
          </w:p>
        </w:tc>
        <w:tc>
          <w:tcPr>
            <w:tcW w:w="571" w:type="dxa"/>
            <w:vAlign w:val="center"/>
          </w:tcPr>
          <w:p w14:paraId="76C98202"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自然及人文环境</w:t>
            </w:r>
          </w:p>
        </w:tc>
        <w:tc>
          <w:tcPr>
            <w:tcW w:w="1840" w:type="dxa"/>
            <w:vAlign w:val="center"/>
          </w:tcPr>
          <w:p w14:paraId="2B8D7579"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估价对象位于北京市顺义区高丽营镇夏县营村，周边</w:t>
            </w:r>
            <w:r>
              <w:rPr>
                <w:rFonts w:ascii="Arial" w:eastAsia="仿宋" w:hAnsi="Arial" w:cs="Arial" w:hint="eastAsia"/>
                <w:snapToGrid w:val="0"/>
                <w:sz w:val="18"/>
                <w:szCs w:val="18"/>
                <w:lang w:eastAsia="zh-Hans"/>
              </w:rPr>
              <w:t>2</w:t>
            </w:r>
            <w:r>
              <w:rPr>
                <w:rFonts w:ascii="Arial" w:eastAsia="仿宋" w:hAnsi="Arial" w:cs="Arial" w:hint="eastAsia"/>
                <w:snapToGrid w:val="0"/>
                <w:sz w:val="18"/>
                <w:szCs w:val="18"/>
                <w:lang w:eastAsia="zh-Hans"/>
              </w:rPr>
              <w:t>公里南郎中休闲公园、口袋公园、方氏渠等自然环境；无人文环境；综合评价环境状况一般。</w:t>
            </w:r>
          </w:p>
        </w:tc>
        <w:tc>
          <w:tcPr>
            <w:tcW w:w="487" w:type="dxa"/>
            <w:vAlign w:val="center"/>
          </w:tcPr>
          <w:p w14:paraId="6CE0686A"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502" w:type="dxa"/>
            <w:vAlign w:val="center"/>
          </w:tcPr>
          <w:p w14:paraId="781292F4" w14:textId="77777777" w:rsidR="0062768B" w:rsidRDefault="00136729">
            <w:pPr>
              <w:spacing w:line="240" w:lineRule="exact"/>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案例</w:t>
            </w:r>
            <w:r>
              <w:rPr>
                <w:rFonts w:ascii="Arial" w:eastAsia="仿宋" w:hAnsi="Arial" w:cs="Arial" w:hint="eastAsia"/>
                <w:snapToGrid w:val="0"/>
                <w:sz w:val="18"/>
                <w:szCs w:val="18"/>
                <w:lang w:eastAsia="zh-Hans"/>
              </w:rPr>
              <w:t>G</w:t>
            </w:r>
            <w:r>
              <w:rPr>
                <w:rFonts w:ascii="Arial" w:eastAsia="仿宋" w:hAnsi="Arial" w:cs="Arial" w:hint="eastAsia"/>
                <w:snapToGrid w:val="0"/>
                <w:sz w:val="18"/>
                <w:szCs w:val="18"/>
                <w:lang w:eastAsia="zh-Hans"/>
              </w:rPr>
              <w:t>周边约</w:t>
            </w:r>
            <w:r>
              <w:rPr>
                <w:rFonts w:ascii="Arial" w:eastAsia="仿宋" w:hAnsi="Arial" w:cs="Arial" w:hint="eastAsia"/>
                <w:snapToGrid w:val="0"/>
                <w:sz w:val="18"/>
                <w:szCs w:val="18"/>
                <w:lang w:eastAsia="zh-Hans"/>
              </w:rPr>
              <w:t>2</w:t>
            </w:r>
            <w:r>
              <w:rPr>
                <w:rFonts w:ascii="Arial" w:eastAsia="仿宋" w:hAnsi="Arial" w:cs="Arial" w:hint="eastAsia"/>
                <w:snapToGrid w:val="0"/>
                <w:sz w:val="18"/>
                <w:szCs w:val="18"/>
                <w:lang w:eastAsia="zh-Hans"/>
              </w:rPr>
              <w:t>公里范围内南郎中休闲公园等自然环境；无人文环境；综合评价环境状况一般。</w:t>
            </w:r>
          </w:p>
        </w:tc>
        <w:tc>
          <w:tcPr>
            <w:tcW w:w="530" w:type="dxa"/>
            <w:vAlign w:val="center"/>
          </w:tcPr>
          <w:p w14:paraId="7B9CA2EF"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409" w:type="dxa"/>
            <w:vAlign w:val="center"/>
          </w:tcPr>
          <w:p w14:paraId="43239440"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案例</w:t>
            </w:r>
            <w:r>
              <w:rPr>
                <w:rFonts w:ascii="Arial" w:eastAsia="仿宋" w:hAnsi="Arial" w:cs="Arial"/>
                <w:snapToGrid w:val="0"/>
                <w:sz w:val="18"/>
                <w:szCs w:val="18"/>
                <w:lang w:eastAsia="zh-Hans"/>
              </w:rPr>
              <w:t>H</w:t>
            </w:r>
            <w:r>
              <w:rPr>
                <w:rFonts w:ascii="Arial" w:eastAsia="仿宋" w:hAnsi="Arial" w:cs="Arial" w:hint="eastAsia"/>
                <w:snapToGrid w:val="0"/>
                <w:sz w:val="18"/>
                <w:szCs w:val="18"/>
                <w:lang w:eastAsia="zh-Hans"/>
              </w:rPr>
              <w:t>周边约</w:t>
            </w:r>
            <w:r>
              <w:rPr>
                <w:rFonts w:ascii="Arial" w:eastAsia="仿宋" w:hAnsi="Arial" w:cs="Arial"/>
                <w:snapToGrid w:val="0"/>
                <w:sz w:val="18"/>
                <w:szCs w:val="18"/>
                <w:lang w:eastAsia="zh-Hans"/>
              </w:rPr>
              <w:t>2</w:t>
            </w:r>
            <w:r>
              <w:rPr>
                <w:rFonts w:ascii="Arial" w:eastAsia="仿宋" w:hAnsi="Arial" w:cs="Arial" w:hint="eastAsia"/>
                <w:snapToGrid w:val="0"/>
                <w:sz w:val="18"/>
                <w:szCs w:val="18"/>
                <w:lang w:eastAsia="zh-Hans"/>
              </w:rPr>
              <w:t>公里内有花博会主题公园、兴峪城市森林公园、青年体育公园等自然公园，绿化条件较好；周边</w:t>
            </w:r>
            <w:r>
              <w:rPr>
                <w:rFonts w:ascii="Arial" w:eastAsia="仿宋" w:hAnsi="Arial" w:cs="Arial"/>
                <w:snapToGrid w:val="0"/>
                <w:sz w:val="18"/>
                <w:szCs w:val="18"/>
                <w:lang w:eastAsia="zh-Hans"/>
              </w:rPr>
              <w:t>2</w:t>
            </w:r>
            <w:r>
              <w:rPr>
                <w:rFonts w:ascii="Arial" w:eastAsia="仿宋" w:hAnsi="Arial" w:cs="Arial" w:hint="eastAsia"/>
                <w:snapToGrid w:val="0"/>
                <w:sz w:val="18"/>
                <w:szCs w:val="18"/>
                <w:lang w:eastAsia="zh-Hans"/>
              </w:rPr>
              <w:t>公里内有吾心文化广场等人文场所。综合考虑自然环境与人文环境较好。</w:t>
            </w:r>
          </w:p>
        </w:tc>
        <w:tc>
          <w:tcPr>
            <w:tcW w:w="533" w:type="dxa"/>
            <w:vAlign w:val="center"/>
          </w:tcPr>
          <w:p w14:paraId="46FB249B"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101</w:t>
            </w:r>
          </w:p>
        </w:tc>
        <w:tc>
          <w:tcPr>
            <w:tcW w:w="1213" w:type="dxa"/>
            <w:vAlign w:val="center"/>
          </w:tcPr>
          <w:p w14:paraId="2BB8217B"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案例</w:t>
            </w:r>
            <w:r>
              <w:rPr>
                <w:rFonts w:ascii="Arial" w:eastAsia="仿宋" w:hAnsi="Arial" w:cs="Arial"/>
                <w:snapToGrid w:val="0"/>
                <w:sz w:val="18"/>
                <w:szCs w:val="18"/>
                <w:lang w:eastAsia="zh-Hans"/>
              </w:rPr>
              <w:t>I</w:t>
            </w:r>
            <w:r>
              <w:rPr>
                <w:rFonts w:ascii="Arial" w:eastAsia="仿宋" w:hAnsi="Arial" w:cs="Arial" w:hint="eastAsia"/>
                <w:snapToGrid w:val="0"/>
                <w:sz w:val="18"/>
                <w:szCs w:val="18"/>
                <w:lang w:eastAsia="zh-Hans"/>
              </w:rPr>
              <w:t>周边约</w:t>
            </w:r>
            <w:r>
              <w:rPr>
                <w:rFonts w:ascii="Arial" w:eastAsia="仿宋" w:hAnsi="Arial" w:cs="Arial"/>
                <w:snapToGrid w:val="0"/>
                <w:sz w:val="18"/>
                <w:szCs w:val="18"/>
                <w:lang w:eastAsia="zh-Hans"/>
              </w:rPr>
              <w:t>2</w:t>
            </w:r>
            <w:r>
              <w:rPr>
                <w:rFonts w:ascii="Arial" w:eastAsia="仿宋" w:hAnsi="Arial" w:cs="Arial" w:hint="eastAsia"/>
                <w:snapToGrid w:val="0"/>
                <w:sz w:val="18"/>
                <w:szCs w:val="18"/>
                <w:lang w:eastAsia="zh-Hans"/>
              </w:rPr>
              <w:t>公里内有卧龙省市森林绿地、小中河、仁和文体广场等自然环境；无人文环境；综合评价环境状况一般。</w:t>
            </w:r>
          </w:p>
        </w:tc>
        <w:tc>
          <w:tcPr>
            <w:tcW w:w="622" w:type="dxa"/>
            <w:vAlign w:val="center"/>
          </w:tcPr>
          <w:p w14:paraId="51E936FC"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r>
      <w:tr w:rsidR="0062768B" w14:paraId="17B4A9A2" w14:textId="77777777">
        <w:trPr>
          <w:jc w:val="center"/>
        </w:trPr>
        <w:tc>
          <w:tcPr>
            <w:tcW w:w="477" w:type="dxa"/>
            <w:vMerge w:val="restart"/>
            <w:vAlign w:val="center"/>
          </w:tcPr>
          <w:p w14:paraId="49EDD24C"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个别</w:t>
            </w:r>
          </w:p>
          <w:p w14:paraId="43A97FF5"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因素</w:t>
            </w:r>
          </w:p>
        </w:tc>
        <w:tc>
          <w:tcPr>
            <w:tcW w:w="571" w:type="dxa"/>
            <w:vAlign w:val="center"/>
          </w:tcPr>
          <w:p w14:paraId="589EA561"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项目建筑规模</w:t>
            </w:r>
          </w:p>
          <w:p w14:paraId="593B7019" w14:textId="77777777" w:rsidR="0062768B" w:rsidRDefault="00136729">
            <w:pPr>
              <w:spacing w:line="240" w:lineRule="exact"/>
              <w:jc w:val="center"/>
              <w:rPr>
                <w:rFonts w:ascii="Arial" w:eastAsia="仿宋" w:hAnsi="Arial" w:cs="Arial"/>
                <w:snapToGrid w:val="0"/>
                <w:sz w:val="18"/>
                <w:szCs w:val="18"/>
              </w:rPr>
            </w:pPr>
            <w:r>
              <w:rPr>
                <w:rFonts w:ascii="Arial" w:eastAsia="仿宋" w:hAnsi="Arial" w:cs="Arial"/>
                <w:snapToGrid w:val="0"/>
                <w:sz w:val="18"/>
                <w:szCs w:val="18"/>
              </w:rPr>
              <w:t>(</w:t>
            </w:r>
            <w:r>
              <w:rPr>
                <w:rFonts w:ascii="Arial" w:eastAsia="仿宋" w:hAnsi="Arial" w:cs="Arial"/>
                <w:snapToGrid w:val="0"/>
                <w:sz w:val="18"/>
                <w:szCs w:val="18"/>
              </w:rPr>
              <w:t>平方米</w:t>
            </w:r>
            <w:r>
              <w:rPr>
                <w:rFonts w:ascii="Arial" w:eastAsia="仿宋" w:hAnsi="Arial" w:cs="Arial"/>
                <w:snapToGrid w:val="0"/>
                <w:sz w:val="18"/>
                <w:szCs w:val="18"/>
              </w:rPr>
              <w:t>)</w:t>
            </w:r>
          </w:p>
        </w:tc>
        <w:tc>
          <w:tcPr>
            <w:tcW w:w="1840" w:type="dxa"/>
            <w:vAlign w:val="center"/>
          </w:tcPr>
          <w:p w14:paraId="58486492"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754</w:t>
            </w:r>
          </w:p>
        </w:tc>
        <w:tc>
          <w:tcPr>
            <w:tcW w:w="487" w:type="dxa"/>
            <w:vAlign w:val="center"/>
          </w:tcPr>
          <w:p w14:paraId="6C4707AF"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502" w:type="dxa"/>
            <w:vAlign w:val="center"/>
          </w:tcPr>
          <w:p w14:paraId="7BFEABD2"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600</w:t>
            </w:r>
          </w:p>
        </w:tc>
        <w:tc>
          <w:tcPr>
            <w:tcW w:w="530" w:type="dxa"/>
            <w:vAlign w:val="center"/>
          </w:tcPr>
          <w:p w14:paraId="7412A32D"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409" w:type="dxa"/>
            <w:vAlign w:val="center"/>
          </w:tcPr>
          <w:p w14:paraId="0A0AFA59"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1050</w:t>
            </w:r>
          </w:p>
        </w:tc>
        <w:tc>
          <w:tcPr>
            <w:tcW w:w="533" w:type="dxa"/>
            <w:vAlign w:val="center"/>
          </w:tcPr>
          <w:p w14:paraId="6232EBB1"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96</w:t>
            </w:r>
          </w:p>
        </w:tc>
        <w:tc>
          <w:tcPr>
            <w:tcW w:w="1213" w:type="dxa"/>
            <w:vAlign w:val="center"/>
          </w:tcPr>
          <w:p w14:paraId="5688CA74"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350</w:t>
            </w:r>
          </w:p>
        </w:tc>
        <w:tc>
          <w:tcPr>
            <w:tcW w:w="622" w:type="dxa"/>
            <w:vAlign w:val="center"/>
          </w:tcPr>
          <w:p w14:paraId="58CBA638"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r>
      <w:tr w:rsidR="0062768B" w14:paraId="4D09C455" w14:textId="77777777">
        <w:trPr>
          <w:jc w:val="center"/>
        </w:trPr>
        <w:tc>
          <w:tcPr>
            <w:tcW w:w="477" w:type="dxa"/>
            <w:vMerge/>
            <w:textDirection w:val="tbRlV"/>
            <w:vAlign w:val="center"/>
          </w:tcPr>
          <w:p w14:paraId="08DC65ED" w14:textId="77777777" w:rsidR="0062768B" w:rsidRDefault="0062768B">
            <w:pPr>
              <w:widowControl/>
              <w:adjustRightInd/>
              <w:spacing w:line="240" w:lineRule="exact"/>
              <w:jc w:val="center"/>
              <w:textAlignment w:val="auto"/>
              <w:rPr>
                <w:rFonts w:ascii="Arial" w:eastAsia="仿宋" w:hAnsi="Arial" w:cs="Arial"/>
                <w:snapToGrid w:val="0"/>
                <w:sz w:val="18"/>
                <w:szCs w:val="18"/>
              </w:rPr>
            </w:pPr>
          </w:p>
        </w:tc>
        <w:tc>
          <w:tcPr>
            <w:tcW w:w="571" w:type="dxa"/>
            <w:vAlign w:val="center"/>
          </w:tcPr>
          <w:p w14:paraId="0A3EDFCF"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建筑结构</w:t>
            </w:r>
          </w:p>
        </w:tc>
        <w:tc>
          <w:tcPr>
            <w:tcW w:w="1840" w:type="dxa"/>
            <w:vAlign w:val="center"/>
          </w:tcPr>
          <w:p w14:paraId="291CD035"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钢混</w:t>
            </w:r>
          </w:p>
        </w:tc>
        <w:tc>
          <w:tcPr>
            <w:tcW w:w="487" w:type="dxa"/>
            <w:vAlign w:val="center"/>
          </w:tcPr>
          <w:p w14:paraId="516C4A15"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502" w:type="dxa"/>
            <w:vAlign w:val="center"/>
          </w:tcPr>
          <w:p w14:paraId="4262F6BF"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钢混</w:t>
            </w:r>
          </w:p>
        </w:tc>
        <w:tc>
          <w:tcPr>
            <w:tcW w:w="530" w:type="dxa"/>
            <w:vAlign w:val="center"/>
          </w:tcPr>
          <w:p w14:paraId="69A0E589"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409" w:type="dxa"/>
            <w:vAlign w:val="center"/>
          </w:tcPr>
          <w:p w14:paraId="5C92A50A"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钢混</w:t>
            </w:r>
          </w:p>
        </w:tc>
        <w:tc>
          <w:tcPr>
            <w:tcW w:w="533" w:type="dxa"/>
            <w:vAlign w:val="center"/>
          </w:tcPr>
          <w:p w14:paraId="00D25C89"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213" w:type="dxa"/>
            <w:vAlign w:val="center"/>
          </w:tcPr>
          <w:p w14:paraId="21349677"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钢混</w:t>
            </w:r>
          </w:p>
        </w:tc>
        <w:tc>
          <w:tcPr>
            <w:tcW w:w="622" w:type="dxa"/>
            <w:vAlign w:val="center"/>
          </w:tcPr>
          <w:p w14:paraId="797D0A87"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r>
      <w:tr w:rsidR="0062768B" w14:paraId="05C92290" w14:textId="77777777">
        <w:trPr>
          <w:jc w:val="center"/>
        </w:trPr>
        <w:tc>
          <w:tcPr>
            <w:tcW w:w="477" w:type="dxa"/>
            <w:vMerge/>
            <w:textDirection w:val="tbRlV"/>
            <w:vAlign w:val="center"/>
          </w:tcPr>
          <w:p w14:paraId="0ABDC6AD" w14:textId="77777777" w:rsidR="0062768B" w:rsidRDefault="0062768B">
            <w:pPr>
              <w:widowControl/>
              <w:adjustRightInd/>
              <w:spacing w:line="240" w:lineRule="exact"/>
              <w:jc w:val="center"/>
              <w:textAlignment w:val="auto"/>
              <w:rPr>
                <w:rFonts w:ascii="Arial" w:eastAsia="仿宋" w:hAnsi="Arial" w:cs="Arial"/>
                <w:snapToGrid w:val="0"/>
                <w:sz w:val="18"/>
                <w:szCs w:val="18"/>
              </w:rPr>
            </w:pPr>
          </w:p>
        </w:tc>
        <w:tc>
          <w:tcPr>
            <w:tcW w:w="571" w:type="dxa"/>
            <w:vAlign w:val="center"/>
          </w:tcPr>
          <w:p w14:paraId="2D7B8D80"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公共部分装修</w:t>
            </w:r>
          </w:p>
        </w:tc>
        <w:tc>
          <w:tcPr>
            <w:tcW w:w="1840" w:type="dxa"/>
            <w:vAlign w:val="center"/>
          </w:tcPr>
          <w:p w14:paraId="77F0393E"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精装修</w:t>
            </w:r>
          </w:p>
        </w:tc>
        <w:tc>
          <w:tcPr>
            <w:tcW w:w="487" w:type="dxa"/>
            <w:vAlign w:val="center"/>
          </w:tcPr>
          <w:p w14:paraId="55D1063E"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502" w:type="dxa"/>
            <w:vAlign w:val="center"/>
          </w:tcPr>
          <w:p w14:paraId="4EE96924"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精装修</w:t>
            </w:r>
          </w:p>
        </w:tc>
        <w:tc>
          <w:tcPr>
            <w:tcW w:w="530" w:type="dxa"/>
            <w:vAlign w:val="center"/>
          </w:tcPr>
          <w:p w14:paraId="6B736424"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409" w:type="dxa"/>
            <w:vAlign w:val="center"/>
          </w:tcPr>
          <w:p w14:paraId="44D59FA8"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精装修</w:t>
            </w:r>
          </w:p>
        </w:tc>
        <w:tc>
          <w:tcPr>
            <w:tcW w:w="533" w:type="dxa"/>
            <w:vAlign w:val="center"/>
          </w:tcPr>
          <w:p w14:paraId="525ABD22"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213" w:type="dxa"/>
            <w:vAlign w:val="center"/>
          </w:tcPr>
          <w:p w14:paraId="7E1697AA"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精装修</w:t>
            </w:r>
          </w:p>
        </w:tc>
        <w:tc>
          <w:tcPr>
            <w:tcW w:w="622" w:type="dxa"/>
            <w:vAlign w:val="center"/>
          </w:tcPr>
          <w:p w14:paraId="43C55E8D"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r>
      <w:tr w:rsidR="0062768B" w14:paraId="602BAAD2" w14:textId="77777777">
        <w:trPr>
          <w:jc w:val="center"/>
        </w:trPr>
        <w:tc>
          <w:tcPr>
            <w:tcW w:w="477" w:type="dxa"/>
            <w:vMerge/>
            <w:textDirection w:val="tbRlV"/>
            <w:vAlign w:val="center"/>
          </w:tcPr>
          <w:p w14:paraId="103FB1E7" w14:textId="77777777" w:rsidR="0062768B" w:rsidRDefault="0062768B">
            <w:pPr>
              <w:widowControl/>
              <w:adjustRightInd/>
              <w:spacing w:line="240" w:lineRule="exact"/>
              <w:jc w:val="center"/>
              <w:textAlignment w:val="auto"/>
              <w:rPr>
                <w:rFonts w:ascii="Arial" w:eastAsia="仿宋" w:hAnsi="Arial" w:cs="Arial"/>
                <w:snapToGrid w:val="0"/>
                <w:sz w:val="18"/>
                <w:szCs w:val="18"/>
              </w:rPr>
            </w:pPr>
          </w:p>
        </w:tc>
        <w:tc>
          <w:tcPr>
            <w:tcW w:w="571" w:type="dxa"/>
            <w:vAlign w:val="center"/>
          </w:tcPr>
          <w:p w14:paraId="7698983F"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成新度</w:t>
            </w:r>
          </w:p>
        </w:tc>
        <w:tc>
          <w:tcPr>
            <w:tcW w:w="1840" w:type="dxa"/>
            <w:vAlign w:val="center"/>
          </w:tcPr>
          <w:p w14:paraId="5715A4F8"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90%—100%</w:t>
            </w:r>
            <w:r>
              <w:rPr>
                <w:rFonts w:ascii="Arial" w:eastAsia="仿宋" w:hAnsi="Arial" w:cs="Arial"/>
                <w:snapToGrid w:val="0"/>
                <w:sz w:val="18"/>
                <w:szCs w:val="18"/>
                <w:lang w:eastAsia="zh-Hans"/>
              </w:rPr>
              <w:t>（含）</w:t>
            </w:r>
          </w:p>
        </w:tc>
        <w:tc>
          <w:tcPr>
            <w:tcW w:w="487" w:type="dxa"/>
            <w:vAlign w:val="center"/>
          </w:tcPr>
          <w:p w14:paraId="74669023"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502" w:type="dxa"/>
            <w:vAlign w:val="center"/>
          </w:tcPr>
          <w:p w14:paraId="1DB48AF3"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80%—90%</w:t>
            </w:r>
            <w:r>
              <w:rPr>
                <w:rFonts w:ascii="Arial" w:eastAsia="仿宋" w:hAnsi="Arial" w:cs="Arial"/>
                <w:snapToGrid w:val="0"/>
                <w:sz w:val="18"/>
                <w:szCs w:val="18"/>
                <w:lang w:eastAsia="zh-Hans"/>
              </w:rPr>
              <w:t>（含）</w:t>
            </w:r>
          </w:p>
        </w:tc>
        <w:tc>
          <w:tcPr>
            <w:tcW w:w="530" w:type="dxa"/>
            <w:vAlign w:val="center"/>
          </w:tcPr>
          <w:p w14:paraId="3243460C"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99</w:t>
            </w:r>
          </w:p>
        </w:tc>
        <w:tc>
          <w:tcPr>
            <w:tcW w:w="1409" w:type="dxa"/>
            <w:vAlign w:val="center"/>
          </w:tcPr>
          <w:p w14:paraId="59E315EC"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80%—90%</w:t>
            </w:r>
            <w:r>
              <w:rPr>
                <w:rFonts w:ascii="Arial" w:eastAsia="仿宋" w:hAnsi="Arial" w:cs="Arial"/>
                <w:snapToGrid w:val="0"/>
                <w:sz w:val="18"/>
                <w:szCs w:val="18"/>
                <w:lang w:eastAsia="zh-Hans"/>
              </w:rPr>
              <w:t>（含）</w:t>
            </w:r>
          </w:p>
        </w:tc>
        <w:tc>
          <w:tcPr>
            <w:tcW w:w="533" w:type="dxa"/>
            <w:vAlign w:val="center"/>
          </w:tcPr>
          <w:p w14:paraId="77CCD739"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99</w:t>
            </w:r>
          </w:p>
        </w:tc>
        <w:tc>
          <w:tcPr>
            <w:tcW w:w="1213" w:type="dxa"/>
            <w:vAlign w:val="center"/>
          </w:tcPr>
          <w:p w14:paraId="08699368"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80%—90%</w:t>
            </w:r>
            <w:r>
              <w:rPr>
                <w:rFonts w:ascii="Arial" w:eastAsia="仿宋" w:hAnsi="Arial" w:cs="Arial"/>
                <w:snapToGrid w:val="0"/>
                <w:sz w:val="18"/>
                <w:szCs w:val="18"/>
                <w:lang w:eastAsia="zh-Hans"/>
              </w:rPr>
              <w:t>（含）</w:t>
            </w:r>
          </w:p>
        </w:tc>
        <w:tc>
          <w:tcPr>
            <w:tcW w:w="622" w:type="dxa"/>
            <w:vAlign w:val="center"/>
          </w:tcPr>
          <w:p w14:paraId="5548AD42"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99</w:t>
            </w:r>
          </w:p>
        </w:tc>
      </w:tr>
      <w:tr w:rsidR="0062768B" w14:paraId="35FBBCB2" w14:textId="77777777">
        <w:trPr>
          <w:jc w:val="center"/>
        </w:trPr>
        <w:tc>
          <w:tcPr>
            <w:tcW w:w="477" w:type="dxa"/>
            <w:vMerge/>
            <w:textDirection w:val="tbRlV"/>
            <w:vAlign w:val="center"/>
          </w:tcPr>
          <w:p w14:paraId="06451F12" w14:textId="77777777" w:rsidR="0062768B" w:rsidRDefault="0062768B">
            <w:pPr>
              <w:widowControl/>
              <w:adjustRightInd/>
              <w:spacing w:line="240" w:lineRule="exact"/>
              <w:jc w:val="center"/>
              <w:textAlignment w:val="auto"/>
              <w:rPr>
                <w:rFonts w:ascii="Arial" w:eastAsia="仿宋" w:hAnsi="Arial" w:cs="Arial"/>
                <w:snapToGrid w:val="0"/>
                <w:sz w:val="18"/>
                <w:szCs w:val="18"/>
              </w:rPr>
            </w:pPr>
          </w:p>
        </w:tc>
        <w:tc>
          <w:tcPr>
            <w:tcW w:w="571" w:type="dxa"/>
            <w:vAlign w:val="center"/>
          </w:tcPr>
          <w:p w14:paraId="24C5B4C8"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层高</w:t>
            </w:r>
          </w:p>
        </w:tc>
        <w:tc>
          <w:tcPr>
            <w:tcW w:w="1840" w:type="dxa"/>
            <w:vAlign w:val="center"/>
          </w:tcPr>
          <w:p w14:paraId="4FB51BD2"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标准层高</w:t>
            </w:r>
          </w:p>
        </w:tc>
        <w:tc>
          <w:tcPr>
            <w:tcW w:w="487" w:type="dxa"/>
            <w:vAlign w:val="center"/>
          </w:tcPr>
          <w:p w14:paraId="71F925D9"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502" w:type="dxa"/>
            <w:vAlign w:val="center"/>
          </w:tcPr>
          <w:p w14:paraId="7E2DD882"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标准层高</w:t>
            </w:r>
          </w:p>
        </w:tc>
        <w:tc>
          <w:tcPr>
            <w:tcW w:w="530" w:type="dxa"/>
            <w:vAlign w:val="center"/>
          </w:tcPr>
          <w:p w14:paraId="3FD7FBF9"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409" w:type="dxa"/>
            <w:vAlign w:val="center"/>
          </w:tcPr>
          <w:p w14:paraId="5BEA45F7"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标准层高</w:t>
            </w:r>
          </w:p>
        </w:tc>
        <w:tc>
          <w:tcPr>
            <w:tcW w:w="533" w:type="dxa"/>
            <w:vAlign w:val="center"/>
          </w:tcPr>
          <w:p w14:paraId="458AEBA6"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213" w:type="dxa"/>
            <w:vAlign w:val="center"/>
          </w:tcPr>
          <w:p w14:paraId="7D7F0DC0"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标准层高</w:t>
            </w:r>
          </w:p>
        </w:tc>
        <w:tc>
          <w:tcPr>
            <w:tcW w:w="622" w:type="dxa"/>
            <w:vAlign w:val="center"/>
          </w:tcPr>
          <w:p w14:paraId="0E3F85C6"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r>
    </w:tbl>
    <w:p w14:paraId="1582C23F" w14:textId="77777777" w:rsidR="0062768B" w:rsidRDefault="0062768B">
      <w:pPr>
        <w:spacing w:beforeLines="100" w:before="240" w:line="440" w:lineRule="exact"/>
        <w:jc w:val="center"/>
        <w:rPr>
          <w:rFonts w:ascii="Arial" w:eastAsia="仿宋" w:hAnsi="Arial" w:cs="Arial"/>
          <w:b/>
          <w:bCs/>
          <w:szCs w:val="28"/>
        </w:rPr>
      </w:pPr>
    </w:p>
    <w:p w14:paraId="5462AC99" w14:textId="77777777" w:rsidR="0062768B" w:rsidRDefault="0062768B">
      <w:pPr>
        <w:spacing w:beforeLines="100" w:before="240" w:line="440" w:lineRule="exact"/>
        <w:jc w:val="center"/>
        <w:rPr>
          <w:rFonts w:ascii="Arial" w:eastAsia="仿宋" w:hAnsi="Arial" w:cs="Arial"/>
          <w:b/>
          <w:bCs/>
          <w:szCs w:val="28"/>
        </w:rPr>
      </w:pPr>
    </w:p>
    <w:p w14:paraId="68844EE2" w14:textId="77777777" w:rsidR="0062768B" w:rsidRDefault="0062768B">
      <w:pPr>
        <w:spacing w:beforeLines="100" w:before="240" w:line="440" w:lineRule="exact"/>
        <w:jc w:val="center"/>
        <w:rPr>
          <w:rFonts w:ascii="Arial" w:eastAsia="仿宋" w:hAnsi="Arial" w:cs="Arial"/>
          <w:b/>
          <w:bCs/>
          <w:szCs w:val="28"/>
        </w:rPr>
      </w:pPr>
    </w:p>
    <w:p w14:paraId="36D3241F" w14:textId="77777777" w:rsidR="0062768B" w:rsidRDefault="0062768B">
      <w:pPr>
        <w:spacing w:beforeLines="100" w:before="240" w:line="440" w:lineRule="exact"/>
        <w:jc w:val="center"/>
        <w:rPr>
          <w:rFonts w:ascii="Arial" w:eastAsia="仿宋" w:hAnsi="Arial" w:cs="Arial"/>
          <w:b/>
          <w:bCs/>
          <w:szCs w:val="28"/>
        </w:rPr>
      </w:pPr>
    </w:p>
    <w:p w14:paraId="5D1D81F1" w14:textId="77777777" w:rsidR="0062768B" w:rsidRDefault="00136729">
      <w:pPr>
        <w:spacing w:beforeLines="100" w:before="240" w:line="440" w:lineRule="exact"/>
        <w:jc w:val="center"/>
        <w:rPr>
          <w:rFonts w:ascii="Arial" w:eastAsia="仿宋" w:hAnsi="Arial" w:cs="Arial"/>
          <w:b/>
          <w:bCs/>
          <w:szCs w:val="28"/>
        </w:rPr>
      </w:pPr>
      <w:r>
        <w:rPr>
          <w:rFonts w:ascii="Arial" w:eastAsia="仿宋" w:hAnsi="Arial" w:cs="Arial"/>
          <w:b/>
          <w:bCs/>
          <w:szCs w:val="28"/>
        </w:rPr>
        <w:t>表</w:t>
      </w:r>
      <w:r>
        <w:rPr>
          <w:rFonts w:ascii="Arial" w:eastAsia="仿宋" w:hAnsi="Arial" w:cs="Arial"/>
          <w:b/>
          <w:bCs/>
          <w:szCs w:val="28"/>
        </w:rPr>
        <w:t>6</w:t>
      </w:r>
      <w:r>
        <w:rPr>
          <w:rFonts w:ascii="Arial" w:eastAsia="仿宋" w:hAnsi="Arial" w:cs="Arial"/>
          <w:b/>
          <w:bCs/>
          <w:szCs w:val="28"/>
        </w:rPr>
        <w:t>：因素修正和调整系数表</w:t>
      </w:r>
    </w:p>
    <w:tbl>
      <w:tblPr>
        <w:tblW w:w="4938" w:type="pct"/>
        <w:jc w:val="center"/>
        <w:tblLayout w:type="fixed"/>
        <w:tblCellMar>
          <w:top w:w="57" w:type="dxa"/>
          <w:left w:w="57" w:type="dxa"/>
          <w:bottom w:w="57" w:type="dxa"/>
          <w:right w:w="57" w:type="dxa"/>
        </w:tblCellMar>
        <w:tblLook w:val="04A0" w:firstRow="1" w:lastRow="0" w:firstColumn="1" w:lastColumn="0" w:noHBand="0" w:noVBand="1"/>
      </w:tblPr>
      <w:tblGrid>
        <w:gridCol w:w="1136"/>
        <w:gridCol w:w="1778"/>
        <w:gridCol w:w="2052"/>
        <w:gridCol w:w="2052"/>
        <w:gridCol w:w="2052"/>
      </w:tblGrid>
      <w:tr w:rsidR="0062768B" w14:paraId="562DA27D" w14:textId="77777777">
        <w:trPr>
          <w:trHeight w:val="280"/>
          <w:jc w:val="center"/>
        </w:trPr>
        <w:tc>
          <w:tcPr>
            <w:tcW w:w="1606"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500EDBBB" w14:textId="77777777" w:rsidR="0062768B" w:rsidRDefault="00136729">
            <w:pPr>
              <w:widowControl/>
              <w:adjustRightInd/>
              <w:spacing w:line="240" w:lineRule="exact"/>
              <w:jc w:val="right"/>
              <w:textAlignment w:val="auto"/>
              <w:rPr>
                <w:rFonts w:ascii="Arial" w:eastAsia="仿宋" w:hAnsi="Arial" w:cs="Arial"/>
                <w:snapToGrid w:val="0"/>
                <w:sz w:val="20"/>
                <w:szCs w:val="21"/>
              </w:rPr>
            </w:pPr>
            <w:r>
              <w:rPr>
                <w:rFonts w:ascii="Arial" w:eastAsia="仿宋" w:hAnsi="Arial" w:cs="Arial"/>
                <w:snapToGrid w:val="0"/>
                <w:sz w:val="20"/>
                <w:szCs w:val="21"/>
              </w:rPr>
              <w:lastRenderedPageBreak/>
              <w:t>可比案例</w:t>
            </w:r>
          </w:p>
          <w:p w14:paraId="65108553" w14:textId="77777777" w:rsidR="0062768B" w:rsidRDefault="00136729">
            <w:pPr>
              <w:widowControl/>
              <w:adjustRightInd/>
              <w:spacing w:line="240" w:lineRule="exact"/>
              <w:textAlignment w:val="auto"/>
              <w:rPr>
                <w:rFonts w:ascii="Arial" w:eastAsia="仿宋" w:hAnsi="Arial" w:cs="Arial"/>
                <w:snapToGrid w:val="0"/>
                <w:sz w:val="20"/>
                <w:szCs w:val="21"/>
              </w:rPr>
            </w:pPr>
            <w:r>
              <w:rPr>
                <w:rFonts w:ascii="Arial" w:eastAsia="仿宋" w:hAnsi="Arial" w:cs="Arial"/>
                <w:snapToGrid w:val="0"/>
                <w:sz w:val="20"/>
                <w:szCs w:val="21"/>
              </w:rPr>
              <w:t>比较因素</w:t>
            </w:r>
          </w:p>
        </w:tc>
        <w:tc>
          <w:tcPr>
            <w:tcW w:w="1131" w:type="pct"/>
            <w:tcBorders>
              <w:top w:val="single" w:sz="4" w:space="0" w:color="auto"/>
              <w:left w:val="nil"/>
              <w:bottom w:val="single" w:sz="4" w:space="0" w:color="auto"/>
              <w:right w:val="single" w:sz="4" w:space="0" w:color="auto"/>
            </w:tcBorders>
            <w:noWrap/>
            <w:vAlign w:val="center"/>
          </w:tcPr>
          <w:p w14:paraId="45D7ACAD" w14:textId="77777777" w:rsidR="0062768B" w:rsidRDefault="00136729">
            <w:pPr>
              <w:widowControl/>
              <w:adjustRightInd/>
              <w:spacing w:line="240" w:lineRule="exact"/>
              <w:jc w:val="center"/>
              <w:textAlignment w:val="auto"/>
              <w:rPr>
                <w:rFonts w:ascii="Arial" w:eastAsia="仿宋" w:hAnsi="Arial" w:cs="Arial"/>
                <w:snapToGrid w:val="0"/>
                <w:sz w:val="20"/>
                <w:szCs w:val="21"/>
              </w:rPr>
            </w:pPr>
            <w:r>
              <w:rPr>
                <w:rFonts w:ascii="Arial" w:eastAsia="仿宋" w:hAnsi="Arial" w:cs="Arial"/>
                <w:snapToGrid w:val="0"/>
                <w:sz w:val="20"/>
                <w:szCs w:val="21"/>
              </w:rPr>
              <w:t>案例</w:t>
            </w:r>
            <w:r>
              <w:rPr>
                <w:rFonts w:ascii="Arial" w:eastAsia="仿宋" w:hAnsi="Arial" w:cs="Arial"/>
                <w:snapToGrid w:val="0"/>
                <w:sz w:val="20"/>
                <w:szCs w:val="21"/>
              </w:rPr>
              <w:t>G</w:t>
            </w:r>
          </w:p>
        </w:tc>
        <w:tc>
          <w:tcPr>
            <w:tcW w:w="1131" w:type="pct"/>
            <w:tcBorders>
              <w:top w:val="single" w:sz="4" w:space="0" w:color="auto"/>
              <w:left w:val="nil"/>
              <w:bottom w:val="single" w:sz="4" w:space="0" w:color="auto"/>
              <w:right w:val="single" w:sz="4" w:space="0" w:color="auto"/>
            </w:tcBorders>
            <w:noWrap/>
            <w:vAlign w:val="center"/>
          </w:tcPr>
          <w:p w14:paraId="7E08356C" w14:textId="77777777" w:rsidR="0062768B" w:rsidRDefault="00136729">
            <w:pPr>
              <w:widowControl/>
              <w:adjustRightInd/>
              <w:spacing w:line="240" w:lineRule="exact"/>
              <w:jc w:val="center"/>
              <w:textAlignment w:val="auto"/>
              <w:rPr>
                <w:rFonts w:ascii="Arial" w:eastAsia="仿宋" w:hAnsi="Arial" w:cs="Arial"/>
                <w:snapToGrid w:val="0"/>
                <w:sz w:val="20"/>
                <w:szCs w:val="21"/>
              </w:rPr>
            </w:pPr>
            <w:r>
              <w:rPr>
                <w:rFonts w:ascii="Arial" w:eastAsia="仿宋" w:hAnsi="Arial" w:cs="Arial"/>
                <w:snapToGrid w:val="0"/>
                <w:sz w:val="20"/>
                <w:szCs w:val="21"/>
              </w:rPr>
              <w:t>案例</w:t>
            </w:r>
            <w:r>
              <w:rPr>
                <w:rFonts w:ascii="Arial" w:eastAsia="仿宋" w:hAnsi="Arial" w:cs="Arial"/>
                <w:snapToGrid w:val="0"/>
                <w:sz w:val="20"/>
                <w:szCs w:val="21"/>
              </w:rPr>
              <w:t>H</w:t>
            </w:r>
          </w:p>
        </w:tc>
        <w:tc>
          <w:tcPr>
            <w:tcW w:w="1131" w:type="pct"/>
            <w:tcBorders>
              <w:top w:val="single" w:sz="4" w:space="0" w:color="auto"/>
              <w:left w:val="nil"/>
              <w:bottom w:val="single" w:sz="4" w:space="0" w:color="auto"/>
              <w:right w:val="single" w:sz="4" w:space="0" w:color="auto"/>
            </w:tcBorders>
            <w:noWrap/>
            <w:vAlign w:val="center"/>
          </w:tcPr>
          <w:p w14:paraId="1BF66281" w14:textId="77777777" w:rsidR="0062768B" w:rsidRDefault="00136729">
            <w:pPr>
              <w:widowControl/>
              <w:adjustRightInd/>
              <w:spacing w:line="240" w:lineRule="exact"/>
              <w:jc w:val="center"/>
              <w:textAlignment w:val="auto"/>
              <w:rPr>
                <w:rFonts w:ascii="Arial" w:eastAsia="仿宋" w:hAnsi="Arial" w:cs="Arial"/>
                <w:snapToGrid w:val="0"/>
                <w:sz w:val="20"/>
                <w:szCs w:val="21"/>
              </w:rPr>
            </w:pPr>
            <w:r>
              <w:rPr>
                <w:rFonts w:ascii="Arial" w:eastAsia="仿宋" w:hAnsi="Arial" w:cs="Arial"/>
                <w:snapToGrid w:val="0"/>
                <w:sz w:val="20"/>
                <w:szCs w:val="21"/>
              </w:rPr>
              <w:t>案例</w:t>
            </w:r>
            <w:r>
              <w:rPr>
                <w:rFonts w:ascii="Arial" w:eastAsia="仿宋" w:hAnsi="Arial" w:cs="Arial"/>
                <w:snapToGrid w:val="0"/>
                <w:sz w:val="20"/>
                <w:szCs w:val="21"/>
              </w:rPr>
              <w:t>I</w:t>
            </w:r>
          </w:p>
        </w:tc>
      </w:tr>
      <w:tr w:rsidR="0062768B" w14:paraId="27C1A95D" w14:textId="77777777">
        <w:trPr>
          <w:trHeight w:val="280"/>
          <w:jc w:val="center"/>
        </w:trPr>
        <w:tc>
          <w:tcPr>
            <w:tcW w:w="1606"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2FBF7505" w14:textId="77777777" w:rsidR="0062768B" w:rsidRDefault="0062768B">
            <w:pPr>
              <w:widowControl/>
              <w:adjustRightInd/>
              <w:spacing w:line="240" w:lineRule="exact"/>
              <w:textAlignment w:val="auto"/>
              <w:rPr>
                <w:rFonts w:ascii="Arial" w:eastAsia="仿宋" w:hAnsi="Arial" w:cs="Arial"/>
                <w:snapToGrid w:val="0"/>
                <w:sz w:val="20"/>
                <w:szCs w:val="21"/>
              </w:rPr>
            </w:pPr>
          </w:p>
        </w:tc>
        <w:tc>
          <w:tcPr>
            <w:tcW w:w="1131" w:type="pct"/>
            <w:tcBorders>
              <w:top w:val="nil"/>
              <w:left w:val="nil"/>
              <w:bottom w:val="single" w:sz="4" w:space="0" w:color="auto"/>
              <w:right w:val="single" w:sz="4" w:space="0" w:color="auto"/>
            </w:tcBorders>
            <w:noWrap/>
            <w:vAlign w:val="bottom"/>
          </w:tcPr>
          <w:p w14:paraId="5EF911F6" w14:textId="77777777" w:rsidR="0062768B" w:rsidRDefault="00136729">
            <w:pPr>
              <w:widowControl/>
              <w:adjustRightInd/>
              <w:spacing w:line="240" w:lineRule="exact"/>
              <w:jc w:val="center"/>
              <w:textAlignment w:val="auto"/>
              <w:rPr>
                <w:rFonts w:ascii="Arial" w:eastAsia="仿宋" w:hAnsi="Arial" w:cs="Arial"/>
                <w:snapToGrid w:val="0"/>
                <w:sz w:val="20"/>
                <w:szCs w:val="21"/>
                <w:lang w:eastAsia="zh-Hans"/>
              </w:rPr>
            </w:pPr>
            <w:r>
              <w:rPr>
                <w:rFonts w:ascii="Arial" w:eastAsia="仿宋" w:hAnsi="Arial" w:cs="Arial" w:hint="eastAsia"/>
                <w:snapToGrid w:val="0"/>
                <w:sz w:val="20"/>
                <w:szCs w:val="21"/>
                <w:lang w:eastAsia="zh-Hans"/>
              </w:rPr>
              <w:t>数码视讯产业园</w:t>
            </w:r>
          </w:p>
        </w:tc>
        <w:tc>
          <w:tcPr>
            <w:tcW w:w="1131" w:type="pct"/>
            <w:tcBorders>
              <w:top w:val="nil"/>
              <w:left w:val="nil"/>
              <w:bottom w:val="single" w:sz="4" w:space="0" w:color="auto"/>
              <w:right w:val="single" w:sz="4" w:space="0" w:color="auto"/>
            </w:tcBorders>
            <w:noWrap/>
            <w:vAlign w:val="bottom"/>
          </w:tcPr>
          <w:p w14:paraId="1432FFB5" w14:textId="77777777" w:rsidR="0062768B" w:rsidRDefault="00136729">
            <w:pPr>
              <w:widowControl/>
              <w:adjustRightInd/>
              <w:spacing w:line="240" w:lineRule="exact"/>
              <w:jc w:val="center"/>
              <w:textAlignment w:val="auto"/>
              <w:rPr>
                <w:rFonts w:ascii="Arial" w:eastAsia="仿宋" w:hAnsi="Arial" w:cs="Arial"/>
                <w:snapToGrid w:val="0"/>
                <w:sz w:val="20"/>
                <w:szCs w:val="21"/>
                <w:lang w:eastAsia="zh-Hans"/>
              </w:rPr>
            </w:pPr>
            <w:r>
              <w:rPr>
                <w:rFonts w:ascii="Arial" w:eastAsia="仿宋" w:hAnsi="Arial" w:cs="Arial" w:hint="eastAsia"/>
                <w:snapToGrid w:val="0"/>
                <w:sz w:val="20"/>
                <w:szCs w:val="21"/>
                <w:lang w:eastAsia="zh-Hans"/>
              </w:rPr>
              <w:t>博润中心</w:t>
            </w:r>
          </w:p>
        </w:tc>
        <w:tc>
          <w:tcPr>
            <w:tcW w:w="1131" w:type="pct"/>
            <w:tcBorders>
              <w:top w:val="nil"/>
              <w:left w:val="nil"/>
              <w:bottom w:val="single" w:sz="4" w:space="0" w:color="auto"/>
              <w:right w:val="single" w:sz="4" w:space="0" w:color="auto"/>
            </w:tcBorders>
            <w:noWrap/>
            <w:vAlign w:val="bottom"/>
          </w:tcPr>
          <w:p w14:paraId="03888778" w14:textId="77777777" w:rsidR="0062768B" w:rsidRDefault="00136729">
            <w:pPr>
              <w:widowControl/>
              <w:adjustRightInd/>
              <w:spacing w:line="240" w:lineRule="exact"/>
              <w:jc w:val="center"/>
              <w:textAlignment w:val="auto"/>
              <w:rPr>
                <w:rFonts w:ascii="Arial" w:eastAsia="仿宋" w:hAnsi="Arial" w:cs="Arial"/>
                <w:snapToGrid w:val="0"/>
                <w:sz w:val="20"/>
                <w:szCs w:val="21"/>
                <w:lang w:eastAsia="zh-Hans"/>
              </w:rPr>
            </w:pPr>
            <w:r>
              <w:rPr>
                <w:rFonts w:ascii="Arial" w:eastAsia="仿宋" w:hAnsi="Arial" w:cs="Arial" w:hint="eastAsia"/>
                <w:snapToGrid w:val="0"/>
                <w:sz w:val="20"/>
                <w:szCs w:val="21"/>
                <w:lang w:eastAsia="zh-Hans"/>
              </w:rPr>
              <w:t>城建道桥大厦</w:t>
            </w:r>
          </w:p>
        </w:tc>
      </w:tr>
      <w:tr w:rsidR="0062768B" w14:paraId="69822788" w14:textId="77777777">
        <w:trPr>
          <w:trHeight w:val="280"/>
          <w:jc w:val="center"/>
        </w:trPr>
        <w:tc>
          <w:tcPr>
            <w:tcW w:w="1606" w:type="pct"/>
            <w:gridSpan w:val="2"/>
            <w:tcBorders>
              <w:top w:val="single" w:sz="4" w:space="0" w:color="auto"/>
              <w:left w:val="single" w:sz="4" w:space="0" w:color="auto"/>
              <w:bottom w:val="single" w:sz="4" w:space="0" w:color="auto"/>
              <w:right w:val="single" w:sz="4" w:space="0" w:color="000000"/>
            </w:tcBorders>
            <w:noWrap/>
            <w:vAlign w:val="bottom"/>
          </w:tcPr>
          <w:p w14:paraId="4B8B130D" w14:textId="77777777" w:rsidR="0062768B" w:rsidRDefault="00136729">
            <w:pPr>
              <w:widowControl/>
              <w:adjustRightInd/>
              <w:spacing w:line="240" w:lineRule="exact"/>
              <w:jc w:val="center"/>
              <w:textAlignment w:val="auto"/>
              <w:rPr>
                <w:rFonts w:ascii="Arial" w:eastAsia="仿宋" w:hAnsi="Arial" w:cs="Arial"/>
                <w:snapToGrid w:val="0"/>
                <w:sz w:val="20"/>
                <w:szCs w:val="21"/>
              </w:rPr>
            </w:pPr>
            <w:r>
              <w:rPr>
                <w:rFonts w:ascii="Arial" w:eastAsia="仿宋" w:hAnsi="Arial" w:cs="Arial"/>
                <w:snapToGrid w:val="0"/>
                <w:sz w:val="20"/>
                <w:szCs w:val="21"/>
              </w:rPr>
              <w:t>交易时间</w:t>
            </w:r>
          </w:p>
        </w:tc>
        <w:tc>
          <w:tcPr>
            <w:tcW w:w="1131" w:type="pct"/>
            <w:tcBorders>
              <w:top w:val="nil"/>
              <w:left w:val="nil"/>
              <w:bottom w:val="single" w:sz="4" w:space="0" w:color="auto"/>
              <w:right w:val="single" w:sz="4" w:space="0" w:color="auto"/>
            </w:tcBorders>
            <w:noWrap/>
            <w:vAlign w:val="center"/>
          </w:tcPr>
          <w:p w14:paraId="3166B164"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nil"/>
              <w:left w:val="nil"/>
              <w:bottom w:val="single" w:sz="4" w:space="0" w:color="auto"/>
              <w:right w:val="single" w:sz="4" w:space="0" w:color="auto"/>
            </w:tcBorders>
            <w:noWrap/>
            <w:vAlign w:val="center"/>
          </w:tcPr>
          <w:p w14:paraId="4BB010BC"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nil"/>
              <w:left w:val="nil"/>
              <w:bottom w:val="single" w:sz="4" w:space="0" w:color="auto"/>
              <w:right w:val="single" w:sz="4" w:space="0" w:color="auto"/>
            </w:tcBorders>
            <w:noWrap/>
            <w:vAlign w:val="center"/>
          </w:tcPr>
          <w:p w14:paraId="3C7EDA1C"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r>
      <w:tr w:rsidR="0062768B" w14:paraId="41AD29DA" w14:textId="77777777">
        <w:trPr>
          <w:trHeight w:val="280"/>
          <w:jc w:val="center"/>
        </w:trPr>
        <w:tc>
          <w:tcPr>
            <w:tcW w:w="1606" w:type="pct"/>
            <w:gridSpan w:val="2"/>
            <w:tcBorders>
              <w:top w:val="single" w:sz="4" w:space="0" w:color="auto"/>
              <w:left w:val="single" w:sz="4" w:space="0" w:color="auto"/>
              <w:bottom w:val="single" w:sz="4" w:space="0" w:color="auto"/>
              <w:right w:val="single" w:sz="4" w:space="0" w:color="000000"/>
            </w:tcBorders>
            <w:noWrap/>
            <w:vAlign w:val="bottom"/>
          </w:tcPr>
          <w:p w14:paraId="4133718F" w14:textId="77777777" w:rsidR="0062768B" w:rsidRDefault="00136729">
            <w:pPr>
              <w:widowControl/>
              <w:adjustRightInd/>
              <w:spacing w:line="240" w:lineRule="exact"/>
              <w:jc w:val="center"/>
              <w:textAlignment w:val="auto"/>
              <w:rPr>
                <w:rFonts w:ascii="Arial" w:eastAsia="仿宋" w:hAnsi="Arial" w:cs="Arial"/>
                <w:snapToGrid w:val="0"/>
                <w:sz w:val="20"/>
                <w:szCs w:val="21"/>
              </w:rPr>
            </w:pPr>
            <w:r>
              <w:rPr>
                <w:rFonts w:ascii="Arial" w:eastAsia="仿宋" w:hAnsi="Arial" w:cs="Arial"/>
                <w:snapToGrid w:val="0"/>
                <w:sz w:val="20"/>
                <w:szCs w:val="21"/>
              </w:rPr>
              <w:t>交易情况</w:t>
            </w:r>
          </w:p>
        </w:tc>
        <w:tc>
          <w:tcPr>
            <w:tcW w:w="1131" w:type="pct"/>
            <w:tcBorders>
              <w:top w:val="nil"/>
              <w:left w:val="nil"/>
              <w:bottom w:val="single" w:sz="4" w:space="0" w:color="auto"/>
              <w:right w:val="single" w:sz="4" w:space="0" w:color="auto"/>
            </w:tcBorders>
            <w:noWrap/>
            <w:vAlign w:val="center"/>
          </w:tcPr>
          <w:p w14:paraId="6D985D07"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nil"/>
              <w:left w:val="nil"/>
              <w:bottom w:val="single" w:sz="4" w:space="0" w:color="auto"/>
              <w:right w:val="single" w:sz="4" w:space="0" w:color="auto"/>
            </w:tcBorders>
            <w:noWrap/>
            <w:vAlign w:val="center"/>
          </w:tcPr>
          <w:p w14:paraId="0935CCD5"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nil"/>
              <w:left w:val="nil"/>
              <w:bottom w:val="single" w:sz="4" w:space="0" w:color="auto"/>
              <w:right w:val="single" w:sz="4" w:space="0" w:color="auto"/>
            </w:tcBorders>
            <w:noWrap/>
            <w:vAlign w:val="center"/>
          </w:tcPr>
          <w:p w14:paraId="6FFFC172"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r>
      <w:tr w:rsidR="0062768B" w14:paraId="57C8F3F6" w14:textId="77777777">
        <w:trPr>
          <w:trHeight w:val="296"/>
          <w:jc w:val="center"/>
        </w:trPr>
        <w:tc>
          <w:tcPr>
            <w:tcW w:w="1606" w:type="pct"/>
            <w:gridSpan w:val="2"/>
            <w:tcBorders>
              <w:top w:val="single" w:sz="4" w:space="0" w:color="auto"/>
              <w:left w:val="single" w:sz="4" w:space="0" w:color="auto"/>
              <w:bottom w:val="single" w:sz="4" w:space="0" w:color="auto"/>
              <w:right w:val="single" w:sz="4" w:space="0" w:color="auto"/>
            </w:tcBorders>
            <w:noWrap/>
            <w:vAlign w:val="center"/>
          </w:tcPr>
          <w:p w14:paraId="2B2B585A" w14:textId="77777777" w:rsidR="0062768B" w:rsidRDefault="00136729">
            <w:pPr>
              <w:widowControl/>
              <w:adjustRightInd/>
              <w:spacing w:line="240" w:lineRule="exact"/>
              <w:jc w:val="center"/>
              <w:textAlignment w:val="auto"/>
              <w:rPr>
                <w:rFonts w:ascii="Arial" w:eastAsia="仿宋" w:hAnsi="Arial" w:cs="Arial"/>
                <w:snapToGrid w:val="0"/>
                <w:sz w:val="20"/>
                <w:szCs w:val="21"/>
              </w:rPr>
            </w:pPr>
            <w:r>
              <w:rPr>
                <w:rFonts w:ascii="Arial" w:eastAsia="仿宋" w:hAnsi="Arial" w:cs="Arial"/>
                <w:snapToGrid w:val="0"/>
                <w:sz w:val="20"/>
                <w:szCs w:val="21"/>
              </w:rPr>
              <w:t>用途</w:t>
            </w:r>
          </w:p>
        </w:tc>
        <w:tc>
          <w:tcPr>
            <w:tcW w:w="1131" w:type="pct"/>
            <w:tcBorders>
              <w:top w:val="nil"/>
              <w:left w:val="nil"/>
              <w:bottom w:val="single" w:sz="4" w:space="0" w:color="auto"/>
              <w:right w:val="single" w:sz="4" w:space="0" w:color="auto"/>
            </w:tcBorders>
            <w:noWrap/>
            <w:vAlign w:val="center"/>
          </w:tcPr>
          <w:p w14:paraId="38E94B77"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100/102</w:t>
            </w:r>
          </w:p>
        </w:tc>
        <w:tc>
          <w:tcPr>
            <w:tcW w:w="1131" w:type="pct"/>
            <w:tcBorders>
              <w:top w:val="nil"/>
              <w:left w:val="nil"/>
              <w:bottom w:val="single" w:sz="4" w:space="0" w:color="auto"/>
              <w:right w:val="single" w:sz="4" w:space="0" w:color="auto"/>
            </w:tcBorders>
            <w:noWrap/>
            <w:vAlign w:val="center"/>
          </w:tcPr>
          <w:p w14:paraId="6900D4BE"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100/102</w:t>
            </w:r>
          </w:p>
        </w:tc>
        <w:tc>
          <w:tcPr>
            <w:tcW w:w="1131" w:type="pct"/>
            <w:tcBorders>
              <w:top w:val="nil"/>
              <w:left w:val="nil"/>
              <w:bottom w:val="single" w:sz="4" w:space="0" w:color="auto"/>
              <w:right w:val="single" w:sz="4" w:space="0" w:color="auto"/>
            </w:tcBorders>
            <w:noWrap/>
            <w:vAlign w:val="center"/>
          </w:tcPr>
          <w:p w14:paraId="5FEE65EC"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100/102</w:t>
            </w:r>
          </w:p>
        </w:tc>
      </w:tr>
      <w:tr w:rsidR="0062768B" w14:paraId="081A4615" w14:textId="77777777">
        <w:trPr>
          <w:trHeight w:val="280"/>
          <w:jc w:val="center"/>
        </w:trPr>
        <w:tc>
          <w:tcPr>
            <w:tcW w:w="626" w:type="pct"/>
            <w:vMerge w:val="restart"/>
            <w:tcBorders>
              <w:top w:val="single" w:sz="4" w:space="0" w:color="auto"/>
              <w:left w:val="single" w:sz="4" w:space="0" w:color="auto"/>
              <w:bottom w:val="single" w:sz="4" w:space="0" w:color="000000"/>
              <w:right w:val="single" w:sz="4" w:space="0" w:color="auto"/>
            </w:tcBorders>
            <w:noWrap/>
            <w:vAlign w:val="center"/>
          </w:tcPr>
          <w:p w14:paraId="53440D6A" w14:textId="77777777" w:rsidR="0062768B" w:rsidRDefault="00136729">
            <w:pPr>
              <w:widowControl/>
              <w:adjustRightInd/>
              <w:spacing w:line="240" w:lineRule="exact"/>
              <w:jc w:val="center"/>
              <w:textAlignment w:val="auto"/>
              <w:rPr>
                <w:rFonts w:ascii="Arial" w:eastAsia="仿宋" w:hAnsi="Arial" w:cs="Arial"/>
                <w:snapToGrid w:val="0"/>
                <w:sz w:val="20"/>
                <w:szCs w:val="21"/>
              </w:rPr>
            </w:pPr>
            <w:r>
              <w:rPr>
                <w:rFonts w:ascii="Arial" w:eastAsia="仿宋" w:hAnsi="Arial" w:cs="Arial"/>
                <w:snapToGrid w:val="0"/>
                <w:sz w:val="20"/>
                <w:szCs w:val="21"/>
              </w:rPr>
              <w:t>区域因素</w:t>
            </w:r>
          </w:p>
        </w:tc>
        <w:tc>
          <w:tcPr>
            <w:tcW w:w="980" w:type="pct"/>
            <w:tcBorders>
              <w:top w:val="single" w:sz="4" w:space="0" w:color="auto"/>
              <w:left w:val="nil"/>
              <w:bottom w:val="single" w:sz="4" w:space="0" w:color="auto"/>
              <w:right w:val="single" w:sz="4" w:space="0" w:color="auto"/>
            </w:tcBorders>
            <w:noWrap/>
            <w:vAlign w:val="center"/>
          </w:tcPr>
          <w:p w14:paraId="74C38EAB" w14:textId="77777777" w:rsidR="0062768B" w:rsidRDefault="00136729">
            <w:pPr>
              <w:widowControl/>
              <w:adjustRightInd/>
              <w:spacing w:line="240" w:lineRule="exact"/>
              <w:textAlignment w:val="auto"/>
              <w:rPr>
                <w:rFonts w:ascii="Arial" w:eastAsia="仿宋" w:hAnsi="Arial" w:cs="Arial"/>
                <w:snapToGrid w:val="0"/>
                <w:sz w:val="20"/>
                <w:szCs w:val="21"/>
                <w:lang w:eastAsia="zh-Hans"/>
              </w:rPr>
            </w:pPr>
            <w:r>
              <w:rPr>
                <w:rFonts w:ascii="Arial" w:eastAsia="仿宋" w:hAnsi="Arial" w:cs="Arial"/>
                <w:snapToGrid w:val="0"/>
                <w:sz w:val="20"/>
                <w:szCs w:val="21"/>
                <w:lang w:eastAsia="zh-Hans"/>
              </w:rPr>
              <w:t>物业集聚程度</w:t>
            </w:r>
          </w:p>
        </w:tc>
        <w:tc>
          <w:tcPr>
            <w:tcW w:w="1131" w:type="pct"/>
            <w:tcBorders>
              <w:top w:val="nil"/>
              <w:left w:val="nil"/>
              <w:bottom w:val="single" w:sz="4" w:space="0" w:color="auto"/>
              <w:right w:val="single" w:sz="4" w:space="0" w:color="auto"/>
            </w:tcBorders>
            <w:noWrap/>
            <w:vAlign w:val="center"/>
          </w:tcPr>
          <w:p w14:paraId="0D453D4C"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nil"/>
              <w:left w:val="nil"/>
              <w:bottom w:val="single" w:sz="4" w:space="0" w:color="auto"/>
              <w:right w:val="single" w:sz="4" w:space="0" w:color="auto"/>
            </w:tcBorders>
            <w:noWrap/>
            <w:vAlign w:val="center"/>
          </w:tcPr>
          <w:p w14:paraId="344D33CC"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100/104</w:t>
            </w:r>
          </w:p>
        </w:tc>
        <w:tc>
          <w:tcPr>
            <w:tcW w:w="1131" w:type="pct"/>
            <w:tcBorders>
              <w:top w:val="nil"/>
              <w:left w:val="nil"/>
              <w:bottom w:val="single" w:sz="4" w:space="0" w:color="auto"/>
              <w:right w:val="single" w:sz="4" w:space="0" w:color="auto"/>
            </w:tcBorders>
            <w:noWrap/>
            <w:vAlign w:val="center"/>
          </w:tcPr>
          <w:p w14:paraId="10C8F2E0"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100/104</w:t>
            </w:r>
          </w:p>
        </w:tc>
      </w:tr>
      <w:tr w:rsidR="0062768B" w14:paraId="5A21BB9E" w14:textId="77777777">
        <w:trPr>
          <w:trHeight w:val="280"/>
          <w:jc w:val="center"/>
        </w:trPr>
        <w:tc>
          <w:tcPr>
            <w:tcW w:w="626" w:type="pct"/>
            <w:vMerge/>
            <w:tcBorders>
              <w:top w:val="single" w:sz="4" w:space="0" w:color="auto"/>
              <w:left w:val="single" w:sz="4" w:space="0" w:color="auto"/>
              <w:bottom w:val="single" w:sz="4" w:space="0" w:color="000000"/>
              <w:right w:val="single" w:sz="4" w:space="0" w:color="auto"/>
            </w:tcBorders>
            <w:vAlign w:val="center"/>
          </w:tcPr>
          <w:p w14:paraId="72FF4AC6" w14:textId="77777777" w:rsidR="0062768B" w:rsidRDefault="0062768B">
            <w:pPr>
              <w:widowControl/>
              <w:adjustRightInd/>
              <w:spacing w:line="240" w:lineRule="exact"/>
              <w:textAlignment w:val="auto"/>
              <w:rPr>
                <w:rFonts w:ascii="Arial" w:eastAsia="仿宋" w:hAnsi="Arial" w:cs="Arial"/>
                <w:snapToGrid w:val="0"/>
                <w:sz w:val="20"/>
                <w:szCs w:val="21"/>
              </w:rPr>
            </w:pPr>
          </w:p>
        </w:tc>
        <w:tc>
          <w:tcPr>
            <w:tcW w:w="980" w:type="pct"/>
            <w:tcBorders>
              <w:top w:val="nil"/>
              <w:left w:val="nil"/>
              <w:bottom w:val="single" w:sz="4" w:space="0" w:color="auto"/>
              <w:right w:val="single" w:sz="4" w:space="0" w:color="auto"/>
            </w:tcBorders>
            <w:noWrap/>
            <w:vAlign w:val="center"/>
          </w:tcPr>
          <w:p w14:paraId="46E48225" w14:textId="77777777" w:rsidR="0062768B" w:rsidRDefault="00136729">
            <w:pPr>
              <w:widowControl/>
              <w:adjustRightInd/>
              <w:spacing w:line="240" w:lineRule="exact"/>
              <w:textAlignment w:val="auto"/>
              <w:rPr>
                <w:rFonts w:ascii="Arial" w:eastAsia="仿宋" w:hAnsi="Arial" w:cs="Arial"/>
                <w:snapToGrid w:val="0"/>
                <w:sz w:val="20"/>
                <w:szCs w:val="21"/>
              </w:rPr>
            </w:pPr>
            <w:r>
              <w:rPr>
                <w:rFonts w:ascii="Arial" w:eastAsia="仿宋" w:hAnsi="Arial" w:cs="Arial"/>
                <w:snapToGrid w:val="0"/>
                <w:sz w:val="20"/>
                <w:szCs w:val="21"/>
              </w:rPr>
              <w:t>交通便捷度</w:t>
            </w:r>
          </w:p>
        </w:tc>
        <w:tc>
          <w:tcPr>
            <w:tcW w:w="1131" w:type="pct"/>
            <w:tcBorders>
              <w:top w:val="nil"/>
              <w:left w:val="nil"/>
              <w:bottom w:val="single" w:sz="4" w:space="0" w:color="auto"/>
              <w:right w:val="single" w:sz="4" w:space="0" w:color="auto"/>
            </w:tcBorders>
            <w:noWrap/>
            <w:vAlign w:val="center"/>
          </w:tcPr>
          <w:p w14:paraId="476194CA"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nil"/>
              <w:left w:val="nil"/>
              <w:bottom w:val="single" w:sz="4" w:space="0" w:color="auto"/>
              <w:right w:val="single" w:sz="4" w:space="0" w:color="auto"/>
            </w:tcBorders>
            <w:noWrap/>
            <w:vAlign w:val="center"/>
          </w:tcPr>
          <w:p w14:paraId="0595F0F0"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100/106</w:t>
            </w:r>
          </w:p>
        </w:tc>
        <w:tc>
          <w:tcPr>
            <w:tcW w:w="1131" w:type="pct"/>
            <w:tcBorders>
              <w:top w:val="nil"/>
              <w:left w:val="nil"/>
              <w:bottom w:val="single" w:sz="4" w:space="0" w:color="auto"/>
              <w:right w:val="single" w:sz="4" w:space="0" w:color="auto"/>
            </w:tcBorders>
            <w:noWrap/>
            <w:vAlign w:val="center"/>
          </w:tcPr>
          <w:p w14:paraId="6448DBB6"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100/106</w:t>
            </w:r>
          </w:p>
        </w:tc>
      </w:tr>
      <w:tr w:rsidR="0062768B" w14:paraId="3940085A" w14:textId="77777777">
        <w:trPr>
          <w:trHeight w:val="280"/>
          <w:jc w:val="center"/>
        </w:trPr>
        <w:tc>
          <w:tcPr>
            <w:tcW w:w="626" w:type="pct"/>
            <w:vMerge/>
            <w:tcBorders>
              <w:top w:val="single" w:sz="4" w:space="0" w:color="auto"/>
              <w:left w:val="single" w:sz="4" w:space="0" w:color="auto"/>
              <w:bottom w:val="single" w:sz="4" w:space="0" w:color="000000"/>
              <w:right w:val="single" w:sz="4" w:space="0" w:color="auto"/>
            </w:tcBorders>
            <w:vAlign w:val="center"/>
          </w:tcPr>
          <w:p w14:paraId="5B2788D1" w14:textId="77777777" w:rsidR="0062768B" w:rsidRDefault="0062768B">
            <w:pPr>
              <w:widowControl/>
              <w:adjustRightInd/>
              <w:spacing w:line="240" w:lineRule="exact"/>
              <w:textAlignment w:val="auto"/>
              <w:rPr>
                <w:rFonts w:ascii="Arial" w:eastAsia="仿宋" w:hAnsi="Arial" w:cs="Arial"/>
                <w:snapToGrid w:val="0"/>
                <w:sz w:val="20"/>
                <w:szCs w:val="21"/>
              </w:rPr>
            </w:pPr>
          </w:p>
        </w:tc>
        <w:tc>
          <w:tcPr>
            <w:tcW w:w="980" w:type="pct"/>
            <w:tcBorders>
              <w:top w:val="nil"/>
              <w:left w:val="nil"/>
              <w:bottom w:val="single" w:sz="4" w:space="0" w:color="auto"/>
              <w:right w:val="single" w:sz="4" w:space="0" w:color="auto"/>
            </w:tcBorders>
            <w:noWrap/>
            <w:vAlign w:val="center"/>
          </w:tcPr>
          <w:p w14:paraId="16B8B3C3" w14:textId="77777777" w:rsidR="0062768B" w:rsidRDefault="00136729">
            <w:pPr>
              <w:widowControl/>
              <w:adjustRightInd/>
              <w:spacing w:line="240" w:lineRule="exact"/>
              <w:textAlignment w:val="auto"/>
              <w:rPr>
                <w:rFonts w:ascii="Arial" w:eastAsia="仿宋" w:hAnsi="Arial" w:cs="Arial"/>
                <w:snapToGrid w:val="0"/>
                <w:sz w:val="20"/>
                <w:szCs w:val="21"/>
              </w:rPr>
            </w:pPr>
            <w:r>
              <w:rPr>
                <w:rFonts w:ascii="Arial" w:eastAsia="仿宋" w:hAnsi="Arial" w:cs="Arial"/>
                <w:snapToGrid w:val="0"/>
                <w:sz w:val="20"/>
                <w:szCs w:val="21"/>
              </w:rPr>
              <w:t>公共配套设施</w:t>
            </w:r>
          </w:p>
        </w:tc>
        <w:tc>
          <w:tcPr>
            <w:tcW w:w="1131" w:type="pct"/>
            <w:tcBorders>
              <w:top w:val="nil"/>
              <w:left w:val="nil"/>
              <w:bottom w:val="single" w:sz="4" w:space="0" w:color="auto"/>
              <w:right w:val="single" w:sz="4" w:space="0" w:color="auto"/>
            </w:tcBorders>
            <w:noWrap/>
            <w:vAlign w:val="center"/>
          </w:tcPr>
          <w:p w14:paraId="46D500A7"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nil"/>
              <w:left w:val="nil"/>
              <w:bottom w:val="single" w:sz="4" w:space="0" w:color="auto"/>
              <w:right w:val="single" w:sz="4" w:space="0" w:color="auto"/>
            </w:tcBorders>
            <w:noWrap/>
            <w:vAlign w:val="center"/>
          </w:tcPr>
          <w:p w14:paraId="7486E513"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100/102</w:t>
            </w:r>
          </w:p>
        </w:tc>
        <w:tc>
          <w:tcPr>
            <w:tcW w:w="1131" w:type="pct"/>
            <w:tcBorders>
              <w:top w:val="nil"/>
              <w:left w:val="nil"/>
              <w:bottom w:val="single" w:sz="4" w:space="0" w:color="auto"/>
              <w:right w:val="single" w:sz="4" w:space="0" w:color="auto"/>
            </w:tcBorders>
            <w:noWrap/>
            <w:vAlign w:val="center"/>
          </w:tcPr>
          <w:p w14:paraId="760F0502"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r>
      <w:tr w:rsidR="0062768B" w14:paraId="611B6AE9" w14:textId="77777777">
        <w:trPr>
          <w:trHeight w:val="280"/>
          <w:jc w:val="center"/>
        </w:trPr>
        <w:tc>
          <w:tcPr>
            <w:tcW w:w="626" w:type="pct"/>
            <w:vMerge/>
            <w:tcBorders>
              <w:top w:val="single" w:sz="4" w:space="0" w:color="auto"/>
              <w:left w:val="single" w:sz="4" w:space="0" w:color="auto"/>
              <w:bottom w:val="single" w:sz="4" w:space="0" w:color="000000"/>
              <w:right w:val="single" w:sz="4" w:space="0" w:color="auto"/>
            </w:tcBorders>
            <w:vAlign w:val="center"/>
          </w:tcPr>
          <w:p w14:paraId="688D2A74" w14:textId="77777777" w:rsidR="0062768B" w:rsidRDefault="0062768B">
            <w:pPr>
              <w:widowControl/>
              <w:adjustRightInd/>
              <w:spacing w:line="240" w:lineRule="exact"/>
              <w:textAlignment w:val="auto"/>
              <w:rPr>
                <w:rFonts w:ascii="Arial" w:eastAsia="仿宋" w:hAnsi="Arial" w:cs="Arial"/>
                <w:snapToGrid w:val="0"/>
                <w:sz w:val="20"/>
                <w:szCs w:val="21"/>
              </w:rPr>
            </w:pPr>
          </w:p>
        </w:tc>
        <w:tc>
          <w:tcPr>
            <w:tcW w:w="980" w:type="pct"/>
            <w:tcBorders>
              <w:top w:val="nil"/>
              <w:left w:val="nil"/>
              <w:bottom w:val="single" w:sz="4" w:space="0" w:color="auto"/>
              <w:right w:val="single" w:sz="4" w:space="0" w:color="auto"/>
            </w:tcBorders>
            <w:noWrap/>
            <w:vAlign w:val="center"/>
          </w:tcPr>
          <w:p w14:paraId="0AA2821B" w14:textId="77777777" w:rsidR="0062768B" w:rsidRDefault="00136729">
            <w:pPr>
              <w:widowControl/>
              <w:adjustRightInd/>
              <w:spacing w:line="240" w:lineRule="exact"/>
              <w:textAlignment w:val="auto"/>
              <w:rPr>
                <w:rFonts w:ascii="Arial" w:eastAsia="仿宋" w:hAnsi="Arial" w:cs="Arial"/>
                <w:snapToGrid w:val="0"/>
                <w:sz w:val="20"/>
                <w:szCs w:val="21"/>
              </w:rPr>
            </w:pPr>
            <w:r>
              <w:rPr>
                <w:rFonts w:ascii="Arial" w:eastAsia="仿宋" w:hAnsi="Arial" w:cs="Arial"/>
                <w:snapToGrid w:val="0"/>
                <w:sz w:val="20"/>
                <w:szCs w:val="21"/>
              </w:rPr>
              <w:t>基础设施水平</w:t>
            </w:r>
          </w:p>
        </w:tc>
        <w:tc>
          <w:tcPr>
            <w:tcW w:w="1131" w:type="pct"/>
            <w:tcBorders>
              <w:top w:val="nil"/>
              <w:left w:val="nil"/>
              <w:bottom w:val="single" w:sz="4" w:space="0" w:color="auto"/>
              <w:right w:val="single" w:sz="4" w:space="0" w:color="auto"/>
            </w:tcBorders>
            <w:noWrap/>
            <w:vAlign w:val="center"/>
          </w:tcPr>
          <w:p w14:paraId="1765F0BF"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nil"/>
              <w:left w:val="nil"/>
              <w:bottom w:val="single" w:sz="4" w:space="0" w:color="auto"/>
              <w:right w:val="single" w:sz="4" w:space="0" w:color="auto"/>
            </w:tcBorders>
            <w:noWrap/>
            <w:vAlign w:val="center"/>
          </w:tcPr>
          <w:p w14:paraId="3CD185EF"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nil"/>
              <w:left w:val="nil"/>
              <w:bottom w:val="single" w:sz="4" w:space="0" w:color="auto"/>
              <w:right w:val="single" w:sz="4" w:space="0" w:color="auto"/>
            </w:tcBorders>
            <w:noWrap/>
            <w:vAlign w:val="center"/>
          </w:tcPr>
          <w:p w14:paraId="4D0C04A7"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r>
      <w:tr w:rsidR="0062768B" w14:paraId="1CEE5720" w14:textId="77777777">
        <w:trPr>
          <w:trHeight w:val="280"/>
          <w:jc w:val="center"/>
        </w:trPr>
        <w:tc>
          <w:tcPr>
            <w:tcW w:w="626" w:type="pct"/>
            <w:vMerge/>
            <w:tcBorders>
              <w:top w:val="single" w:sz="4" w:space="0" w:color="auto"/>
              <w:left w:val="single" w:sz="4" w:space="0" w:color="auto"/>
              <w:bottom w:val="single" w:sz="4" w:space="0" w:color="000000"/>
              <w:right w:val="single" w:sz="4" w:space="0" w:color="auto"/>
            </w:tcBorders>
            <w:vAlign w:val="center"/>
          </w:tcPr>
          <w:p w14:paraId="73E14A3A" w14:textId="77777777" w:rsidR="0062768B" w:rsidRDefault="0062768B">
            <w:pPr>
              <w:widowControl/>
              <w:adjustRightInd/>
              <w:spacing w:line="240" w:lineRule="exact"/>
              <w:textAlignment w:val="auto"/>
              <w:rPr>
                <w:rFonts w:ascii="Arial" w:eastAsia="仿宋" w:hAnsi="Arial" w:cs="Arial"/>
                <w:snapToGrid w:val="0"/>
                <w:sz w:val="20"/>
                <w:szCs w:val="21"/>
              </w:rPr>
            </w:pPr>
          </w:p>
        </w:tc>
        <w:tc>
          <w:tcPr>
            <w:tcW w:w="980" w:type="pct"/>
            <w:tcBorders>
              <w:top w:val="nil"/>
              <w:left w:val="nil"/>
              <w:bottom w:val="single" w:sz="4" w:space="0" w:color="auto"/>
              <w:right w:val="single" w:sz="4" w:space="0" w:color="auto"/>
            </w:tcBorders>
            <w:noWrap/>
            <w:vAlign w:val="center"/>
          </w:tcPr>
          <w:p w14:paraId="24E98E41" w14:textId="77777777" w:rsidR="0062768B" w:rsidRDefault="00136729">
            <w:pPr>
              <w:widowControl/>
              <w:adjustRightInd/>
              <w:spacing w:line="240" w:lineRule="exact"/>
              <w:textAlignment w:val="auto"/>
              <w:rPr>
                <w:rFonts w:ascii="Arial" w:eastAsia="仿宋" w:hAnsi="Arial" w:cs="Arial"/>
                <w:snapToGrid w:val="0"/>
                <w:sz w:val="20"/>
                <w:szCs w:val="21"/>
              </w:rPr>
            </w:pPr>
            <w:r>
              <w:rPr>
                <w:rFonts w:ascii="Arial" w:eastAsia="仿宋" w:hAnsi="Arial" w:cs="Arial"/>
                <w:snapToGrid w:val="0"/>
                <w:sz w:val="20"/>
                <w:szCs w:val="21"/>
              </w:rPr>
              <w:t>自然及人文环境</w:t>
            </w:r>
          </w:p>
        </w:tc>
        <w:tc>
          <w:tcPr>
            <w:tcW w:w="1131" w:type="pct"/>
            <w:tcBorders>
              <w:top w:val="nil"/>
              <w:left w:val="nil"/>
              <w:bottom w:val="single" w:sz="4" w:space="0" w:color="auto"/>
              <w:right w:val="single" w:sz="4" w:space="0" w:color="auto"/>
            </w:tcBorders>
            <w:noWrap/>
            <w:vAlign w:val="center"/>
          </w:tcPr>
          <w:p w14:paraId="2F031EC5"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nil"/>
              <w:left w:val="nil"/>
              <w:bottom w:val="single" w:sz="4" w:space="0" w:color="auto"/>
              <w:right w:val="single" w:sz="4" w:space="0" w:color="auto"/>
            </w:tcBorders>
            <w:noWrap/>
            <w:vAlign w:val="center"/>
          </w:tcPr>
          <w:p w14:paraId="25C0262A"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100/101</w:t>
            </w:r>
          </w:p>
        </w:tc>
        <w:tc>
          <w:tcPr>
            <w:tcW w:w="1131" w:type="pct"/>
            <w:tcBorders>
              <w:top w:val="nil"/>
              <w:left w:val="nil"/>
              <w:bottom w:val="single" w:sz="4" w:space="0" w:color="auto"/>
              <w:right w:val="single" w:sz="4" w:space="0" w:color="auto"/>
            </w:tcBorders>
            <w:noWrap/>
            <w:vAlign w:val="center"/>
          </w:tcPr>
          <w:p w14:paraId="5784CE62"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r>
      <w:tr w:rsidR="0062768B" w14:paraId="76F4798A" w14:textId="77777777">
        <w:trPr>
          <w:trHeight w:val="412"/>
          <w:jc w:val="center"/>
        </w:trPr>
        <w:tc>
          <w:tcPr>
            <w:tcW w:w="626" w:type="pct"/>
            <w:vMerge w:val="restart"/>
            <w:tcBorders>
              <w:top w:val="nil"/>
              <w:left w:val="single" w:sz="4" w:space="0" w:color="auto"/>
              <w:bottom w:val="single" w:sz="4" w:space="0" w:color="000000"/>
              <w:right w:val="single" w:sz="4" w:space="0" w:color="auto"/>
            </w:tcBorders>
            <w:noWrap/>
            <w:vAlign w:val="center"/>
          </w:tcPr>
          <w:p w14:paraId="7E913213" w14:textId="77777777" w:rsidR="0062768B" w:rsidRDefault="00136729">
            <w:pPr>
              <w:widowControl/>
              <w:adjustRightInd/>
              <w:spacing w:line="240" w:lineRule="exact"/>
              <w:jc w:val="center"/>
              <w:textAlignment w:val="auto"/>
              <w:rPr>
                <w:rFonts w:ascii="Arial" w:eastAsia="仿宋" w:hAnsi="Arial" w:cs="Arial"/>
                <w:snapToGrid w:val="0"/>
                <w:sz w:val="20"/>
                <w:szCs w:val="21"/>
              </w:rPr>
            </w:pPr>
            <w:r>
              <w:rPr>
                <w:rFonts w:ascii="Arial" w:eastAsia="仿宋" w:hAnsi="Arial" w:cs="Arial"/>
                <w:snapToGrid w:val="0"/>
                <w:sz w:val="20"/>
                <w:szCs w:val="21"/>
              </w:rPr>
              <w:t>个别因素</w:t>
            </w:r>
          </w:p>
        </w:tc>
        <w:tc>
          <w:tcPr>
            <w:tcW w:w="980" w:type="pct"/>
            <w:tcBorders>
              <w:top w:val="single" w:sz="4" w:space="0" w:color="auto"/>
              <w:left w:val="nil"/>
              <w:bottom w:val="single" w:sz="4" w:space="0" w:color="auto"/>
              <w:right w:val="single" w:sz="4" w:space="0" w:color="auto"/>
            </w:tcBorders>
            <w:noWrap/>
            <w:vAlign w:val="center"/>
          </w:tcPr>
          <w:p w14:paraId="233AFFBC" w14:textId="77777777" w:rsidR="0062768B" w:rsidRDefault="00136729">
            <w:pPr>
              <w:spacing w:line="240" w:lineRule="exact"/>
              <w:rPr>
                <w:rFonts w:ascii="Arial" w:eastAsia="仿宋" w:hAnsi="Arial" w:cs="Arial"/>
                <w:snapToGrid w:val="0"/>
                <w:sz w:val="20"/>
                <w:szCs w:val="21"/>
              </w:rPr>
            </w:pPr>
            <w:r>
              <w:rPr>
                <w:rFonts w:ascii="Arial" w:eastAsia="仿宋" w:hAnsi="Arial" w:cs="Arial"/>
                <w:snapToGrid w:val="0"/>
                <w:sz w:val="20"/>
                <w:szCs w:val="21"/>
              </w:rPr>
              <w:t>项目建筑规模</w:t>
            </w:r>
          </w:p>
        </w:tc>
        <w:tc>
          <w:tcPr>
            <w:tcW w:w="1131" w:type="pct"/>
            <w:tcBorders>
              <w:top w:val="single" w:sz="4" w:space="0" w:color="auto"/>
              <w:left w:val="nil"/>
              <w:bottom w:val="single" w:sz="4" w:space="0" w:color="auto"/>
              <w:right w:val="single" w:sz="4" w:space="0" w:color="auto"/>
            </w:tcBorders>
            <w:noWrap/>
            <w:vAlign w:val="center"/>
          </w:tcPr>
          <w:p w14:paraId="29719A74"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single" w:sz="4" w:space="0" w:color="auto"/>
              <w:left w:val="nil"/>
              <w:bottom w:val="single" w:sz="4" w:space="0" w:color="auto"/>
              <w:right w:val="single" w:sz="4" w:space="0" w:color="auto"/>
            </w:tcBorders>
            <w:noWrap/>
            <w:vAlign w:val="center"/>
          </w:tcPr>
          <w:p w14:paraId="063F0EBD"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100/96</w:t>
            </w:r>
          </w:p>
        </w:tc>
        <w:tc>
          <w:tcPr>
            <w:tcW w:w="1131" w:type="pct"/>
            <w:tcBorders>
              <w:top w:val="single" w:sz="4" w:space="0" w:color="auto"/>
              <w:left w:val="nil"/>
              <w:bottom w:val="single" w:sz="4" w:space="0" w:color="auto"/>
              <w:right w:val="single" w:sz="4" w:space="0" w:color="auto"/>
            </w:tcBorders>
            <w:noWrap/>
            <w:vAlign w:val="center"/>
          </w:tcPr>
          <w:p w14:paraId="3C251DC9"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r>
      <w:tr w:rsidR="0062768B" w14:paraId="6323FCF4" w14:textId="77777777">
        <w:trPr>
          <w:trHeight w:val="280"/>
          <w:jc w:val="center"/>
        </w:trPr>
        <w:tc>
          <w:tcPr>
            <w:tcW w:w="626" w:type="pct"/>
            <w:vMerge/>
            <w:tcBorders>
              <w:top w:val="nil"/>
              <w:left w:val="single" w:sz="4" w:space="0" w:color="auto"/>
              <w:bottom w:val="single" w:sz="4" w:space="0" w:color="000000"/>
              <w:right w:val="single" w:sz="4" w:space="0" w:color="auto"/>
            </w:tcBorders>
            <w:vAlign w:val="center"/>
          </w:tcPr>
          <w:p w14:paraId="1BE794F4" w14:textId="77777777" w:rsidR="0062768B" w:rsidRDefault="0062768B">
            <w:pPr>
              <w:widowControl/>
              <w:adjustRightInd/>
              <w:spacing w:line="240" w:lineRule="exact"/>
              <w:textAlignment w:val="auto"/>
              <w:rPr>
                <w:rFonts w:ascii="Arial" w:eastAsia="仿宋" w:hAnsi="Arial" w:cs="Arial"/>
                <w:snapToGrid w:val="0"/>
                <w:sz w:val="20"/>
                <w:szCs w:val="21"/>
              </w:rPr>
            </w:pPr>
          </w:p>
        </w:tc>
        <w:tc>
          <w:tcPr>
            <w:tcW w:w="980" w:type="pct"/>
            <w:tcBorders>
              <w:top w:val="single" w:sz="4" w:space="0" w:color="auto"/>
              <w:left w:val="nil"/>
              <w:bottom w:val="single" w:sz="4" w:space="0" w:color="auto"/>
              <w:right w:val="single" w:sz="4" w:space="0" w:color="auto"/>
            </w:tcBorders>
            <w:noWrap/>
            <w:vAlign w:val="center"/>
          </w:tcPr>
          <w:p w14:paraId="1E4A04D2" w14:textId="77777777" w:rsidR="0062768B" w:rsidRDefault="00136729">
            <w:pPr>
              <w:widowControl/>
              <w:adjustRightInd/>
              <w:spacing w:line="240" w:lineRule="exact"/>
              <w:textAlignment w:val="auto"/>
              <w:rPr>
                <w:rFonts w:ascii="Arial" w:eastAsia="仿宋" w:hAnsi="Arial" w:cs="Arial"/>
                <w:snapToGrid w:val="0"/>
                <w:sz w:val="20"/>
                <w:szCs w:val="21"/>
              </w:rPr>
            </w:pPr>
            <w:r>
              <w:rPr>
                <w:rFonts w:ascii="Arial" w:eastAsia="仿宋" w:hAnsi="Arial" w:cs="Arial"/>
                <w:snapToGrid w:val="0"/>
                <w:sz w:val="20"/>
                <w:szCs w:val="21"/>
              </w:rPr>
              <w:t>建筑结构</w:t>
            </w:r>
          </w:p>
        </w:tc>
        <w:tc>
          <w:tcPr>
            <w:tcW w:w="1131" w:type="pct"/>
            <w:tcBorders>
              <w:top w:val="single" w:sz="4" w:space="0" w:color="auto"/>
              <w:left w:val="nil"/>
              <w:bottom w:val="single" w:sz="4" w:space="0" w:color="auto"/>
              <w:right w:val="single" w:sz="4" w:space="0" w:color="auto"/>
            </w:tcBorders>
            <w:noWrap/>
            <w:vAlign w:val="center"/>
          </w:tcPr>
          <w:p w14:paraId="18A7BE43"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single" w:sz="4" w:space="0" w:color="auto"/>
              <w:left w:val="nil"/>
              <w:bottom w:val="single" w:sz="4" w:space="0" w:color="auto"/>
              <w:right w:val="single" w:sz="4" w:space="0" w:color="auto"/>
            </w:tcBorders>
            <w:noWrap/>
            <w:vAlign w:val="center"/>
          </w:tcPr>
          <w:p w14:paraId="763ADF3D"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single" w:sz="4" w:space="0" w:color="auto"/>
              <w:left w:val="nil"/>
              <w:bottom w:val="single" w:sz="4" w:space="0" w:color="auto"/>
              <w:right w:val="single" w:sz="4" w:space="0" w:color="auto"/>
            </w:tcBorders>
            <w:noWrap/>
            <w:vAlign w:val="center"/>
          </w:tcPr>
          <w:p w14:paraId="4B930B44"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r>
      <w:tr w:rsidR="0062768B" w14:paraId="18FE1D14" w14:textId="77777777">
        <w:trPr>
          <w:trHeight w:val="280"/>
          <w:jc w:val="center"/>
        </w:trPr>
        <w:tc>
          <w:tcPr>
            <w:tcW w:w="626" w:type="pct"/>
            <w:vMerge/>
            <w:tcBorders>
              <w:top w:val="nil"/>
              <w:left w:val="single" w:sz="4" w:space="0" w:color="auto"/>
              <w:bottom w:val="single" w:sz="4" w:space="0" w:color="000000"/>
              <w:right w:val="single" w:sz="4" w:space="0" w:color="auto"/>
            </w:tcBorders>
            <w:vAlign w:val="center"/>
          </w:tcPr>
          <w:p w14:paraId="76AC00E4" w14:textId="77777777" w:rsidR="0062768B" w:rsidRDefault="0062768B">
            <w:pPr>
              <w:widowControl/>
              <w:adjustRightInd/>
              <w:spacing w:line="240" w:lineRule="exact"/>
              <w:textAlignment w:val="auto"/>
              <w:rPr>
                <w:rFonts w:ascii="Arial" w:eastAsia="仿宋" w:hAnsi="Arial" w:cs="Arial"/>
                <w:snapToGrid w:val="0"/>
                <w:sz w:val="20"/>
                <w:szCs w:val="21"/>
              </w:rPr>
            </w:pPr>
          </w:p>
        </w:tc>
        <w:tc>
          <w:tcPr>
            <w:tcW w:w="980" w:type="pct"/>
            <w:tcBorders>
              <w:top w:val="nil"/>
              <w:left w:val="nil"/>
              <w:bottom w:val="single" w:sz="4" w:space="0" w:color="auto"/>
              <w:right w:val="single" w:sz="4" w:space="0" w:color="auto"/>
            </w:tcBorders>
            <w:noWrap/>
            <w:vAlign w:val="center"/>
          </w:tcPr>
          <w:p w14:paraId="3FAB2C61" w14:textId="77777777" w:rsidR="0062768B" w:rsidRDefault="00136729">
            <w:pPr>
              <w:widowControl/>
              <w:adjustRightInd/>
              <w:spacing w:line="240" w:lineRule="exact"/>
              <w:textAlignment w:val="auto"/>
              <w:rPr>
                <w:rFonts w:ascii="Arial" w:eastAsia="仿宋" w:hAnsi="Arial" w:cs="Arial"/>
                <w:snapToGrid w:val="0"/>
                <w:sz w:val="20"/>
                <w:szCs w:val="21"/>
              </w:rPr>
            </w:pPr>
            <w:r>
              <w:rPr>
                <w:rFonts w:ascii="Arial" w:eastAsia="仿宋" w:hAnsi="Arial" w:cs="Arial"/>
                <w:snapToGrid w:val="0"/>
                <w:sz w:val="20"/>
                <w:szCs w:val="21"/>
              </w:rPr>
              <w:t>公共部分装修</w:t>
            </w:r>
          </w:p>
        </w:tc>
        <w:tc>
          <w:tcPr>
            <w:tcW w:w="1131" w:type="pct"/>
            <w:tcBorders>
              <w:top w:val="nil"/>
              <w:left w:val="nil"/>
              <w:bottom w:val="single" w:sz="4" w:space="0" w:color="auto"/>
              <w:right w:val="single" w:sz="4" w:space="0" w:color="auto"/>
            </w:tcBorders>
            <w:noWrap/>
            <w:vAlign w:val="center"/>
          </w:tcPr>
          <w:p w14:paraId="24D26154"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nil"/>
              <w:left w:val="nil"/>
              <w:bottom w:val="single" w:sz="4" w:space="0" w:color="auto"/>
              <w:right w:val="single" w:sz="4" w:space="0" w:color="auto"/>
            </w:tcBorders>
            <w:noWrap/>
            <w:vAlign w:val="center"/>
          </w:tcPr>
          <w:p w14:paraId="35EC900F"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nil"/>
              <w:left w:val="nil"/>
              <w:bottom w:val="single" w:sz="4" w:space="0" w:color="auto"/>
              <w:right w:val="single" w:sz="4" w:space="0" w:color="auto"/>
            </w:tcBorders>
            <w:noWrap/>
            <w:vAlign w:val="center"/>
          </w:tcPr>
          <w:p w14:paraId="4F5F604C"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r>
      <w:tr w:rsidR="0062768B" w14:paraId="1DEE5773" w14:textId="77777777">
        <w:trPr>
          <w:trHeight w:val="280"/>
          <w:jc w:val="center"/>
        </w:trPr>
        <w:tc>
          <w:tcPr>
            <w:tcW w:w="626" w:type="pct"/>
            <w:vMerge/>
            <w:tcBorders>
              <w:top w:val="nil"/>
              <w:left w:val="single" w:sz="4" w:space="0" w:color="auto"/>
              <w:bottom w:val="single" w:sz="4" w:space="0" w:color="000000"/>
              <w:right w:val="single" w:sz="4" w:space="0" w:color="auto"/>
            </w:tcBorders>
            <w:vAlign w:val="center"/>
          </w:tcPr>
          <w:p w14:paraId="67AE3718" w14:textId="77777777" w:rsidR="0062768B" w:rsidRDefault="0062768B">
            <w:pPr>
              <w:widowControl/>
              <w:adjustRightInd/>
              <w:spacing w:line="240" w:lineRule="exact"/>
              <w:textAlignment w:val="auto"/>
              <w:rPr>
                <w:rFonts w:ascii="Arial" w:eastAsia="仿宋" w:hAnsi="Arial" w:cs="Arial"/>
                <w:snapToGrid w:val="0"/>
                <w:sz w:val="20"/>
                <w:szCs w:val="21"/>
              </w:rPr>
            </w:pPr>
          </w:p>
        </w:tc>
        <w:tc>
          <w:tcPr>
            <w:tcW w:w="980" w:type="pct"/>
            <w:tcBorders>
              <w:top w:val="nil"/>
              <w:left w:val="nil"/>
              <w:bottom w:val="single" w:sz="4" w:space="0" w:color="auto"/>
              <w:right w:val="single" w:sz="4" w:space="0" w:color="auto"/>
            </w:tcBorders>
            <w:noWrap/>
            <w:vAlign w:val="center"/>
          </w:tcPr>
          <w:p w14:paraId="218481B7" w14:textId="77777777" w:rsidR="0062768B" w:rsidRDefault="00136729">
            <w:pPr>
              <w:widowControl/>
              <w:adjustRightInd/>
              <w:spacing w:line="240" w:lineRule="exact"/>
              <w:textAlignment w:val="auto"/>
              <w:rPr>
                <w:rFonts w:ascii="Arial" w:eastAsia="仿宋" w:hAnsi="Arial" w:cs="Arial"/>
                <w:snapToGrid w:val="0"/>
                <w:sz w:val="20"/>
                <w:szCs w:val="21"/>
              </w:rPr>
            </w:pPr>
            <w:r>
              <w:rPr>
                <w:rFonts w:ascii="Arial" w:eastAsia="仿宋" w:hAnsi="Arial" w:cs="Arial"/>
                <w:snapToGrid w:val="0"/>
                <w:sz w:val="20"/>
                <w:szCs w:val="21"/>
              </w:rPr>
              <w:t>成新度</w:t>
            </w:r>
          </w:p>
        </w:tc>
        <w:tc>
          <w:tcPr>
            <w:tcW w:w="1131" w:type="pct"/>
            <w:tcBorders>
              <w:top w:val="nil"/>
              <w:left w:val="nil"/>
              <w:bottom w:val="single" w:sz="4" w:space="0" w:color="auto"/>
              <w:right w:val="single" w:sz="4" w:space="0" w:color="auto"/>
            </w:tcBorders>
            <w:noWrap/>
            <w:vAlign w:val="center"/>
          </w:tcPr>
          <w:p w14:paraId="737115D4"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100/99</w:t>
            </w:r>
          </w:p>
        </w:tc>
        <w:tc>
          <w:tcPr>
            <w:tcW w:w="1131" w:type="pct"/>
            <w:tcBorders>
              <w:top w:val="nil"/>
              <w:left w:val="nil"/>
              <w:bottom w:val="single" w:sz="4" w:space="0" w:color="auto"/>
              <w:right w:val="single" w:sz="4" w:space="0" w:color="auto"/>
            </w:tcBorders>
            <w:noWrap/>
            <w:vAlign w:val="center"/>
          </w:tcPr>
          <w:p w14:paraId="545F69BD"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100/99</w:t>
            </w:r>
          </w:p>
        </w:tc>
        <w:tc>
          <w:tcPr>
            <w:tcW w:w="1131" w:type="pct"/>
            <w:tcBorders>
              <w:top w:val="nil"/>
              <w:left w:val="nil"/>
              <w:bottom w:val="single" w:sz="4" w:space="0" w:color="auto"/>
              <w:right w:val="single" w:sz="4" w:space="0" w:color="auto"/>
            </w:tcBorders>
            <w:noWrap/>
            <w:vAlign w:val="center"/>
          </w:tcPr>
          <w:p w14:paraId="6B685E16"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100/99</w:t>
            </w:r>
          </w:p>
        </w:tc>
      </w:tr>
      <w:tr w:rsidR="0062768B" w14:paraId="6DBB5DCC" w14:textId="77777777">
        <w:trPr>
          <w:trHeight w:val="280"/>
          <w:jc w:val="center"/>
        </w:trPr>
        <w:tc>
          <w:tcPr>
            <w:tcW w:w="626" w:type="pct"/>
            <w:vMerge/>
            <w:tcBorders>
              <w:top w:val="nil"/>
              <w:left w:val="single" w:sz="4" w:space="0" w:color="auto"/>
              <w:bottom w:val="single" w:sz="4" w:space="0" w:color="000000"/>
              <w:right w:val="single" w:sz="4" w:space="0" w:color="auto"/>
            </w:tcBorders>
            <w:vAlign w:val="center"/>
          </w:tcPr>
          <w:p w14:paraId="5B9D8827" w14:textId="77777777" w:rsidR="0062768B" w:rsidRDefault="0062768B">
            <w:pPr>
              <w:widowControl/>
              <w:adjustRightInd/>
              <w:spacing w:line="240" w:lineRule="exact"/>
              <w:textAlignment w:val="auto"/>
              <w:rPr>
                <w:rFonts w:ascii="Arial" w:eastAsia="仿宋" w:hAnsi="Arial" w:cs="Arial"/>
                <w:snapToGrid w:val="0"/>
                <w:sz w:val="20"/>
                <w:szCs w:val="21"/>
              </w:rPr>
            </w:pPr>
          </w:p>
        </w:tc>
        <w:tc>
          <w:tcPr>
            <w:tcW w:w="980" w:type="pct"/>
            <w:tcBorders>
              <w:top w:val="nil"/>
              <w:left w:val="nil"/>
              <w:bottom w:val="single" w:sz="4" w:space="0" w:color="auto"/>
              <w:right w:val="single" w:sz="4" w:space="0" w:color="auto"/>
            </w:tcBorders>
            <w:noWrap/>
            <w:vAlign w:val="center"/>
          </w:tcPr>
          <w:p w14:paraId="457D34E8" w14:textId="77777777" w:rsidR="0062768B" w:rsidRDefault="00136729">
            <w:pPr>
              <w:widowControl/>
              <w:adjustRightInd/>
              <w:spacing w:line="240" w:lineRule="exact"/>
              <w:textAlignment w:val="auto"/>
              <w:rPr>
                <w:rFonts w:ascii="Arial" w:eastAsia="仿宋" w:hAnsi="Arial" w:cs="Arial"/>
                <w:snapToGrid w:val="0"/>
                <w:sz w:val="20"/>
                <w:szCs w:val="21"/>
              </w:rPr>
            </w:pPr>
            <w:r>
              <w:rPr>
                <w:rFonts w:ascii="Arial" w:eastAsia="仿宋" w:hAnsi="Arial" w:cs="Arial"/>
                <w:snapToGrid w:val="0"/>
                <w:sz w:val="20"/>
                <w:szCs w:val="21"/>
              </w:rPr>
              <w:t>层高</w:t>
            </w:r>
          </w:p>
        </w:tc>
        <w:tc>
          <w:tcPr>
            <w:tcW w:w="1131" w:type="pct"/>
            <w:tcBorders>
              <w:top w:val="nil"/>
              <w:left w:val="nil"/>
              <w:bottom w:val="single" w:sz="4" w:space="0" w:color="auto"/>
              <w:right w:val="single" w:sz="4" w:space="0" w:color="auto"/>
            </w:tcBorders>
            <w:noWrap/>
            <w:vAlign w:val="center"/>
          </w:tcPr>
          <w:p w14:paraId="6F6381F8"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nil"/>
              <w:left w:val="nil"/>
              <w:bottom w:val="single" w:sz="4" w:space="0" w:color="auto"/>
              <w:right w:val="single" w:sz="4" w:space="0" w:color="auto"/>
            </w:tcBorders>
            <w:noWrap/>
            <w:vAlign w:val="center"/>
          </w:tcPr>
          <w:p w14:paraId="577DF131"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nil"/>
              <w:left w:val="nil"/>
              <w:bottom w:val="single" w:sz="4" w:space="0" w:color="auto"/>
              <w:right w:val="single" w:sz="4" w:space="0" w:color="auto"/>
            </w:tcBorders>
            <w:noWrap/>
            <w:vAlign w:val="center"/>
          </w:tcPr>
          <w:p w14:paraId="159AC66F"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r>
      <w:tr w:rsidR="0062768B" w14:paraId="41C34687" w14:textId="77777777">
        <w:trPr>
          <w:trHeight w:val="280"/>
          <w:jc w:val="center"/>
        </w:trPr>
        <w:tc>
          <w:tcPr>
            <w:tcW w:w="1606" w:type="pct"/>
            <w:gridSpan w:val="2"/>
            <w:tcBorders>
              <w:top w:val="nil"/>
              <w:left w:val="single" w:sz="4" w:space="0" w:color="auto"/>
              <w:bottom w:val="single" w:sz="4" w:space="0" w:color="auto"/>
              <w:right w:val="single" w:sz="4" w:space="0" w:color="auto"/>
            </w:tcBorders>
            <w:noWrap/>
            <w:vAlign w:val="bottom"/>
          </w:tcPr>
          <w:p w14:paraId="480A5445" w14:textId="77777777" w:rsidR="0062768B" w:rsidRDefault="00136729">
            <w:pPr>
              <w:widowControl/>
              <w:adjustRightInd/>
              <w:spacing w:line="240" w:lineRule="exact"/>
              <w:textAlignment w:val="auto"/>
              <w:rPr>
                <w:rFonts w:ascii="Arial" w:eastAsia="仿宋" w:hAnsi="Arial" w:cs="Arial"/>
                <w:snapToGrid w:val="0"/>
                <w:sz w:val="20"/>
                <w:szCs w:val="21"/>
              </w:rPr>
            </w:pPr>
            <w:r>
              <w:rPr>
                <w:rFonts w:ascii="Arial" w:eastAsia="仿宋" w:hAnsi="Arial" w:cs="Arial"/>
                <w:snapToGrid w:val="0"/>
                <w:sz w:val="20"/>
                <w:szCs w:val="21"/>
              </w:rPr>
              <w:t>成交单价（元</w:t>
            </w:r>
            <w:r>
              <w:rPr>
                <w:rFonts w:ascii="Arial" w:eastAsia="仿宋" w:hAnsi="Arial" w:cs="Arial"/>
                <w:snapToGrid w:val="0"/>
                <w:sz w:val="20"/>
                <w:szCs w:val="21"/>
              </w:rPr>
              <w:t>/</w:t>
            </w:r>
            <w:r>
              <w:rPr>
                <w:rFonts w:ascii="Arial" w:eastAsia="仿宋" w:hAnsi="Arial" w:cs="Arial"/>
                <w:snapToGrid w:val="0"/>
                <w:sz w:val="20"/>
                <w:szCs w:val="21"/>
              </w:rPr>
              <w:t>平方米</w:t>
            </w:r>
            <w:r>
              <w:rPr>
                <w:rFonts w:ascii="Arial" w:eastAsia="微软雅黑" w:hAnsi="Arial" w:cs="Arial"/>
                <w:snapToGrid w:val="0"/>
                <w:sz w:val="20"/>
                <w:szCs w:val="21"/>
              </w:rPr>
              <w:t>•</w:t>
            </w:r>
            <w:r>
              <w:rPr>
                <w:rFonts w:ascii="Arial" w:eastAsia="仿宋" w:hAnsi="Arial" w:cs="Arial"/>
                <w:snapToGrid w:val="0"/>
                <w:sz w:val="20"/>
                <w:szCs w:val="21"/>
              </w:rPr>
              <w:t>天）</w:t>
            </w:r>
          </w:p>
        </w:tc>
        <w:tc>
          <w:tcPr>
            <w:tcW w:w="1131" w:type="pct"/>
            <w:tcBorders>
              <w:top w:val="nil"/>
              <w:left w:val="nil"/>
              <w:bottom w:val="single" w:sz="4" w:space="0" w:color="auto"/>
              <w:right w:val="single" w:sz="4" w:space="0" w:color="auto"/>
            </w:tcBorders>
            <w:noWrap/>
            <w:vAlign w:val="center"/>
          </w:tcPr>
          <w:p w14:paraId="4F4FA9F7"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2.8</w:t>
            </w:r>
          </w:p>
        </w:tc>
        <w:tc>
          <w:tcPr>
            <w:tcW w:w="1131" w:type="pct"/>
            <w:tcBorders>
              <w:top w:val="nil"/>
              <w:left w:val="nil"/>
              <w:bottom w:val="single" w:sz="4" w:space="0" w:color="auto"/>
              <w:right w:val="single" w:sz="4" w:space="0" w:color="auto"/>
            </w:tcBorders>
            <w:noWrap/>
            <w:vAlign w:val="center"/>
          </w:tcPr>
          <w:p w14:paraId="3E384CD6"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3</w:t>
            </w:r>
          </w:p>
        </w:tc>
        <w:tc>
          <w:tcPr>
            <w:tcW w:w="1131" w:type="pct"/>
            <w:tcBorders>
              <w:top w:val="nil"/>
              <w:left w:val="nil"/>
              <w:bottom w:val="single" w:sz="4" w:space="0" w:color="auto"/>
              <w:right w:val="single" w:sz="4" w:space="0" w:color="auto"/>
            </w:tcBorders>
            <w:noWrap/>
            <w:vAlign w:val="center"/>
          </w:tcPr>
          <w:p w14:paraId="10E87AFF"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2.9</w:t>
            </w:r>
          </w:p>
        </w:tc>
      </w:tr>
      <w:tr w:rsidR="0062768B" w14:paraId="277C3BD9" w14:textId="77777777">
        <w:trPr>
          <w:trHeight w:val="280"/>
          <w:jc w:val="center"/>
        </w:trPr>
        <w:tc>
          <w:tcPr>
            <w:tcW w:w="1606" w:type="pct"/>
            <w:gridSpan w:val="2"/>
            <w:tcBorders>
              <w:top w:val="nil"/>
              <w:left w:val="single" w:sz="4" w:space="0" w:color="auto"/>
              <w:bottom w:val="single" w:sz="4" w:space="0" w:color="auto"/>
              <w:right w:val="single" w:sz="4" w:space="0" w:color="auto"/>
            </w:tcBorders>
            <w:noWrap/>
            <w:vAlign w:val="bottom"/>
          </w:tcPr>
          <w:p w14:paraId="7B75843A" w14:textId="77777777" w:rsidR="0062768B" w:rsidRDefault="00136729">
            <w:pPr>
              <w:widowControl/>
              <w:adjustRightInd/>
              <w:spacing w:line="240" w:lineRule="exact"/>
              <w:textAlignment w:val="auto"/>
              <w:rPr>
                <w:rFonts w:ascii="Arial" w:eastAsia="仿宋" w:hAnsi="Arial" w:cs="Arial"/>
                <w:snapToGrid w:val="0"/>
                <w:sz w:val="20"/>
                <w:szCs w:val="21"/>
              </w:rPr>
            </w:pPr>
            <w:r>
              <w:rPr>
                <w:rFonts w:ascii="Arial" w:eastAsia="仿宋" w:hAnsi="Arial" w:cs="Arial"/>
                <w:snapToGrid w:val="0"/>
                <w:sz w:val="20"/>
                <w:szCs w:val="21"/>
              </w:rPr>
              <w:t>比较价格（元</w:t>
            </w:r>
            <w:r>
              <w:rPr>
                <w:rFonts w:ascii="Arial" w:eastAsia="仿宋" w:hAnsi="Arial" w:cs="Arial"/>
                <w:snapToGrid w:val="0"/>
                <w:sz w:val="20"/>
                <w:szCs w:val="21"/>
              </w:rPr>
              <w:t>/</w:t>
            </w:r>
            <w:r>
              <w:rPr>
                <w:rFonts w:ascii="Arial" w:eastAsia="仿宋" w:hAnsi="Arial" w:cs="Arial"/>
                <w:snapToGrid w:val="0"/>
                <w:sz w:val="20"/>
                <w:szCs w:val="21"/>
              </w:rPr>
              <w:t>平方米</w:t>
            </w:r>
            <w:r>
              <w:rPr>
                <w:rFonts w:ascii="Arial" w:eastAsia="微软雅黑" w:hAnsi="Arial" w:cs="Arial"/>
                <w:snapToGrid w:val="0"/>
                <w:sz w:val="20"/>
                <w:szCs w:val="21"/>
              </w:rPr>
              <w:t>•</w:t>
            </w:r>
            <w:r>
              <w:rPr>
                <w:rFonts w:ascii="Arial" w:eastAsia="仿宋" w:hAnsi="Arial" w:cs="Arial"/>
                <w:snapToGrid w:val="0"/>
                <w:sz w:val="20"/>
                <w:szCs w:val="21"/>
              </w:rPr>
              <w:t>天）</w:t>
            </w:r>
          </w:p>
        </w:tc>
        <w:tc>
          <w:tcPr>
            <w:tcW w:w="1131" w:type="pct"/>
            <w:tcBorders>
              <w:top w:val="nil"/>
              <w:left w:val="nil"/>
              <w:bottom w:val="single" w:sz="4" w:space="0" w:color="auto"/>
              <w:right w:val="single" w:sz="4" w:space="0" w:color="auto"/>
            </w:tcBorders>
            <w:noWrap/>
            <w:vAlign w:val="center"/>
          </w:tcPr>
          <w:p w14:paraId="665EA772"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2.8</w:t>
            </w:r>
          </w:p>
        </w:tc>
        <w:tc>
          <w:tcPr>
            <w:tcW w:w="1131" w:type="pct"/>
            <w:tcBorders>
              <w:top w:val="nil"/>
              <w:left w:val="nil"/>
              <w:bottom w:val="single" w:sz="4" w:space="0" w:color="auto"/>
              <w:right w:val="single" w:sz="4" w:space="0" w:color="auto"/>
            </w:tcBorders>
            <w:noWrap/>
            <w:vAlign w:val="center"/>
          </w:tcPr>
          <w:p w14:paraId="584A9C5A"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2.7</w:t>
            </w:r>
          </w:p>
        </w:tc>
        <w:tc>
          <w:tcPr>
            <w:tcW w:w="1131" w:type="pct"/>
            <w:tcBorders>
              <w:top w:val="nil"/>
              <w:left w:val="nil"/>
              <w:bottom w:val="single" w:sz="4" w:space="0" w:color="auto"/>
              <w:right w:val="single" w:sz="4" w:space="0" w:color="auto"/>
            </w:tcBorders>
            <w:noWrap/>
            <w:vAlign w:val="center"/>
          </w:tcPr>
          <w:p w14:paraId="415CFDAA"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2.6</w:t>
            </w:r>
          </w:p>
        </w:tc>
      </w:tr>
    </w:tbl>
    <w:p w14:paraId="6410CC8C" w14:textId="77777777" w:rsidR="0062768B" w:rsidRDefault="00136729">
      <w:pPr>
        <w:spacing w:before="50" w:after="50" w:line="300" w:lineRule="auto"/>
        <w:ind w:firstLineChars="200" w:firstLine="560"/>
        <w:rPr>
          <w:rFonts w:ascii="Arial" w:eastAsia="仿宋" w:hAnsi="Arial" w:cs="Arial"/>
          <w:sz w:val="28"/>
        </w:rPr>
      </w:pPr>
      <w:r>
        <w:rPr>
          <w:rFonts w:ascii="Arial" w:eastAsia="仿宋" w:hAnsi="Arial" w:cs="Arial"/>
          <w:sz w:val="28"/>
        </w:rPr>
        <w:t>经过比较分析，以上三个案例修正后的比准价格差异在合理范围之内，能够真实的反应估价对象的市场租金水平。故取其简单算术平均值作为估价对象</w:t>
      </w:r>
      <w:r>
        <w:rPr>
          <w:rFonts w:ascii="Arial" w:eastAsia="仿宋" w:hAnsi="Arial" w:cs="Arial"/>
          <w:sz w:val="28"/>
          <w:lang w:eastAsia="zh-Hans"/>
        </w:rPr>
        <w:t>公共服务</w:t>
      </w:r>
      <w:r>
        <w:rPr>
          <w:rFonts w:ascii="Arial" w:eastAsia="仿宋" w:hAnsi="Arial" w:cs="Arial"/>
          <w:sz w:val="28"/>
        </w:rPr>
        <w:t>用途房地产的市场租金水平。</w:t>
      </w:r>
    </w:p>
    <w:p w14:paraId="7383F318" w14:textId="77777777" w:rsidR="0062768B" w:rsidRDefault="00136729">
      <w:pPr>
        <w:spacing w:before="50" w:after="50" w:line="300" w:lineRule="auto"/>
        <w:ind w:firstLineChars="200" w:firstLine="560"/>
        <w:rPr>
          <w:rFonts w:ascii="Arial" w:eastAsia="仿宋" w:hAnsi="Arial" w:cs="Arial"/>
          <w:sz w:val="28"/>
        </w:rPr>
      </w:pPr>
      <w:r>
        <w:rPr>
          <w:rFonts w:ascii="Arial" w:eastAsia="仿宋" w:hAnsi="Arial" w:cs="Arial"/>
          <w:sz w:val="28"/>
        </w:rPr>
        <w:t>比准价格</w:t>
      </w:r>
      <w:r>
        <w:rPr>
          <w:rFonts w:ascii="Arial" w:eastAsia="仿宋" w:hAnsi="Arial" w:cs="Arial"/>
          <w:sz w:val="28"/>
        </w:rPr>
        <w:t>=</w:t>
      </w:r>
      <w:r>
        <w:rPr>
          <w:rFonts w:ascii="Arial" w:eastAsia="仿宋" w:hAnsi="Arial" w:cs="Arial"/>
          <w:sz w:val="28"/>
        </w:rPr>
        <w:t>（</w:t>
      </w:r>
      <w:r>
        <w:rPr>
          <w:rFonts w:ascii="Arial" w:eastAsia="仿宋" w:hAnsi="Arial" w:cs="Arial"/>
          <w:sz w:val="28"/>
        </w:rPr>
        <w:t>2.8+2.7+2.6</w:t>
      </w:r>
      <w:r>
        <w:rPr>
          <w:rFonts w:ascii="Arial" w:eastAsia="仿宋" w:hAnsi="Arial" w:cs="Arial"/>
          <w:sz w:val="28"/>
        </w:rPr>
        <w:t>）</w:t>
      </w:r>
      <w:r>
        <w:rPr>
          <w:rFonts w:ascii="Arial" w:eastAsia="仿宋" w:hAnsi="Arial" w:cs="Arial"/>
          <w:sz w:val="28"/>
        </w:rPr>
        <w:t>÷3</w:t>
      </w:r>
    </w:p>
    <w:p w14:paraId="2811D090" w14:textId="77777777" w:rsidR="0062768B" w:rsidRDefault="00136729">
      <w:pPr>
        <w:spacing w:before="50" w:after="50" w:line="300" w:lineRule="auto"/>
        <w:ind w:firstLineChars="600" w:firstLine="1680"/>
        <w:rPr>
          <w:rFonts w:ascii="Arial" w:eastAsia="仿宋" w:hAnsi="Arial" w:cs="Arial"/>
          <w:b/>
          <w:sz w:val="28"/>
        </w:rPr>
      </w:pPr>
      <w:r>
        <w:rPr>
          <w:rFonts w:ascii="Arial" w:eastAsia="仿宋" w:hAnsi="Arial" w:cs="Arial"/>
          <w:sz w:val="28"/>
        </w:rPr>
        <w:t>=2.7</w:t>
      </w:r>
      <w:r>
        <w:rPr>
          <w:rFonts w:ascii="Arial" w:eastAsia="仿宋" w:hAnsi="Arial" w:cs="Arial"/>
          <w:sz w:val="28"/>
        </w:rPr>
        <w:t>（元</w:t>
      </w:r>
      <w:r>
        <w:rPr>
          <w:rFonts w:ascii="Arial" w:eastAsia="仿宋" w:hAnsi="Arial" w:cs="Arial"/>
          <w:sz w:val="28"/>
        </w:rPr>
        <w:t>/</w:t>
      </w:r>
      <w:r>
        <w:rPr>
          <w:rFonts w:ascii="Arial" w:eastAsia="仿宋" w:hAnsi="Arial" w:cs="Arial"/>
          <w:sz w:val="28"/>
        </w:rPr>
        <w:t>平方米﹒天）</w:t>
      </w:r>
    </w:p>
    <w:p w14:paraId="4E7AED11" w14:textId="77777777" w:rsidR="0062768B" w:rsidRDefault="00136729">
      <w:pPr>
        <w:spacing w:before="50" w:after="50" w:line="300" w:lineRule="auto"/>
        <w:ind w:firstLineChars="200" w:firstLine="560"/>
        <w:rPr>
          <w:rFonts w:ascii="Arial" w:eastAsia="仿宋" w:hAnsi="Arial" w:cs="Arial"/>
          <w:sz w:val="28"/>
        </w:rPr>
      </w:pPr>
      <w:r>
        <w:rPr>
          <w:rFonts w:ascii="Arial" w:eastAsia="仿宋" w:hAnsi="Arial" w:cs="Arial"/>
          <w:sz w:val="28"/>
        </w:rPr>
        <w:t>B.</w:t>
      </w:r>
      <w:r>
        <w:rPr>
          <w:rFonts w:ascii="Arial" w:eastAsia="仿宋" w:hAnsi="Arial" w:cs="Arial"/>
          <w:sz w:val="28"/>
        </w:rPr>
        <w:t>收益还原法求取估价对象</w:t>
      </w:r>
      <w:r>
        <w:rPr>
          <w:rFonts w:ascii="Arial" w:eastAsia="仿宋" w:hAnsi="Arial" w:cs="Arial"/>
          <w:sz w:val="28"/>
          <w:lang w:eastAsia="zh-Hans"/>
        </w:rPr>
        <w:t>公共服务</w:t>
      </w:r>
      <w:r>
        <w:rPr>
          <w:rFonts w:ascii="Arial" w:eastAsia="仿宋" w:hAnsi="Arial" w:cs="Arial"/>
          <w:sz w:val="28"/>
        </w:rPr>
        <w:t>用房开发完成后不动产价值</w:t>
      </w:r>
    </w:p>
    <w:p w14:paraId="5CE58D53" w14:textId="77777777" w:rsidR="0062768B" w:rsidRDefault="00136729">
      <w:pPr>
        <w:spacing w:before="50" w:after="50" w:line="300" w:lineRule="auto"/>
        <w:ind w:firstLineChars="200" w:firstLine="560"/>
        <w:rPr>
          <w:rFonts w:ascii="Arial" w:eastAsia="仿宋" w:hAnsi="Arial" w:cs="Arial"/>
          <w:sz w:val="28"/>
        </w:rPr>
      </w:pPr>
      <w:r>
        <w:rPr>
          <w:rFonts w:ascii="Arial" w:eastAsia="仿宋" w:hAnsi="Arial" w:cs="Arial"/>
          <w:sz w:val="28"/>
        </w:rPr>
        <w:t>（</w:t>
      </w:r>
      <w:r>
        <w:rPr>
          <w:rFonts w:ascii="Arial" w:eastAsia="仿宋" w:hAnsi="Arial" w:cs="Arial"/>
          <w:sz w:val="28"/>
        </w:rPr>
        <w:t>A</w:t>
      </w:r>
      <w:r>
        <w:rPr>
          <w:rFonts w:ascii="Arial" w:eastAsia="仿宋" w:hAnsi="Arial" w:cs="Arial"/>
          <w:sz w:val="28"/>
        </w:rPr>
        <w:t>）求取房地</w:t>
      </w:r>
      <w:proofErr w:type="gramStart"/>
      <w:r>
        <w:rPr>
          <w:rFonts w:ascii="Arial" w:eastAsia="仿宋" w:hAnsi="Arial" w:cs="Arial"/>
          <w:sz w:val="28"/>
        </w:rPr>
        <w:t>年未来</w:t>
      </w:r>
      <w:proofErr w:type="gramEnd"/>
      <w:r>
        <w:rPr>
          <w:rFonts w:ascii="Arial" w:eastAsia="仿宋" w:hAnsi="Arial" w:cs="Arial"/>
          <w:sz w:val="28"/>
        </w:rPr>
        <w:t>第一年净收益</w:t>
      </w:r>
    </w:p>
    <w:p w14:paraId="6D6B956C" w14:textId="77777777" w:rsidR="0062768B" w:rsidRDefault="00136729">
      <w:pPr>
        <w:spacing w:line="300" w:lineRule="auto"/>
        <w:ind w:right="205" w:firstLineChars="300" w:firstLine="840"/>
        <w:rPr>
          <w:rFonts w:ascii="Arial" w:eastAsia="仿宋" w:hAnsi="Arial" w:cs="Arial"/>
          <w:sz w:val="28"/>
        </w:rPr>
      </w:pPr>
      <w:r>
        <w:rPr>
          <w:rFonts w:ascii="Arial" w:eastAsia="仿宋" w:hAnsi="Arial" w:cs="Arial"/>
          <w:sz w:val="28"/>
        </w:rPr>
        <w:t>A</w:t>
      </w:r>
      <w:r>
        <w:rPr>
          <w:rFonts w:ascii="Arial" w:eastAsia="仿宋" w:hAnsi="Arial" w:cs="Arial"/>
          <w:sz w:val="28"/>
        </w:rPr>
        <w:t>）未来第一年总收益</w:t>
      </w:r>
    </w:p>
    <w:p w14:paraId="53503C21" w14:textId="77777777" w:rsidR="0062768B" w:rsidRDefault="00136729">
      <w:pPr>
        <w:spacing w:line="300" w:lineRule="auto"/>
        <w:ind w:right="205" w:firstLineChars="300" w:firstLine="840"/>
        <w:rPr>
          <w:rFonts w:ascii="Arial" w:eastAsia="仿宋" w:hAnsi="Arial" w:cs="Arial"/>
          <w:sz w:val="28"/>
        </w:rPr>
      </w:pPr>
      <w:r>
        <w:rPr>
          <w:rFonts w:ascii="Arial" w:eastAsia="仿宋" w:hAnsi="Arial" w:cs="Arial"/>
          <w:sz w:val="28"/>
        </w:rPr>
        <w:t>a.</w:t>
      </w:r>
      <w:r>
        <w:rPr>
          <w:rFonts w:ascii="Arial" w:eastAsia="仿宋" w:hAnsi="Arial" w:cs="Arial"/>
          <w:sz w:val="28"/>
        </w:rPr>
        <w:t>租金收入</w:t>
      </w:r>
    </w:p>
    <w:p w14:paraId="481FAD68" w14:textId="77777777" w:rsidR="0062768B" w:rsidRDefault="00136729">
      <w:pPr>
        <w:spacing w:line="300" w:lineRule="auto"/>
        <w:ind w:right="205" w:firstLineChars="250" w:firstLine="700"/>
        <w:rPr>
          <w:rFonts w:ascii="Arial" w:eastAsia="仿宋" w:hAnsi="Arial" w:cs="Arial"/>
          <w:sz w:val="28"/>
        </w:rPr>
      </w:pPr>
      <w:r>
        <w:rPr>
          <w:rFonts w:ascii="Arial" w:eastAsia="仿宋" w:hAnsi="Arial" w:cs="Arial"/>
          <w:sz w:val="28"/>
        </w:rPr>
        <w:t>依据上述采用市场比较法确定估价对象</w:t>
      </w:r>
      <w:r>
        <w:rPr>
          <w:rFonts w:ascii="Arial" w:eastAsia="仿宋" w:hAnsi="Arial" w:cs="Arial"/>
          <w:sz w:val="28"/>
          <w:lang w:eastAsia="zh-Hans"/>
        </w:rPr>
        <w:t>公共服务</w:t>
      </w:r>
      <w:r>
        <w:rPr>
          <w:rFonts w:ascii="Arial" w:eastAsia="仿宋" w:hAnsi="Arial" w:cs="Arial"/>
          <w:sz w:val="28"/>
        </w:rPr>
        <w:t>用房租金水平平均为</w:t>
      </w:r>
      <w:r>
        <w:rPr>
          <w:rFonts w:ascii="Arial" w:eastAsia="仿宋" w:hAnsi="Arial" w:cs="Arial"/>
          <w:sz w:val="28"/>
        </w:rPr>
        <w:t>2.7</w:t>
      </w:r>
      <w:r>
        <w:rPr>
          <w:rFonts w:ascii="Arial" w:eastAsia="仿宋" w:hAnsi="Arial" w:cs="Arial"/>
          <w:sz w:val="28"/>
        </w:rPr>
        <w:t>元</w:t>
      </w:r>
      <w:r>
        <w:rPr>
          <w:rFonts w:ascii="Arial" w:eastAsia="仿宋" w:hAnsi="Arial" w:cs="Arial"/>
          <w:sz w:val="28"/>
        </w:rPr>
        <w:t>/</w:t>
      </w:r>
      <w:r>
        <w:rPr>
          <w:rFonts w:ascii="Arial" w:eastAsia="仿宋" w:hAnsi="Arial" w:cs="Arial"/>
          <w:sz w:val="28"/>
        </w:rPr>
        <w:t>天</w:t>
      </w:r>
      <w:r>
        <w:rPr>
          <w:rFonts w:ascii="Arial" w:eastAsia="微软雅黑" w:hAnsi="Arial" w:cs="Arial"/>
          <w:sz w:val="28"/>
        </w:rPr>
        <w:t>•</w:t>
      </w:r>
      <w:r>
        <w:rPr>
          <w:rFonts w:ascii="Arial" w:eastAsia="仿宋" w:hAnsi="Arial" w:cs="Arial"/>
          <w:sz w:val="28"/>
        </w:rPr>
        <w:t>平方米；分析市场租赁情况确定空置率，空置率取</w:t>
      </w:r>
      <w:r>
        <w:rPr>
          <w:rFonts w:ascii="Arial" w:eastAsia="仿宋" w:hAnsi="Arial" w:cs="Arial"/>
          <w:sz w:val="28"/>
        </w:rPr>
        <w:t>3%</w:t>
      </w:r>
      <w:r>
        <w:rPr>
          <w:rFonts w:ascii="Arial" w:eastAsia="仿宋" w:hAnsi="Arial" w:cs="Arial"/>
          <w:sz w:val="28"/>
        </w:rPr>
        <w:t>；每年按</w:t>
      </w:r>
      <w:r>
        <w:rPr>
          <w:rFonts w:ascii="Arial" w:eastAsia="仿宋" w:hAnsi="Arial" w:cs="Arial"/>
          <w:sz w:val="28"/>
        </w:rPr>
        <w:t>365</w:t>
      </w:r>
      <w:r>
        <w:rPr>
          <w:rFonts w:ascii="Arial" w:eastAsia="仿宋" w:hAnsi="Arial" w:cs="Arial"/>
          <w:sz w:val="28"/>
        </w:rPr>
        <w:t>天计算。则有：</w:t>
      </w:r>
      <w:r>
        <w:rPr>
          <w:rFonts w:ascii="Arial" w:eastAsia="仿宋" w:hAnsi="Arial" w:cs="Arial"/>
          <w:sz w:val="28"/>
        </w:rPr>
        <w:t xml:space="preserve"> </w:t>
      </w:r>
    </w:p>
    <w:p w14:paraId="024C4C72" w14:textId="77777777" w:rsidR="0062768B" w:rsidRDefault="00136729">
      <w:pPr>
        <w:spacing w:line="300" w:lineRule="auto"/>
        <w:ind w:right="205" w:firstLineChars="200" w:firstLine="560"/>
        <w:rPr>
          <w:rFonts w:ascii="Arial" w:eastAsia="仿宋" w:hAnsi="Arial" w:cs="Arial"/>
          <w:sz w:val="28"/>
        </w:rPr>
      </w:pPr>
      <w:r>
        <w:rPr>
          <w:rFonts w:ascii="Arial" w:eastAsia="仿宋" w:hAnsi="Arial" w:cs="Arial"/>
          <w:sz w:val="28"/>
        </w:rPr>
        <w:t>未来第一年年租金收入</w:t>
      </w:r>
    </w:p>
    <w:p w14:paraId="441D66D7" w14:textId="77777777" w:rsidR="0062768B" w:rsidRDefault="00136729">
      <w:pPr>
        <w:spacing w:line="300" w:lineRule="auto"/>
        <w:ind w:right="205" w:firstLineChars="200" w:firstLine="560"/>
        <w:rPr>
          <w:rFonts w:ascii="Arial" w:eastAsia="仿宋" w:hAnsi="Arial" w:cs="Arial"/>
          <w:sz w:val="28"/>
        </w:rPr>
      </w:pPr>
      <w:r>
        <w:rPr>
          <w:rFonts w:ascii="Arial" w:eastAsia="仿宋" w:hAnsi="Arial" w:cs="Arial"/>
          <w:sz w:val="28"/>
        </w:rPr>
        <w:t>＝</w:t>
      </w:r>
      <w:r>
        <w:rPr>
          <w:rFonts w:ascii="Arial" w:eastAsia="仿宋" w:hAnsi="Arial" w:cs="Arial"/>
          <w:sz w:val="28"/>
        </w:rPr>
        <w:t>2.7×754×365×(1-3%)÷10000</w:t>
      </w:r>
    </w:p>
    <w:p w14:paraId="36FF0D24" w14:textId="77777777" w:rsidR="0062768B" w:rsidRDefault="00136729">
      <w:pPr>
        <w:spacing w:line="300" w:lineRule="auto"/>
        <w:ind w:right="205" w:firstLineChars="200" w:firstLine="560"/>
        <w:rPr>
          <w:rFonts w:ascii="Arial" w:eastAsia="仿宋" w:hAnsi="Arial" w:cs="Arial"/>
          <w:sz w:val="28"/>
        </w:rPr>
      </w:pPr>
      <w:r>
        <w:rPr>
          <w:rFonts w:ascii="Arial" w:eastAsia="仿宋" w:hAnsi="Arial" w:cs="Arial"/>
          <w:sz w:val="28"/>
        </w:rPr>
        <w:t>＝</w:t>
      </w:r>
      <w:r>
        <w:rPr>
          <w:rFonts w:ascii="Arial" w:eastAsia="仿宋" w:hAnsi="Arial" w:cs="Arial"/>
          <w:sz w:val="28"/>
        </w:rPr>
        <w:t>72.0775</w:t>
      </w:r>
      <w:r>
        <w:rPr>
          <w:rFonts w:ascii="Arial" w:eastAsia="仿宋" w:hAnsi="Arial" w:cs="Arial"/>
          <w:sz w:val="28"/>
        </w:rPr>
        <w:t>（万元）</w:t>
      </w:r>
    </w:p>
    <w:p w14:paraId="71A7F00C" w14:textId="77777777" w:rsidR="0062768B" w:rsidRDefault="00136729">
      <w:pPr>
        <w:spacing w:line="300" w:lineRule="auto"/>
        <w:ind w:right="205" w:firstLineChars="200" w:firstLine="560"/>
        <w:rPr>
          <w:rFonts w:ascii="Arial" w:eastAsia="仿宋" w:hAnsi="Arial" w:cs="Arial"/>
          <w:sz w:val="28"/>
        </w:rPr>
      </w:pPr>
      <w:r>
        <w:rPr>
          <w:rFonts w:ascii="Arial" w:eastAsia="仿宋" w:hAnsi="Arial" w:cs="Arial"/>
          <w:sz w:val="28"/>
        </w:rPr>
        <w:lastRenderedPageBreak/>
        <w:t>b.</w:t>
      </w:r>
      <w:r>
        <w:rPr>
          <w:rFonts w:ascii="Arial" w:eastAsia="仿宋" w:hAnsi="Arial" w:cs="Arial"/>
          <w:sz w:val="28"/>
        </w:rPr>
        <w:t>押金利息</w:t>
      </w:r>
    </w:p>
    <w:p w14:paraId="52B0F19F" w14:textId="77777777" w:rsidR="0062768B" w:rsidRDefault="00136729">
      <w:pPr>
        <w:spacing w:line="300" w:lineRule="auto"/>
        <w:ind w:right="205" w:firstLineChars="200" w:firstLine="560"/>
        <w:rPr>
          <w:rFonts w:ascii="Arial" w:eastAsia="仿宋" w:hAnsi="Arial" w:cs="Arial"/>
          <w:sz w:val="28"/>
        </w:rPr>
      </w:pPr>
      <w:r>
        <w:rPr>
          <w:rFonts w:ascii="Arial" w:eastAsia="仿宋" w:hAnsi="Arial" w:cs="Arial"/>
          <w:sz w:val="28"/>
        </w:rPr>
        <w:t>根据评估专业人员对于租赁市场的调查，目前与估价对象同类物业的押金通常为一个月的租金。因此，本次评估按照上述计算的年租金收入折算至月租金，并按照</w:t>
      </w:r>
      <w:r>
        <w:rPr>
          <w:rFonts w:ascii="Arial" w:eastAsia="仿宋" w:hAnsi="Arial" w:cs="Arial"/>
          <w:sz w:val="28"/>
        </w:rPr>
        <w:t>1</w:t>
      </w:r>
      <w:r>
        <w:rPr>
          <w:rFonts w:ascii="Arial" w:eastAsia="仿宋" w:hAnsi="Arial" w:cs="Arial"/>
          <w:sz w:val="28"/>
        </w:rPr>
        <w:t>年期存款利率</w:t>
      </w:r>
      <w:r>
        <w:rPr>
          <w:rFonts w:ascii="Arial" w:eastAsia="仿宋" w:hAnsi="Arial" w:cs="Arial"/>
          <w:sz w:val="28"/>
        </w:rPr>
        <w:t>1.5%</w:t>
      </w:r>
      <w:r>
        <w:rPr>
          <w:rFonts w:ascii="Arial" w:eastAsia="仿宋" w:hAnsi="Arial" w:cs="Arial"/>
          <w:sz w:val="28"/>
        </w:rPr>
        <w:t>计算押金利息。则有：</w:t>
      </w:r>
    </w:p>
    <w:p w14:paraId="693244F0" w14:textId="77777777" w:rsidR="0062768B" w:rsidRDefault="00136729">
      <w:pPr>
        <w:spacing w:line="300" w:lineRule="auto"/>
        <w:ind w:right="205" w:firstLineChars="200" w:firstLine="560"/>
        <w:rPr>
          <w:rFonts w:ascii="Arial" w:eastAsia="仿宋" w:hAnsi="Arial" w:cs="Arial"/>
          <w:sz w:val="28"/>
        </w:rPr>
      </w:pPr>
      <w:r>
        <w:rPr>
          <w:rFonts w:ascii="Arial" w:eastAsia="仿宋" w:hAnsi="Arial" w:cs="Arial"/>
          <w:sz w:val="28"/>
        </w:rPr>
        <w:t>押金利息＝</w:t>
      </w:r>
      <w:r>
        <w:rPr>
          <w:rFonts w:ascii="Arial" w:eastAsia="仿宋" w:hAnsi="Arial" w:cs="Arial"/>
          <w:sz w:val="28"/>
        </w:rPr>
        <w:t>72.0775÷12×1.5%=0.0901</w:t>
      </w:r>
      <w:r>
        <w:rPr>
          <w:rFonts w:ascii="Arial" w:eastAsia="仿宋" w:hAnsi="Arial" w:cs="Arial"/>
          <w:sz w:val="28"/>
        </w:rPr>
        <w:t>（万元）</w:t>
      </w:r>
    </w:p>
    <w:p w14:paraId="488BA5C5" w14:textId="77777777" w:rsidR="0062768B" w:rsidRDefault="00136729">
      <w:pPr>
        <w:spacing w:line="300" w:lineRule="auto"/>
        <w:ind w:right="205" w:firstLineChars="200" w:firstLine="560"/>
        <w:rPr>
          <w:rFonts w:ascii="Arial" w:eastAsia="仿宋" w:hAnsi="Arial" w:cs="Arial"/>
          <w:sz w:val="28"/>
        </w:rPr>
      </w:pPr>
      <w:r>
        <w:rPr>
          <w:rFonts w:ascii="Arial" w:eastAsia="仿宋" w:hAnsi="Arial" w:cs="Arial"/>
          <w:sz w:val="28"/>
        </w:rPr>
        <w:t>c.</w:t>
      </w:r>
      <w:r>
        <w:rPr>
          <w:rFonts w:ascii="Arial" w:eastAsia="仿宋" w:hAnsi="Arial" w:cs="Arial"/>
          <w:sz w:val="28"/>
        </w:rPr>
        <w:t>未来第一年总收益</w:t>
      </w:r>
    </w:p>
    <w:p w14:paraId="306356B3" w14:textId="77777777" w:rsidR="0062768B" w:rsidRDefault="00136729">
      <w:pPr>
        <w:spacing w:line="300" w:lineRule="auto"/>
        <w:ind w:right="205" w:firstLineChars="200" w:firstLine="560"/>
        <w:rPr>
          <w:rFonts w:ascii="Arial" w:eastAsia="仿宋" w:hAnsi="Arial" w:cs="Arial"/>
          <w:sz w:val="28"/>
        </w:rPr>
      </w:pPr>
      <w:r>
        <w:rPr>
          <w:rFonts w:ascii="Arial" w:eastAsia="仿宋" w:hAnsi="Arial" w:cs="Arial"/>
          <w:sz w:val="28"/>
        </w:rPr>
        <w:t>综上，估价对象未来第一年的总收益为前述两项之</w:t>
      </w:r>
      <w:proofErr w:type="gramStart"/>
      <w:r>
        <w:rPr>
          <w:rFonts w:ascii="Arial" w:eastAsia="仿宋" w:hAnsi="Arial" w:cs="Arial"/>
          <w:sz w:val="28"/>
        </w:rPr>
        <w:t>和</w:t>
      </w:r>
      <w:proofErr w:type="gramEnd"/>
      <w:r>
        <w:rPr>
          <w:rFonts w:ascii="Arial" w:eastAsia="仿宋" w:hAnsi="Arial" w:cs="Arial"/>
          <w:sz w:val="28"/>
        </w:rPr>
        <w:t>。则有：</w:t>
      </w:r>
    </w:p>
    <w:p w14:paraId="6E01EC96" w14:textId="77777777" w:rsidR="0062768B" w:rsidRDefault="00136729">
      <w:pPr>
        <w:spacing w:line="300" w:lineRule="auto"/>
        <w:ind w:right="205" w:firstLineChars="200" w:firstLine="560"/>
        <w:rPr>
          <w:rFonts w:ascii="Arial" w:eastAsia="仿宋" w:hAnsi="Arial" w:cs="Arial"/>
          <w:sz w:val="28"/>
        </w:rPr>
      </w:pPr>
      <w:r>
        <w:rPr>
          <w:rFonts w:ascii="Arial" w:eastAsia="仿宋" w:hAnsi="Arial" w:cs="Arial"/>
          <w:sz w:val="28"/>
        </w:rPr>
        <w:t>未来第一年总收益</w:t>
      </w:r>
    </w:p>
    <w:p w14:paraId="5ADE3558" w14:textId="77777777" w:rsidR="0062768B" w:rsidRDefault="00136729">
      <w:pPr>
        <w:spacing w:line="300" w:lineRule="auto"/>
        <w:ind w:right="205" w:firstLineChars="200" w:firstLine="560"/>
        <w:rPr>
          <w:rFonts w:ascii="Arial" w:eastAsia="仿宋" w:hAnsi="Arial" w:cs="Arial"/>
          <w:sz w:val="28"/>
        </w:rPr>
      </w:pPr>
      <w:r>
        <w:rPr>
          <w:rFonts w:ascii="Arial" w:eastAsia="仿宋" w:hAnsi="Arial" w:cs="Arial"/>
          <w:sz w:val="28"/>
        </w:rPr>
        <w:t>＝</w:t>
      </w:r>
      <w:r>
        <w:rPr>
          <w:rFonts w:ascii="Arial" w:eastAsia="仿宋" w:hAnsi="Arial" w:cs="Arial"/>
          <w:sz w:val="28"/>
        </w:rPr>
        <w:t>72.0775</w:t>
      </w:r>
      <w:r>
        <w:rPr>
          <w:rFonts w:ascii="Arial" w:eastAsia="仿宋" w:hAnsi="Arial" w:cs="Arial"/>
          <w:sz w:val="28"/>
        </w:rPr>
        <w:t>＋</w:t>
      </w:r>
      <w:r>
        <w:rPr>
          <w:rFonts w:ascii="Arial" w:eastAsia="仿宋" w:hAnsi="Arial" w:cs="Arial"/>
          <w:sz w:val="28"/>
        </w:rPr>
        <w:t>0.0901</w:t>
      </w:r>
      <w:r>
        <w:rPr>
          <w:rFonts w:ascii="Arial" w:eastAsia="仿宋" w:hAnsi="Arial" w:cs="Arial"/>
          <w:sz w:val="28"/>
        </w:rPr>
        <w:t>＝</w:t>
      </w:r>
      <w:r>
        <w:rPr>
          <w:rFonts w:ascii="Arial" w:eastAsia="仿宋" w:hAnsi="Arial" w:cs="Arial"/>
          <w:sz w:val="28"/>
        </w:rPr>
        <w:t>72.1676</w:t>
      </w:r>
      <w:r>
        <w:rPr>
          <w:rFonts w:ascii="Arial" w:eastAsia="仿宋" w:hAnsi="Arial" w:cs="Arial"/>
          <w:sz w:val="28"/>
        </w:rPr>
        <w:t>（万元）</w:t>
      </w:r>
    </w:p>
    <w:p w14:paraId="19B15EBE" w14:textId="77777777" w:rsidR="0062768B" w:rsidRDefault="00136729">
      <w:pPr>
        <w:spacing w:line="300" w:lineRule="auto"/>
        <w:ind w:right="205" w:firstLineChars="200" w:firstLine="560"/>
        <w:rPr>
          <w:rFonts w:ascii="Arial" w:eastAsia="仿宋" w:hAnsi="Arial" w:cs="Arial"/>
          <w:sz w:val="28"/>
        </w:rPr>
      </w:pPr>
      <w:r>
        <w:rPr>
          <w:rFonts w:ascii="Arial" w:eastAsia="仿宋" w:hAnsi="Arial" w:cs="Arial"/>
          <w:sz w:val="28"/>
        </w:rPr>
        <w:t>B</w:t>
      </w:r>
      <w:r>
        <w:rPr>
          <w:rFonts w:ascii="Arial" w:eastAsia="仿宋" w:hAnsi="Arial" w:cs="Arial"/>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753"/>
        <w:gridCol w:w="1534"/>
        <w:gridCol w:w="1092"/>
        <w:gridCol w:w="3192"/>
        <w:gridCol w:w="1535"/>
        <w:gridCol w:w="1118"/>
      </w:tblGrid>
      <w:tr w:rsidR="0062768B" w14:paraId="385ADF02" w14:textId="77777777">
        <w:trPr>
          <w:trHeight w:val="20"/>
          <w:jc w:val="center"/>
        </w:trPr>
        <w:tc>
          <w:tcPr>
            <w:tcW w:w="753" w:type="dxa"/>
            <w:shd w:val="clear" w:color="000000" w:fill="auto"/>
            <w:noWrap/>
            <w:vAlign w:val="center"/>
          </w:tcPr>
          <w:p w14:paraId="448C5678" w14:textId="77777777" w:rsidR="0062768B" w:rsidRDefault="0062768B">
            <w:pPr>
              <w:spacing w:line="240" w:lineRule="exact"/>
              <w:jc w:val="center"/>
              <w:rPr>
                <w:rFonts w:ascii="Arial" w:eastAsia="仿宋" w:hAnsi="Arial" w:cs="Arial"/>
                <w:sz w:val="21"/>
                <w:szCs w:val="21"/>
              </w:rPr>
            </w:pPr>
          </w:p>
        </w:tc>
        <w:tc>
          <w:tcPr>
            <w:tcW w:w="1534" w:type="dxa"/>
            <w:shd w:val="clear" w:color="000000" w:fill="auto"/>
            <w:noWrap/>
            <w:vAlign w:val="center"/>
          </w:tcPr>
          <w:p w14:paraId="56DE2351"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建筑物现值</w:t>
            </w:r>
          </w:p>
        </w:tc>
        <w:tc>
          <w:tcPr>
            <w:tcW w:w="1092" w:type="dxa"/>
            <w:shd w:val="clear" w:color="000000" w:fill="auto"/>
            <w:noWrap/>
            <w:vAlign w:val="center"/>
          </w:tcPr>
          <w:p w14:paraId="22FDBF95" w14:textId="77777777" w:rsidR="0062768B" w:rsidRDefault="00136729">
            <w:pPr>
              <w:spacing w:line="240" w:lineRule="exact"/>
              <w:jc w:val="center"/>
              <w:rPr>
                <w:rFonts w:ascii="Arial" w:eastAsia="仿宋" w:hAnsi="Arial" w:cs="Arial"/>
                <w:b/>
                <w:bCs/>
                <w:sz w:val="21"/>
                <w:szCs w:val="21"/>
              </w:rPr>
            </w:pPr>
            <w:r>
              <w:rPr>
                <w:rFonts w:ascii="Arial" w:eastAsia="仿宋" w:hAnsi="Arial" w:cs="Arial"/>
                <w:b/>
                <w:bCs/>
                <w:sz w:val="21"/>
                <w:szCs w:val="21"/>
              </w:rPr>
              <w:t>508.9473</w:t>
            </w:r>
          </w:p>
        </w:tc>
        <w:tc>
          <w:tcPr>
            <w:tcW w:w="3192" w:type="dxa"/>
            <w:shd w:val="clear" w:color="000000" w:fill="auto"/>
            <w:noWrap/>
            <w:vAlign w:val="center"/>
          </w:tcPr>
          <w:p w14:paraId="7BAB72D8"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建筑物重置价格</w:t>
            </w:r>
            <w:r>
              <w:rPr>
                <w:rFonts w:ascii="Arial" w:eastAsia="仿宋" w:hAnsi="Arial" w:cs="Arial"/>
                <w:sz w:val="21"/>
                <w:szCs w:val="21"/>
              </w:rPr>
              <w:t>×</w:t>
            </w:r>
            <w:r>
              <w:rPr>
                <w:rFonts w:ascii="Arial" w:eastAsia="仿宋" w:hAnsi="Arial" w:cs="Arial"/>
                <w:sz w:val="21"/>
                <w:szCs w:val="21"/>
              </w:rPr>
              <w:t>成新度</w:t>
            </w:r>
          </w:p>
        </w:tc>
        <w:tc>
          <w:tcPr>
            <w:tcW w:w="1535" w:type="dxa"/>
            <w:shd w:val="clear" w:color="000000" w:fill="auto"/>
            <w:noWrap/>
            <w:vAlign w:val="center"/>
          </w:tcPr>
          <w:p w14:paraId="7B61BFC0"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成新度（</w:t>
            </w:r>
            <w:r>
              <w:rPr>
                <w:rFonts w:ascii="Arial" w:eastAsia="仿宋" w:hAnsi="Arial" w:cs="Arial"/>
                <w:sz w:val="21"/>
                <w:szCs w:val="21"/>
              </w:rPr>
              <w:t>%</w:t>
            </w:r>
            <w:r>
              <w:rPr>
                <w:rFonts w:ascii="Arial" w:eastAsia="仿宋" w:hAnsi="Arial" w:cs="Arial"/>
                <w:sz w:val="21"/>
                <w:szCs w:val="21"/>
              </w:rPr>
              <w:t>）</w:t>
            </w:r>
          </w:p>
        </w:tc>
        <w:tc>
          <w:tcPr>
            <w:tcW w:w="0" w:type="auto"/>
            <w:shd w:val="clear" w:color="000000" w:fill="auto"/>
            <w:noWrap/>
            <w:vAlign w:val="center"/>
          </w:tcPr>
          <w:p w14:paraId="70062F8B"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100.0%</w:t>
            </w:r>
          </w:p>
        </w:tc>
      </w:tr>
      <w:tr w:rsidR="0062768B" w14:paraId="035FD151" w14:textId="77777777">
        <w:trPr>
          <w:trHeight w:val="20"/>
          <w:jc w:val="center"/>
        </w:trPr>
        <w:tc>
          <w:tcPr>
            <w:tcW w:w="753" w:type="dxa"/>
            <w:shd w:val="clear" w:color="000000" w:fill="auto"/>
            <w:noWrap/>
            <w:vAlign w:val="center"/>
          </w:tcPr>
          <w:p w14:paraId="112A1EC7"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w:t>
            </w:r>
          </w:p>
        </w:tc>
        <w:tc>
          <w:tcPr>
            <w:tcW w:w="1534" w:type="dxa"/>
            <w:shd w:val="clear" w:color="000000" w:fill="auto"/>
            <w:noWrap/>
            <w:vAlign w:val="center"/>
          </w:tcPr>
          <w:p w14:paraId="17EB83F9"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建安费用</w:t>
            </w:r>
          </w:p>
        </w:tc>
        <w:tc>
          <w:tcPr>
            <w:tcW w:w="1092" w:type="dxa"/>
            <w:shd w:val="clear" w:color="000000" w:fill="auto"/>
            <w:noWrap/>
            <w:vAlign w:val="center"/>
          </w:tcPr>
          <w:p w14:paraId="4132AC77"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339.3000</w:t>
            </w:r>
          </w:p>
        </w:tc>
        <w:tc>
          <w:tcPr>
            <w:tcW w:w="3192" w:type="dxa"/>
            <w:shd w:val="clear" w:color="000000" w:fill="auto"/>
            <w:vAlign w:val="center"/>
          </w:tcPr>
          <w:p w14:paraId="500F363C"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建安单价</w:t>
            </w:r>
            <w:r>
              <w:rPr>
                <w:rFonts w:ascii="Arial" w:eastAsia="仿宋" w:hAnsi="Arial" w:cs="Arial"/>
                <w:sz w:val="21"/>
                <w:szCs w:val="21"/>
              </w:rPr>
              <w:t>×</w:t>
            </w:r>
            <w:r>
              <w:rPr>
                <w:rFonts w:ascii="Arial" w:eastAsia="仿宋" w:hAnsi="Arial" w:cs="Arial"/>
                <w:sz w:val="21"/>
                <w:szCs w:val="21"/>
              </w:rPr>
              <w:t>建筑面积</w:t>
            </w:r>
          </w:p>
        </w:tc>
        <w:tc>
          <w:tcPr>
            <w:tcW w:w="1535" w:type="dxa"/>
            <w:shd w:val="clear" w:color="000000" w:fill="auto"/>
            <w:vAlign w:val="center"/>
          </w:tcPr>
          <w:p w14:paraId="72A06FF0"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建安单价</w:t>
            </w:r>
            <w:r>
              <w:rPr>
                <w:rFonts w:ascii="Arial" w:eastAsia="仿宋" w:hAnsi="Arial" w:cs="Arial"/>
                <w:sz w:val="21"/>
                <w:szCs w:val="21"/>
              </w:rPr>
              <w:t>(</w:t>
            </w:r>
            <w:r>
              <w:rPr>
                <w:rFonts w:ascii="Arial" w:eastAsia="仿宋" w:hAnsi="Arial" w:cs="Arial"/>
                <w:sz w:val="21"/>
                <w:szCs w:val="21"/>
              </w:rPr>
              <w:t>元</w:t>
            </w:r>
            <w:r>
              <w:rPr>
                <w:rFonts w:ascii="Arial" w:eastAsia="仿宋" w:hAnsi="Arial" w:cs="Arial"/>
                <w:sz w:val="21"/>
                <w:szCs w:val="21"/>
              </w:rPr>
              <w:t>/</w:t>
            </w:r>
            <w:r>
              <w:rPr>
                <w:rFonts w:ascii="Arial" w:eastAsia="仿宋" w:hAnsi="Arial" w:cs="Arial"/>
                <w:sz w:val="21"/>
                <w:szCs w:val="21"/>
              </w:rPr>
              <w:t>平方米</w:t>
            </w:r>
            <w:r>
              <w:rPr>
                <w:rFonts w:ascii="Arial" w:eastAsia="仿宋" w:hAnsi="Arial" w:cs="Arial"/>
                <w:sz w:val="21"/>
                <w:szCs w:val="21"/>
              </w:rPr>
              <w:t>)</w:t>
            </w:r>
          </w:p>
        </w:tc>
        <w:tc>
          <w:tcPr>
            <w:tcW w:w="0" w:type="auto"/>
            <w:shd w:val="clear" w:color="000000" w:fill="auto"/>
            <w:noWrap/>
            <w:vAlign w:val="center"/>
          </w:tcPr>
          <w:p w14:paraId="0FF349B8"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4500</w:t>
            </w:r>
          </w:p>
        </w:tc>
      </w:tr>
      <w:tr w:rsidR="0062768B" w14:paraId="7070330E" w14:textId="77777777">
        <w:trPr>
          <w:trHeight w:val="20"/>
          <w:jc w:val="center"/>
        </w:trPr>
        <w:tc>
          <w:tcPr>
            <w:tcW w:w="753" w:type="dxa"/>
            <w:shd w:val="clear" w:color="000000" w:fill="auto"/>
            <w:noWrap/>
            <w:vAlign w:val="center"/>
          </w:tcPr>
          <w:p w14:paraId="0DEDD01E"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w:t>
            </w:r>
          </w:p>
        </w:tc>
        <w:tc>
          <w:tcPr>
            <w:tcW w:w="1534" w:type="dxa"/>
            <w:shd w:val="clear" w:color="000000" w:fill="auto"/>
            <w:noWrap/>
            <w:vAlign w:val="center"/>
          </w:tcPr>
          <w:p w14:paraId="7755D182"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勘察设计和前期工程费</w:t>
            </w:r>
          </w:p>
        </w:tc>
        <w:tc>
          <w:tcPr>
            <w:tcW w:w="1092" w:type="dxa"/>
            <w:shd w:val="clear" w:color="000000" w:fill="auto"/>
            <w:noWrap/>
            <w:vAlign w:val="center"/>
          </w:tcPr>
          <w:p w14:paraId="3253546D"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16.9650</w:t>
            </w:r>
          </w:p>
        </w:tc>
        <w:tc>
          <w:tcPr>
            <w:tcW w:w="3192" w:type="dxa"/>
            <w:shd w:val="clear" w:color="000000" w:fill="auto"/>
            <w:noWrap/>
            <w:vAlign w:val="center"/>
          </w:tcPr>
          <w:p w14:paraId="41DA982A"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建安费用</w:t>
            </w:r>
            <w:r>
              <w:rPr>
                <w:rFonts w:ascii="Arial" w:eastAsia="仿宋" w:hAnsi="Arial" w:cs="Arial"/>
                <w:sz w:val="21"/>
                <w:szCs w:val="21"/>
              </w:rPr>
              <w:t>×</w:t>
            </w:r>
            <w:r>
              <w:rPr>
                <w:rFonts w:ascii="Arial" w:eastAsia="仿宋" w:hAnsi="Arial" w:cs="Arial"/>
                <w:sz w:val="21"/>
                <w:szCs w:val="21"/>
              </w:rPr>
              <w:t>费率</w:t>
            </w:r>
          </w:p>
        </w:tc>
        <w:tc>
          <w:tcPr>
            <w:tcW w:w="1535" w:type="dxa"/>
            <w:shd w:val="clear" w:color="000000" w:fill="auto"/>
            <w:noWrap/>
            <w:vAlign w:val="center"/>
          </w:tcPr>
          <w:p w14:paraId="7A0C506E"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费率（</w:t>
            </w:r>
            <w:r>
              <w:rPr>
                <w:rFonts w:ascii="Arial" w:eastAsia="仿宋" w:hAnsi="Arial" w:cs="Arial"/>
                <w:sz w:val="21"/>
                <w:szCs w:val="21"/>
              </w:rPr>
              <w:t>%</w:t>
            </w:r>
            <w:r>
              <w:rPr>
                <w:rFonts w:ascii="Arial" w:eastAsia="仿宋" w:hAnsi="Arial" w:cs="Arial"/>
                <w:sz w:val="21"/>
                <w:szCs w:val="21"/>
              </w:rPr>
              <w:t>）</w:t>
            </w:r>
          </w:p>
        </w:tc>
        <w:tc>
          <w:tcPr>
            <w:tcW w:w="0" w:type="auto"/>
            <w:shd w:val="clear" w:color="000000" w:fill="auto"/>
            <w:noWrap/>
            <w:vAlign w:val="center"/>
          </w:tcPr>
          <w:p w14:paraId="45768F9C"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5%</w:t>
            </w:r>
          </w:p>
        </w:tc>
      </w:tr>
      <w:tr w:rsidR="0062768B" w14:paraId="2037528A" w14:textId="77777777">
        <w:trPr>
          <w:trHeight w:val="20"/>
          <w:jc w:val="center"/>
        </w:trPr>
        <w:tc>
          <w:tcPr>
            <w:tcW w:w="753" w:type="dxa"/>
            <w:shd w:val="clear" w:color="000000" w:fill="auto"/>
            <w:noWrap/>
            <w:vAlign w:val="center"/>
          </w:tcPr>
          <w:p w14:paraId="1B6382B2"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3</w:t>
            </w:r>
            <w:r>
              <w:rPr>
                <w:rFonts w:ascii="Arial" w:eastAsia="仿宋" w:hAnsi="Arial" w:cs="Arial"/>
                <w:sz w:val="21"/>
                <w:szCs w:val="21"/>
              </w:rPr>
              <w:t>）</w:t>
            </w:r>
          </w:p>
        </w:tc>
        <w:tc>
          <w:tcPr>
            <w:tcW w:w="1534" w:type="dxa"/>
            <w:shd w:val="clear" w:color="000000" w:fill="auto"/>
            <w:noWrap/>
            <w:vAlign w:val="center"/>
          </w:tcPr>
          <w:p w14:paraId="53999BA3"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公共配套设施费用</w:t>
            </w:r>
          </w:p>
        </w:tc>
        <w:tc>
          <w:tcPr>
            <w:tcW w:w="1092" w:type="dxa"/>
            <w:shd w:val="clear" w:color="000000" w:fill="auto"/>
            <w:noWrap/>
            <w:vAlign w:val="center"/>
          </w:tcPr>
          <w:p w14:paraId="46F4A62A"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0.0000</w:t>
            </w:r>
          </w:p>
        </w:tc>
        <w:tc>
          <w:tcPr>
            <w:tcW w:w="3192" w:type="dxa"/>
            <w:shd w:val="clear" w:color="000000" w:fill="auto"/>
            <w:noWrap/>
            <w:vAlign w:val="center"/>
          </w:tcPr>
          <w:p w14:paraId="32976CF4"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居住用房建安费用</w:t>
            </w:r>
            <w:r>
              <w:rPr>
                <w:rFonts w:ascii="Arial" w:eastAsia="仿宋" w:hAnsi="Arial" w:cs="Arial"/>
                <w:sz w:val="21"/>
                <w:szCs w:val="21"/>
              </w:rPr>
              <w:t>×</w:t>
            </w:r>
            <w:r>
              <w:rPr>
                <w:rFonts w:ascii="Arial" w:eastAsia="仿宋" w:hAnsi="Arial" w:cs="Arial"/>
                <w:sz w:val="21"/>
                <w:szCs w:val="21"/>
              </w:rPr>
              <w:t>费率</w:t>
            </w:r>
          </w:p>
        </w:tc>
        <w:tc>
          <w:tcPr>
            <w:tcW w:w="1535" w:type="dxa"/>
            <w:shd w:val="clear" w:color="000000" w:fill="auto"/>
            <w:noWrap/>
            <w:vAlign w:val="center"/>
          </w:tcPr>
          <w:p w14:paraId="763BA25B"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费率（</w:t>
            </w:r>
            <w:r>
              <w:rPr>
                <w:rFonts w:ascii="Arial" w:eastAsia="仿宋" w:hAnsi="Arial" w:cs="Arial"/>
                <w:sz w:val="21"/>
                <w:szCs w:val="21"/>
              </w:rPr>
              <w:t>%</w:t>
            </w:r>
            <w:r>
              <w:rPr>
                <w:rFonts w:ascii="Arial" w:eastAsia="仿宋" w:hAnsi="Arial" w:cs="Arial"/>
                <w:sz w:val="21"/>
                <w:szCs w:val="21"/>
              </w:rPr>
              <w:t>）</w:t>
            </w:r>
          </w:p>
        </w:tc>
        <w:tc>
          <w:tcPr>
            <w:tcW w:w="0" w:type="auto"/>
            <w:shd w:val="clear" w:color="000000" w:fill="auto"/>
            <w:noWrap/>
            <w:vAlign w:val="center"/>
          </w:tcPr>
          <w:p w14:paraId="68D07577"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不计取</w:t>
            </w:r>
          </w:p>
        </w:tc>
      </w:tr>
      <w:tr w:rsidR="0062768B" w14:paraId="3FBDCF67" w14:textId="77777777">
        <w:trPr>
          <w:trHeight w:val="20"/>
          <w:jc w:val="center"/>
        </w:trPr>
        <w:tc>
          <w:tcPr>
            <w:tcW w:w="753" w:type="dxa"/>
            <w:shd w:val="clear" w:color="000000" w:fill="auto"/>
            <w:noWrap/>
            <w:vAlign w:val="center"/>
          </w:tcPr>
          <w:p w14:paraId="056638BA"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4</w:t>
            </w:r>
            <w:r>
              <w:rPr>
                <w:rFonts w:ascii="Arial" w:eastAsia="仿宋" w:hAnsi="Arial" w:cs="Arial"/>
                <w:sz w:val="21"/>
                <w:szCs w:val="21"/>
              </w:rPr>
              <w:t>）</w:t>
            </w:r>
          </w:p>
        </w:tc>
        <w:tc>
          <w:tcPr>
            <w:tcW w:w="1534" w:type="dxa"/>
            <w:shd w:val="clear" w:color="000000" w:fill="auto"/>
            <w:noWrap/>
            <w:vAlign w:val="center"/>
          </w:tcPr>
          <w:p w14:paraId="3D9ADAB6"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基础设施建设费</w:t>
            </w:r>
          </w:p>
        </w:tc>
        <w:tc>
          <w:tcPr>
            <w:tcW w:w="1092" w:type="dxa"/>
            <w:shd w:val="clear" w:color="000000" w:fill="auto"/>
            <w:noWrap/>
            <w:vAlign w:val="center"/>
          </w:tcPr>
          <w:p w14:paraId="78C55939"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22.6200</w:t>
            </w:r>
          </w:p>
        </w:tc>
        <w:tc>
          <w:tcPr>
            <w:tcW w:w="3192" w:type="dxa"/>
            <w:shd w:val="clear" w:color="000000" w:fill="auto"/>
            <w:noWrap/>
            <w:vAlign w:val="center"/>
          </w:tcPr>
          <w:p w14:paraId="45FCC922"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建筑面积</w:t>
            </w:r>
            <w:r>
              <w:rPr>
                <w:rFonts w:ascii="Arial" w:eastAsia="仿宋" w:hAnsi="Arial" w:cs="Arial"/>
                <w:sz w:val="21"/>
                <w:szCs w:val="21"/>
              </w:rPr>
              <w:t>×</w:t>
            </w:r>
            <w:r>
              <w:rPr>
                <w:rFonts w:ascii="Arial" w:eastAsia="仿宋" w:hAnsi="Arial" w:cs="Arial"/>
                <w:sz w:val="21"/>
                <w:szCs w:val="21"/>
              </w:rPr>
              <w:t>取费标准</w:t>
            </w:r>
          </w:p>
        </w:tc>
        <w:tc>
          <w:tcPr>
            <w:tcW w:w="1535" w:type="dxa"/>
            <w:shd w:val="clear" w:color="000000" w:fill="auto"/>
            <w:noWrap/>
            <w:vAlign w:val="center"/>
          </w:tcPr>
          <w:p w14:paraId="0DBCE6B6"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市政费用（元</w:t>
            </w:r>
            <w:r>
              <w:rPr>
                <w:rFonts w:ascii="Arial" w:eastAsia="仿宋" w:hAnsi="Arial" w:cs="Arial"/>
                <w:sz w:val="21"/>
                <w:szCs w:val="21"/>
              </w:rPr>
              <w:t>/</w:t>
            </w:r>
            <w:r>
              <w:rPr>
                <w:rFonts w:ascii="Arial" w:eastAsia="仿宋" w:hAnsi="Arial" w:cs="Arial"/>
                <w:sz w:val="21"/>
                <w:szCs w:val="21"/>
              </w:rPr>
              <w:t>㎡）</w:t>
            </w:r>
          </w:p>
        </w:tc>
        <w:tc>
          <w:tcPr>
            <w:tcW w:w="0" w:type="auto"/>
            <w:shd w:val="clear" w:color="000000" w:fill="auto"/>
            <w:noWrap/>
            <w:vAlign w:val="center"/>
          </w:tcPr>
          <w:p w14:paraId="22EB80ED"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300</w:t>
            </w:r>
          </w:p>
        </w:tc>
      </w:tr>
      <w:tr w:rsidR="0062768B" w14:paraId="38C03E62" w14:textId="77777777">
        <w:trPr>
          <w:trHeight w:val="20"/>
          <w:jc w:val="center"/>
        </w:trPr>
        <w:tc>
          <w:tcPr>
            <w:tcW w:w="753" w:type="dxa"/>
            <w:shd w:val="clear" w:color="000000" w:fill="auto"/>
            <w:noWrap/>
            <w:vAlign w:val="center"/>
          </w:tcPr>
          <w:p w14:paraId="6FCA6AF2"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5</w:t>
            </w:r>
            <w:r>
              <w:rPr>
                <w:rFonts w:ascii="Arial" w:eastAsia="仿宋" w:hAnsi="Arial" w:cs="Arial"/>
                <w:sz w:val="21"/>
                <w:szCs w:val="21"/>
              </w:rPr>
              <w:t>）</w:t>
            </w:r>
          </w:p>
        </w:tc>
        <w:tc>
          <w:tcPr>
            <w:tcW w:w="1534" w:type="dxa"/>
            <w:shd w:val="clear" w:color="000000" w:fill="auto"/>
            <w:noWrap/>
            <w:vAlign w:val="center"/>
          </w:tcPr>
          <w:p w14:paraId="4375BF86"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相关税费</w:t>
            </w:r>
          </w:p>
        </w:tc>
        <w:tc>
          <w:tcPr>
            <w:tcW w:w="1092" w:type="dxa"/>
            <w:shd w:val="clear" w:color="000000" w:fill="auto"/>
            <w:noWrap/>
            <w:vAlign w:val="center"/>
          </w:tcPr>
          <w:p w14:paraId="17414A07"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2.5447</w:t>
            </w:r>
          </w:p>
        </w:tc>
        <w:tc>
          <w:tcPr>
            <w:tcW w:w="3192" w:type="dxa"/>
            <w:shd w:val="clear" w:color="000000" w:fill="auto"/>
            <w:noWrap/>
            <w:vAlign w:val="center"/>
          </w:tcPr>
          <w:p w14:paraId="3EC1B9EC"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建安费用</w:t>
            </w:r>
            <w:r>
              <w:rPr>
                <w:rFonts w:ascii="Arial" w:eastAsia="仿宋" w:hAnsi="Arial" w:cs="Arial"/>
                <w:sz w:val="21"/>
                <w:szCs w:val="21"/>
              </w:rPr>
              <w:t>×</w:t>
            </w:r>
            <w:r>
              <w:rPr>
                <w:rFonts w:ascii="Arial" w:eastAsia="仿宋" w:hAnsi="Arial" w:cs="Arial"/>
                <w:sz w:val="21"/>
                <w:szCs w:val="21"/>
              </w:rPr>
              <w:t>费率</w:t>
            </w:r>
          </w:p>
        </w:tc>
        <w:tc>
          <w:tcPr>
            <w:tcW w:w="1535" w:type="dxa"/>
            <w:shd w:val="clear" w:color="000000" w:fill="auto"/>
            <w:noWrap/>
            <w:vAlign w:val="center"/>
          </w:tcPr>
          <w:p w14:paraId="2906623C"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费率（</w:t>
            </w:r>
            <w:r>
              <w:rPr>
                <w:rFonts w:ascii="Arial" w:eastAsia="仿宋" w:hAnsi="Arial" w:cs="Arial"/>
                <w:sz w:val="21"/>
                <w:szCs w:val="21"/>
              </w:rPr>
              <w:t>%</w:t>
            </w:r>
            <w:r>
              <w:rPr>
                <w:rFonts w:ascii="Arial" w:eastAsia="仿宋" w:hAnsi="Arial" w:cs="Arial"/>
                <w:sz w:val="21"/>
                <w:szCs w:val="21"/>
              </w:rPr>
              <w:t>）</w:t>
            </w:r>
          </w:p>
        </w:tc>
        <w:tc>
          <w:tcPr>
            <w:tcW w:w="0" w:type="auto"/>
            <w:shd w:val="clear" w:color="000000" w:fill="auto"/>
            <w:noWrap/>
            <w:vAlign w:val="center"/>
          </w:tcPr>
          <w:p w14:paraId="74F366EB"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1.5%</w:t>
            </w:r>
          </w:p>
        </w:tc>
      </w:tr>
      <w:tr w:rsidR="0062768B" w14:paraId="591E77AE" w14:textId="77777777">
        <w:trPr>
          <w:trHeight w:val="20"/>
          <w:jc w:val="center"/>
        </w:trPr>
        <w:tc>
          <w:tcPr>
            <w:tcW w:w="753" w:type="dxa"/>
            <w:shd w:val="clear" w:color="000000" w:fill="auto"/>
            <w:noWrap/>
            <w:vAlign w:val="center"/>
          </w:tcPr>
          <w:p w14:paraId="4225F691"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w:t>
            </w:r>
          </w:p>
        </w:tc>
        <w:tc>
          <w:tcPr>
            <w:tcW w:w="1534" w:type="dxa"/>
            <w:shd w:val="clear" w:color="000000" w:fill="auto"/>
            <w:noWrap/>
            <w:vAlign w:val="center"/>
          </w:tcPr>
          <w:p w14:paraId="4570DEA9"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建造成本</w:t>
            </w:r>
          </w:p>
        </w:tc>
        <w:tc>
          <w:tcPr>
            <w:tcW w:w="1092" w:type="dxa"/>
            <w:shd w:val="clear" w:color="000000" w:fill="auto"/>
            <w:noWrap/>
            <w:vAlign w:val="center"/>
          </w:tcPr>
          <w:p w14:paraId="161AC5E6" w14:textId="77777777" w:rsidR="0062768B" w:rsidRDefault="00136729">
            <w:pPr>
              <w:spacing w:line="240" w:lineRule="exact"/>
              <w:jc w:val="center"/>
              <w:rPr>
                <w:rFonts w:ascii="Arial" w:eastAsia="仿宋" w:hAnsi="Arial" w:cs="Arial"/>
                <w:sz w:val="21"/>
                <w:szCs w:val="21"/>
                <w:lang w:eastAsia="zh-Hans"/>
              </w:rPr>
            </w:pPr>
            <w:r>
              <w:rPr>
                <w:rFonts w:ascii="Arial" w:eastAsia="仿宋" w:hAnsi="Arial" w:cs="Arial"/>
                <w:sz w:val="21"/>
                <w:szCs w:val="21"/>
              </w:rPr>
              <w:t>383.9745</w:t>
            </w:r>
          </w:p>
        </w:tc>
        <w:tc>
          <w:tcPr>
            <w:tcW w:w="4727" w:type="dxa"/>
            <w:gridSpan w:val="2"/>
            <w:shd w:val="clear" w:color="000000" w:fill="auto"/>
            <w:noWrap/>
            <w:vAlign w:val="center"/>
          </w:tcPr>
          <w:p w14:paraId="1C26CD7E"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建安费用</w:t>
            </w:r>
            <w:r>
              <w:rPr>
                <w:rFonts w:ascii="Arial" w:eastAsia="仿宋" w:hAnsi="Arial" w:cs="Arial"/>
                <w:sz w:val="21"/>
                <w:szCs w:val="21"/>
              </w:rPr>
              <w:t>+</w:t>
            </w:r>
            <w:r>
              <w:rPr>
                <w:rFonts w:ascii="Arial" w:eastAsia="仿宋" w:hAnsi="Arial" w:cs="Arial"/>
                <w:sz w:val="21"/>
                <w:szCs w:val="21"/>
              </w:rPr>
              <w:t>勘察设计和前期工程费</w:t>
            </w:r>
            <w:r>
              <w:rPr>
                <w:rFonts w:ascii="Arial" w:eastAsia="仿宋" w:hAnsi="Arial" w:cs="Arial"/>
                <w:sz w:val="21"/>
                <w:szCs w:val="21"/>
              </w:rPr>
              <w:t>+</w:t>
            </w:r>
            <w:r>
              <w:rPr>
                <w:rFonts w:ascii="Arial" w:eastAsia="仿宋" w:hAnsi="Arial" w:cs="Arial"/>
                <w:sz w:val="21"/>
                <w:szCs w:val="21"/>
              </w:rPr>
              <w:t>公共配套设施费用</w:t>
            </w:r>
            <w:r>
              <w:rPr>
                <w:rFonts w:ascii="Arial" w:eastAsia="仿宋" w:hAnsi="Arial" w:cs="Arial"/>
                <w:sz w:val="21"/>
                <w:szCs w:val="21"/>
              </w:rPr>
              <w:t>+</w:t>
            </w:r>
            <w:r>
              <w:rPr>
                <w:rFonts w:ascii="Arial" w:eastAsia="仿宋" w:hAnsi="Arial" w:cs="Arial"/>
                <w:sz w:val="21"/>
                <w:szCs w:val="21"/>
              </w:rPr>
              <w:t>基础设施建设费</w:t>
            </w:r>
            <w:r>
              <w:rPr>
                <w:rFonts w:ascii="Arial" w:eastAsia="仿宋" w:hAnsi="Arial" w:cs="Arial"/>
                <w:sz w:val="21"/>
                <w:szCs w:val="21"/>
              </w:rPr>
              <w:t>+</w:t>
            </w:r>
            <w:r>
              <w:rPr>
                <w:rFonts w:ascii="Arial" w:eastAsia="仿宋" w:hAnsi="Arial" w:cs="Arial"/>
                <w:sz w:val="21"/>
                <w:szCs w:val="21"/>
              </w:rPr>
              <w:t>相关税费</w:t>
            </w:r>
          </w:p>
        </w:tc>
        <w:tc>
          <w:tcPr>
            <w:tcW w:w="0" w:type="auto"/>
            <w:shd w:val="clear" w:color="000000" w:fill="auto"/>
            <w:noWrap/>
            <w:vAlign w:val="center"/>
          </w:tcPr>
          <w:p w14:paraId="17A61273" w14:textId="77777777" w:rsidR="0062768B" w:rsidRDefault="0062768B">
            <w:pPr>
              <w:spacing w:line="240" w:lineRule="exact"/>
              <w:jc w:val="center"/>
              <w:rPr>
                <w:rFonts w:ascii="Arial" w:eastAsia="仿宋" w:hAnsi="Arial" w:cs="Arial"/>
                <w:sz w:val="21"/>
                <w:szCs w:val="21"/>
              </w:rPr>
            </w:pPr>
          </w:p>
        </w:tc>
      </w:tr>
      <w:tr w:rsidR="0062768B" w14:paraId="71468EC7" w14:textId="77777777">
        <w:trPr>
          <w:trHeight w:val="20"/>
          <w:jc w:val="center"/>
        </w:trPr>
        <w:tc>
          <w:tcPr>
            <w:tcW w:w="753" w:type="dxa"/>
            <w:shd w:val="clear" w:color="000000" w:fill="auto"/>
            <w:noWrap/>
            <w:vAlign w:val="center"/>
          </w:tcPr>
          <w:p w14:paraId="00E22701"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2</w:t>
            </w:r>
            <w:r>
              <w:rPr>
                <w:rFonts w:ascii="Arial" w:eastAsia="仿宋" w:hAnsi="Arial" w:cs="Arial"/>
                <w:sz w:val="21"/>
                <w:szCs w:val="21"/>
              </w:rPr>
              <w:t>）</w:t>
            </w:r>
          </w:p>
        </w:tc>
        <w:tc>
          <w:tcPr>
            <w:tcW w:w="1534" w:type="dxa"/>
            <w:shd w:val="clear" w:color="000000" w:fill="auto"/>
            <w:noWrap/>
            <w:vAlign w:val="center"/>
          </w:tcPr>
          <w:p w14:paraId="7EFF0E34"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管理费用</w:t>
            </w:r>
          </w:p>
        </w:tc>
        <w:tc>
          <w:tcPr>
            <w:tcW w:w="1092" w:type="dxa"/>
            <w:shd w:val="clear" w:color="000000" w:fill="auto"/>
            <w:noWrap/>
            <w:vAlign w:val="center"/>
          </w:tcPr>
          <w:p w14:paraId="19D0CD9E" w14:textId="77777777" w:rsidR="0062768B" w:rsidRDefault="00136729">
            <w:pPr>
              <w:spacing w:line="240" w:lineRule="exact"/>
              <w:jc w:val="center"/>
              <w:rPr>
                <w:rFonts w:ascii="Arial" w:eastAsia="仿宋" w:hAnsi="Arial" w:cs="Arial"/>
                <w:sz w:val="21"/>
                <w:szCs w:val="21"/>
                <w:lang w:eastAsia="zh-Hans"/>
              </w:rPr>
            </w:pPr>
            <w:r>
              <w:rPr>
                <w:rFonts w:ascii="Arial" w:eastAsia="仿宋" w:hAnsi="Arial" w:cs="Arial"/>
                <w:sz w:val="21"/>
                <w:szCs w:val="21"/>
              </w:rPr>
              <w:t>11.5192</w:t>
            </w:r>
          </w:p>
        </w:tc>
        <w:tc>
          <w:tcPr>
            <w:tcW w:w="3192" w:type="dxa"/>
            <w:shd w:val="clear" w:color="000000" w:fill="auto"/>
            <w:vAlign w:val="center"/>
          </w:tcPr>
          <w:p w14:paraId="7A6CD4A0"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建造成本</w:t>
            </w:r>
            <w:r>
              <w:rPr>
                <w:rFonts w:ascii="Arial" w:eastAsia="仿宋" w:hAnsi="Arial" w:cs="Arial"/>
                <w:sz w:val="21"/>
                <w:szCs w:val="21"/>
              </w:rPr>
              <w:t>×</w:t>
            </w:r>
            <w:r>
              <w:rPr>
                <w:rFonts w:ascii="Arial" w:eastAsia="仿宋" w:hAnsi="Arial" w:cs="Arial"/>
                <w:sz w:val="21"/>
                <w:szCs w:val="21"/>
              </w:rPr>
              <w:t>费率</w:t>
            </w:r>
          </w:p>
        </w:tc>
        <w:tc>
          <w:tcPr>
            <w:tcW w:w="1535" w:type="dxa"/>
            <w:shd w:val="clear" w:color="000000" w:fill="auto"/>
            <w:noWrap/>
            <w:vAlign w:val="center"/>
          </w:tcPr>
          <w:p w14:paraId="3C26011A"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费率（</w:t>
            </w:r>
            <w:r>
              <w:rPr>
                <w:rFonts w:ascii="Arial" w:eastAsia="仿宋" w:hAnsi="Arial" w:cs="Arial"/>
                <w:sz w:val="21"/>
                <w:szCs w:val="21"/>
              </w:rPr>
              <w:t>%</w:t>
            </w:r>
            <w:r>
              <w:rPr>
                <w:rFonts w:ascii="Arial" w:eastAsia="仿宋" w:hAnsi="Arial" w:cs="Arial"/>
                <w:sz w:val="21"/>
                <w:szCs w:val="21"/>
              </w:rPr>
              <w:t>）</w:t>
            </w:r>
          </w:p>
        </w:tc>
        <w:tc>
          <w:tcPr>
            <w:tcW w:w="0" w:type="auto"/>
            <w:shd w:val="clear" w:color="000000" w:fill="auto"/>
            <w:noWrap/>
            <w:vAlign w:val="center"/>
          </w:tcPr>
          <w:p w14:paraId="19050968"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3.0%</w:t>
            </w:r>
          </w:p>
        </w:tc>
      </w:tr>
      <w:tr w:rsidR="0062768B" w14:paraId="73743443" w14:textId="77777777">
        <w:trPr>
          <w:trHeight w:val="20"/>
          <w:jc w:val="center"/>
        </w:trPr>
        <w:tc>
          <w:tcPr>
            <w:tcW w:w="753" w:type="dxa"/>
            <w:shd w:val="clear" w:color="000000" w:fill="auto"/>
            <w:noWrap/>
            <w:vAlign w:val="center"/>
          </w:tcPr>
          <w:p w14:paraId="3AE06ABE"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3</w:t>
            </w:r>
            <w:r>
              <w:rPr>
                <w:rFonts w:ascii="Arial" w:eastAsia="仿宋" w:hAnsi="Arial" w:cs="Arial"/>
                <w:sz w:val="21"/>
                <w:szCs w:val="21"/>
              </w:rPr>
              <w:t>）</w:t>
            </w:r>
          </w:p>
        </w:tc>
        <w:tc>
          <w:tcPr>
            <w:tcW w:w="1534" w:type="dxa"/>
            <w:shd w:val="clear" w:color="000000" w:fill="auto"/>
            <w:noWrap/>
            <w:vAlign w:val="center"/>
          </w:tcPr>
          <w:p w14:paraId="4E6BDE01"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销售费用</w:t>
            </w:r>
          </w:p>
        </w:tc>
        <w:tc>
          <w:tcPr>
            <w:tcW w:w="1092" w:type="dxa"/>
            <w:shd w:val="clear" w:color="000000" w:fill="auto"/>
            <w:noWrap/>
            <w:vAlign w:val="center"/>
          </w:tcPr>
          <w:p w14:paraId="1B30A42F"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w:t>
            </w:r>
          </w:p>
        </w:tc>
        <w:tc>
          <w:tcPr>
            <w:tcW w:w="3192" w:type="dxa"/>
            <w:shd w:val="clear" w:color="000000" w:fill="auto"/>
            <w:vAlign w:val="center"/>
          </w:tcPr>
          <w:p w14:paraId="34174E0E"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建筑物重置价格</w:t>
            </w:r>
            <w:r>
              <w:rPr>
                <w:rFonts w:ascii="Arial" w:eastAsia="仿宋" w:hAnsi="Arial" w:cs="Arial"/>
                <w:sz w:val="21"/>
                <w:szCs w:val="21"/>
              </w:rPr>
              <w:t>×</w:t>
            </w:r>
            <w:r>
              <w:rPr>
                <w:rFonts w:ascii="Arial" w:eastAsia="仿宋" w:hAnsi="Arial" w:cs="Arial"/>
                <w:sz w:val="21"/>
                <w:szCs w:val="21"/>
              </w:rPr>
              <w:t>费率</w:t>
            </w:r>
          </w:p>
        </w:tc>
        <w:tc>
          <w:tcPr>
            <w:tcW w:w="1535" w:type="dxa"/>
            <w:shd w:val="clear" w:color="000000" w:fill="auto"/>
            <w:noWrap/>
            <w:vAlign w:val="center"/>
          </w:tcPr>
          <w:p w14:paraId="7D1A44A7"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销售费率（</w:t>
            </w:r>
            <w:r>
              <w:rPr>
                <w:rFonts w:ascii="Arial" w:eastAsia="仿宋" w:hAnsi="Arial" w:cs="Arial"/>
                <w:sz w:val="21"/>
                <w:szCs w:val="21"/>
              </w:rPr>
              <w:t>%</w:t>
            </w:r>
            <w:r>
              <w:rPr>
                <w:rFonts w:ascii="Arial" w:eastAsia="仿宋" w:hAnsi="Arial" w:cs="Arial"/>
                <w:sz w:val="21"/>
                <w:szCs w:val="21"/>
              </w:rPr>
              <w:t>）</w:t>
            </w:r>
          </w:p>
        </w:tc>
        <w:tc>
          <w:tcPr>
            <w:tcW w:w="0" w:type="auto"/>
            <w:shd w:val="clear" w:color="000000" w:fill="auto"/>
            <w:noWrap/>
            <w:vAlign w:val="center"/>
          </w:tcPr>
          <w:p w14:paraId="73C8A523"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4.0%</w:t>
            </w:r>
          </w:p>
        </w:tc>
      </w:tr>
      <w:tr w:rsidR="0062768B" w14:paraId="33EC496E" w14:textId="77777777">
        <w:trPr>
          <w:trHeight w:val="20"/>
          <w:jc w:val="center"/>
        </w:trPr>
        <w:tc>
          <w:tcPr>
            <w:tcW w:w="753" w:type="dxa"/>
            <w:shd w:val="clear" w:color="000000" w:fill="auto"/>
            <w:noWrap/>
            <w:vAlign w:val="center"/>
          </w:tcPr>
          <w:p w14:paraId="4C05D49E"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4</w:t>
            </w:r>
            <w:r>
              <w:rPr>
                <w:rFonts w:ascii="Arial" w:eastAsia="仿宋" w:hAnsi="Arial" w:cs="Arial"/>
                <w:sz w:val="21"/>
                <w:szCs w:val="21"/>
              </w:rPr>
              <w:t>）</w:t>
            </w:r>
          </w:p>
        </w:tc>
        <w:tc>
          <w:tcPr>
            <w:tcW w:w="1534" w:type="dxa"/>
            <w:shd w:val="clear" w:color="000000" w:fill="auto"/>
            <w:noWrap/>
            <w:vAlign w:val="center"/>
          </w:tcPr>
          <w:p w14:paraId="16BA88FE"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贷款利息</w:t>
            </w:r>
          </w:p>
        </w:tc>
        <w:tc>
          <w:tcPr>
            <w:tcW w:w="1092" w:type="dxa"/>
            <w:shd w:val="clear" w:color="000000" w:fill="auto"/>
            <w:noWrap/>
            <w:vAlign w:val="center"/>
          </w:tcPr>
          <w:p w14:paraId="0D2638B7"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 xml:space="preserve">　</w:t>
            </w:r>
          </w:p>
        </w:tc>
        <w:tc>
          <w:tcPr>
            <w:tcW w:w="4727" w:type="dxa"/>
            <w:gridSpan w:val="2"/>
            <w:shd w:val="clear" w:color="000000" w:fill="auto"/>
            <w:noWrap/>
            <w:vAlign w:val="center"/>
          </w:tcPr>
          <w:p w14:paraId="0E5A800D" w14:textId="77777777" w:rsidR="0062768B" w:rsidRDefault="00136729">
            <w:pPr>
              <w:spacing w:line="240" w:lineRule="exact"/>
              <w:jc w:val="both"/>
              <w:rPr>
                <w:rFonts w:ascii="Arial" w:eastAsia="仿宋" w:hAnsi="Arial" w:cs="Arial"/>
                <w:sz w:val="21"/>
                <w:szCs w:val="21"/>
              </w:rPr>
            </w:pPr>
            <w:commentRangeStart w:id="376"/>
            <w:r>
              <w:rPr>
                <w:rFonts w:ascii="Arial" w:eastAsia="仿宋" w:hAnsi="Arial" w:cs="Arial"/>
                <w:sz w:val="21"/>
                <w:szCs w:val="21"/>
              </w:rPr>
              <w:t>单</w:t>
            </w:r>
            <w:commentRangeEnd w:id="376"/>
            <w:r w:rsidR="00CE6FFC">
              <w:rPr>
                <w:rStyle w:val="af6"/>
                <w:lang w:val="zh-CN"/>
              </w:rPr>
              <w:commentReference w:id="376"/>
            </w:r>
            <w:r>
              <w:rPr>
                <w:rFonts w:ascii="Arial" w:eastAsia="仿宋" w:hAnsi="Arial" w:cs="Arial"/>
                <w:sz w:val="21"/>
                <w:szCs w:val="21"/>
              </w:rPr>
              <w:t>利计息。建造成本、管理费用、销售费用产生的利息。</w:t>
            </w:r>
          </w:p>
        </w:tc>
        <w:tc>
          <w:tcPr>
            <w:tcW w:w="0" w:type="auto"/>
            <w:shd w:val="clear" w:color="000000" w:fill="auto"/>
            <w:noWrap/>
            <w:vAlign w:val="center"/>
          </w:tcPr>
          <w:p w14:paraId="40EF35B5" w14:textId="77777777" w:rsidR="0062768B" w:rsidRDefault="0062768B">
            <w:pPr>
              <w:spacing w:line="240" w:lineRule="exact"/>
              <w:jc w:val="center"/>
              <w:rPr>
                <w:rFonts w:ascii="Arial" w:eastAsia="仿宋" w:hAnsi="Arial" w:cs="Arial"/>
                <w:sz w:val="21"/>
                <w:szCs w:val="21"/>
              </w:rPr>
            </w:pPr>
          </w:p>
        </w:tc>
      </w:tr>
      <w:tr w:rsidR="0062768B" w14:paraId="3B1E430E" w14:textId="77777777">
        <w:trPr>
          <w:trHeight w:val="20"/>
          <w:jc w:val="center"/>
        </w:trPr>
        <w:tc>
          <w:tcPr>
            <w:tcW w:w="753" w:type="dxa"/>
            <w:shd w:val="clear" w:color="000000" w:fill="auto"/>
            <w:noWrap/>
            <w:vAlign w:val="center"/>
          </w:tcPr>
          <w:p w14:paraId="0AC9D14A"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w:t>
            </w:r>
          </w:p>
        </w:tc>
        <w:tc>
          <w:tcPr>
            <w:tcW w:w="1534" w:type="dxa"/>
            <w:shd w:val="clear" w:color="000000" w:fill="auto"/>
            <w:noWrap/>
            <w:vAlign w:val="center"/>
          </w:tcPr>
          <w:p w14:paraId="7B6EAC91"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）及（</w:t>
            </w:r>
            <w:r>
              <w:rPr>
                <w:rFonts w:ascii="Arial" w:eastAsia="仿宋" w:hAnsi="Arial" w:cs="Arial"/>
                <w:sz w:val="21"/>
                <w:szCs w:val="21"/>
              </w:rPr>
              <w:t>2</w:t>
            </w:r>
            <w:r>
              <w:rPr>
                <w:rFonts w:ascii="Arial" w:eastAsia="仿宋" w:hAnsi="Arial" w:cs="Arial"/>
                <w:sz w:val="21"/>
                <w:szCs w:val="21"/>
              </w:rPr>
              <w:t>）</w:t>
            </w:r>
            <w:proofErr w:type="gramStart"/>
            <w:r>
              <w:rPr>
                <w:rFonts w:ascii="Arial" w:eastAsia="仿宋" w:hAnsi="Arial" w:cs="Arial"/>
                <w:sz w:val="21"/>
                <w:szCs w:val="21"/>
              </w:rPr>
              <w:t>项产生</w:t>
            </w:r>
            <w:proofErr w:type="gramEnd"/>
            <w:r>
              <w:rPr>
                <w:rFonts w:ascii="Arial" w:eastAsia="仿宋" w:hAnsi="Arial" w:cs="Arial"/>
                <w:sz w:val="21"/>
                <w:szCs w:val="21"/>
              </w:rPr>
              <w:t>的利息</w:t>
            </w:r>
          </w:p>
        </w:tc>
        <w:tc>
          <w:tcPr>
            <w:tcW w:w="1092" w:type="dxa"/>
            <w:shd w:val="clear" w:color="000000" w:fill="auto"/>
            <w:noWrap/>
            <w:vAlign w:val="center"/>
          </w:tcPr>
          <w:p w14:paraId="5FDF28B7" w14:textId="77777777" w:rsidR="0062768B" w:rsidRDefault="00136729">
            <w:pPr>
              <w:spacing w:line="240" w:lineRule="exact"/>
              <w:jc w:val="center"/>
              <w:rPr>
                <w:rFonts w:ascii="Arial" w:eastAsia="仿宋" w:hAnsi="Arial" w:cs="Arial"/>
                <w:sz w:val="21"/>
                <w:szCs w:val="21"/>
                <w:lang w:eastAsia="zh-Hans"/>
              </w:rPr>
            </w:pPr>
            <w:r>
              <w:rPr>
                <w:rFonts w:ascii="Arial" w:eastAsia="仿宋" w:hAnsi="Arial" w:cs="Arial"/>
                <w:sz w:val="21"/>
                <w:szCs w:val="21"/>
              </w:rPr>
              <w:t>23.6202</w:t>
            </w:r>
          </w:p>
        </w:tc>
        <w:tc>
          <w:tcPr>
            <w:tcW w:w="3192" w:type="dxa"/>
            <w:shd w:val="clear" w:color="000000" w:fill="auto"/>
            <w:noWrap/>
            <w:vAlign w:val="center"/>
          </w:tcPr>
          <w:p w14:paraId="0F29E002"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建造成本</w:t>
            </w:r>
            <w:r>
              <w:rPr>
                <w:rFonts w:ascii="Arial" w:eastAsia="仿宋" w:hAnsi="Arial" w:cs="Arial"/>
                <w:sz w:val="21"/>
                <w:szCs w:val="21"/>
              </w:rPr>
              <w:t>+</w:t>
            </w:r>
            <w:r>
              <w:rPr>
                <w:rFonts w:ascii="Arial" w:eastAsia="仿宋" w:hAnsi="Arial" w:cs="Arial"/>
                <w:sz w:val="21"/>
                <w:szCs w:val="21"/>
              </w:rPr>
              <w:t>管理费用</w:t>
            </w:r>
            <w:r>
              <w:rPr>
                <w:rFonts w:ascii="Arial" w:eastAsia="仿宋" w:hAnsi="Arial" w:cs="Arial"/>
                <w:sz w:val="21"/>
                <w:szCs w:val="21"/>
              </w:rPr>
              <w:t>)×[(1+</w:t>
            </w:r>
            <w:r>
              <w:rPr>
                <w:rFonts w:ascii="Arial" w:eastAsia="仿宋" w:hAnsi="Arial" w:cs="Arial"/>
                <w:sz w:val="21"/>
                <w:szCs w:val="21"/>
              </w:rPr>
              <w:t>利率</w:t>
            </w:r>
            <w:r>
              <w:rPr>
                <w:rFonts w:ascii="Arial" w:eastAsia="仿宋" w:hAnsi="Arial" w:cs="Arial"/>
                <w:sz w:val="21"/>
                <w:szCs w:val="21"/>
              </w:rPr>
              <w:t>)^(</w:t>
            </w:r>
            <w:r>
              <w:rPr>
                <w:rFonts w:ascii="Arial" w:eastAsia="仿宋" w:hAnsi="Arial" w:cs="Arial"/>
                <w:sz w:val="21"/>
                <w:szCs w:val="21"/>
              </w:rPr>
              <w:t>建设周期</w:t>
            </w:r>
            <w:r>
              <w:rPr>
                <w:rFonts w:ascii="Arial" w:eastAsia="仿宋" w:hAnsi="Arial" w:cs="Arial"/>
                <w:sz w:val="21"/>
                <w:szCs w:val="21"/>
              </w:rPr>
              <w:t>÷2)-1]</w:t>
            </w:r>
          </w:p>
        </w:tc>
        <w:tc>
          <w:tcPr>
            <w:tcW w:w="1535" w:type="dxa"/>
            <w:shd w:val="clear" w:color="000000" w:fill="auto"/>
            <w:noWrap/>
            <w:vAlign w:val="center"/>
          </w:tcPr>
          <w:p w14:paraId="548352F0"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建设周期（年）</w:t>
            </w:r>
          </w:p>
        </w:tc>
        <w:tc>
          <w:tcPr>
            <w:tcW w:w="0" w:type="auto"/>
            <w:shd w:val="clear" w:color="000000" w:fill="auto"/>
            <w:noWrap/>
            <w:vAlign w:val="center"/>
          </w:tcPr>
          <w:p w14:paraId="4D11B374"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2.5</w:t>
            </w:r>
          </w:p>
        </w:tc>
      </w:tr>
      <w:tr w:rsidR="0062768B" w14:paraId="05A9ADCB" w14:textId="77777777">
        <w:trPr>
          <w:trHeight w:val="20"/>
          <w:jc w:val="center"/>
        </w:trPr>
        <w:tc>
          <w:tcPr>
            <w:tcW w:w="753" w:type="dxa"/>
            <w:shd w:val="clear" w:color="000000" w:fill="auto"/>
            <w:noWrap/>
            <w:vAlign w:val="center"/>
          </w:tcPr>
          <w:p w14:paraId="12FF48BB"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w:t>
            </w:r>
          </w:p>
        </w:tc>
        <w:tc>
          <w:tcPr>
            <w:tcW w:w="1534" w:type="dxa"/>
            <w:shd w:val="clear" w:color="000000" w:fill="auto"/>
            <w:noWrap/>
            <w:vAlign w:val="center"/>
          </w:tcPr>
          <w:p w14:paraId="6695DCD6"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销售费用产生的利息</w:t>
            </w:r>
          </w:p>
        </w:tc>
        <w:tc>
          <w:tcPr>
            <w:tcW w:w="1092" w:type="dxa"/>
            <w:shd w:val="clear" w:color="000000" w:fill="auto"/>
            <w:noWrap/>
            <w:vAlign w:val="center"/>
          </w:tcPr>
          <w:p w14:paraId="1E45F2B5"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0.0024</w:t>
            </w:r>
          </w:p>
        </w:tc>
        <w:tc>
          <w:tcPr>
            <w:tcW w:w="3192" w:type="dxa"/>
            <w:shd w:val="clear" w:color="000000" w:fill="auto"/>
            <w:noWrap/>
            <w:vAlign w:val="center"/>
          </w:tcPr>
          <w:p w14:paraId="7C7CD1FB"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销售费用</w:t>
            </w:r>
            <w:r>
              <w:rPr>
                <w:rFonts w:ascii="Arial" w:eastAsia="仿宋" w:hAnsi="Arial" w:cs="Arial"/>
                <w:sz w:val="21"/>
                <w:szCs w:val="21"/>
              </w:rPr>
              <w:t>×[(1+</w:t>
            </w:r>
            <w:r>
              <w:rPr>
                <w:rFonts w:ascii="Arial" w:eastAsia="仿宋" w:hAnsi="Arial" w:cs="Arial"/>
                <w:sz w:val="21"/>
                <w:szCs w:val="21"/>
              </w:rPr>
              <w:t>利率</w:t>
            </w:r>
            <w:r>
              <w:rPr>
                <w:rFonts w:ascii="Arial" w:eastAsia="仿宋" w:hAnsi="Arial" w:cs="Arial"/>
                <w:sz w:val="21"/>
                <w:szCs w:val="21"/>
              </w:rPr>
              <w:t>)^(</w:t>
            </w:r>
            <w:r>
              <w:rPr>
                <w:rFonts w:ascii="Arial" w:eastAsia="仿宋" w:hAnsi="Arial" w:cs="Arial"/>
                <w:sz w:val="21"/>
                <w:szCs w:val="21"/>
              </w:rPr>
              <w:t>建设周期</w:t>
            </w:r>
            <w:r>
              <w:rPr>
                <w:rFonts w:ascii="Arial" w:eastAsia="仿宋" w:hAnsi="Arial" w:cs="Arial"/>
                <w:sz w:val="21"/>
                <w:szCs w:val="21"/>
              </w:rPr>
              <w:t>÷2)-1]</w:t>
            </w:r>
          </w:p>
        </w:tc>
        <w:tc>
          <w:tcPr>
            <w:tcW w:w="1535" w:type="dxa"/>
            <w:shd w:val="clear" w:color="000000" w:fill="auto"/>
            <w:noWrap/>
            <w:vAlign w:val="center"/>
          </w:tcPr>
          <w:p w14:paraId="5B908E48"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利息（</w:t>
            </w:r>
            <w:r>
              <w:rPr>
                <w:rFonts w:ascii="Arial" w:eastAsia="仿宋" w:hAnsi="Arial" w:cs="Arial"/>
                <w:sz w:val="21"/>
                <w:szCs w:val="21"/>
              </w:rPr>
              <w:t>%</w:t>
            </w:r>
            <w:r>
              <w:rPr>
                <w:rFonts w:ascii="Arial" w:eastAsia="仿宋" w:hAnsi="Arial" w:cs="Arial"/>
                <w:sz w:val="21"/>
                <w:szCs w:val="21"/>
              </w:rPr>
              <w:t>）</w:t>
            </w:r>
          </w:p>
        </w:tc>
        <w:tc>
          <w:tcPr>
            <w:tcW w:w="0" w:type="auto"/>
            <w:shd w:val="clear" w:color="000000" w:fill="auto"/>
            <w:noWrap/>
            <w:vAlign w:val="center"/>
          </w:tcPr>
          <w:p w14:paraId="53AF42FC"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4.75%</w:t>
            </w:r>
          </w:p>
        </w:tc>
      </w:tr>
      <w:tr w:rsidR="0062768B" w14:paraId="3E43F4AF" w14:textId="77777777">
        <w:trPr>
          <w:trHeight w:val="20"/>
          <w:jc w:val="center"/>
        </w:trPr>
        <w:tc>
          <w:tcPr>
            <w:tcW w:w="753" w:type="dxa"/>
            <w:shd w:val="clear" w:color="000000" w:fill="auto"/>
            <w:noWrap/>
            <w:vAlign w:val="center"/>
          </w:tcPr>
          <w:p w14:paraId="597CFBF8"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5</w:t>
            </w:r>
            <w:r>
              <w:rPr>
                <w:rFonts w:ascii="Arial" w:eastAsia="仿宋" w:hAnsi="Arial" w:cs="Arial"/>
                <w:sz w:val="21"/>
                <w:szCs w:val="21"/>
              </w:rPr>
              <w:t>）</w:t>
            </w:r>
          </w:p>
        </w:tc>
        <w:tc>
          <w:tcPr>
            <w:tcW w:w="1534" w:type="dxa"/>
            <w:shd w:val="clear" w:color="000000" w:fill="auto"/>
            <w:noWrap/>
            <w:vAlign w:val="center"/>
          </w:tcPr>
          <w:p w14:paraId="2ADB2DEA"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利润</w:t>
            </w:r>
          </w:p>
        </w:tc>
        <w:tc>
          <w:tcPr>
            <w:tcW w:w="1092" w:type="dxa"/>
            <w:shd w:val="clear" w:color="000000" w:fill="auto"/>
            <w:noWrap/>
            <w:vAlign w:val="center"/>
          </w:tcPr>
          <w:p w14:paraId="357D3529"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 xml:space="preserve">　</w:t>
            </w:r>
          </w:p>
        </w:tc>
        <w:tc>
          <w:tcPr>
            <w:tcW w:w="5845" w:type="dxa"/>
            <w:gridSpan w:val="3"/>
            <w:shd w:val="clear" w:color="000000" w:fill="auto"/>
            <w:noWrap/>
            <w:vAlign w:val="center"/>
          </w:tcPr>
          <w:p w14:paraId="1F6D46DB"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（建造成本</w:t>
            </w:r>
            <w:r>
              <w:rPr>
                <w:rFonts w:ascii="Arial" w:eastAsia="仿宋" w:hAnsi="Arial" w:cs="Arial"/>
                <w:sz w:val="21"/>
                <w:szCs w:val="21"/>
              </w:rPr>
              <w:t>+</w:t>
            </w:r>
            <w:r>
              <w:rPr>
                <w:rFonts w:ascii="Arial" w:eastAsia="仿宋" w:hAnsi="Arial" w:cs="Arial"/>
                <w:sz w:val="21"/>
                <w:szCs w:val="21"/>
              </w:rPr>
              <w:t>管理费用</w:t>
            </w:r>
            <w:r>
              <w:rPr>
                <w:rFonts w:ascii="Arial" w:eastAsia="仿宋" w:hAnsi="Arial" w:cs="Arial"/>
                <w:sz w:val="21"/>
                <w:szCs w:val="21"/>
              </w:rPr>
              <w:t>+</w:t>
            </w:r>
            <w:r>
              <w:rPr>
                <w:rFonts w:ascii="Arial" w:eastAsia="仿宋" w:hAnsi="Arial" w:cs="Arial"/>
                <w:sz w:val="21"/>
                <w:szCs w:val="21"/>
              </w:rPr>
              <w:t>销售费用）</w:t>
            </w:r>
            <w:r>
              <w:rPr>
                <w:rFonts w:ascii="Arial" w:eastAsia="仿宋" w:hAnsi="Arial" w:cs="Arial"/>
                <w:sz w:val="21"/>
                <w:szCs w:val="21"/>
              </w:rPr>
              <w:t>×</w:t>
            </w:r>
            <w:r>
              <w:rPr>
                <w:rFonts w:ascii="Arial" w:eastAsia="仿宋" w:hAnsi="Arial" w:cs="Arial"/>
                <w:sz w:val="21"/>
                <w:szCs w:val="21"/>
              </w:rPr>
              <w:t>利润率</w:t>
            </w:r>
          </w:p>
        </w:tc>
      </w:tr>
      <w:tr w:rsidR="0062768B" w14:paraId="565BC074" w14:textId="77777777">
        <w:trPr>
          <w:trHeight w:val="20"/>
          <w:jc w:val="center"/>
        </w:trPr>
        <w:tc>
          <w:tcPr>
            <w:tcW w:w="753" w:type="dxa"/>
            <w:shd w:val="clear" w:color="000000" w:fill="auto"/>
            <w:noWrap/>
            <w:vAlign w:val="center"/>
          </w:tcPr>
          <w:p w14:paraId="500EAF18"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w:t>
            </w:r>
          </w:p>
        </w:tc>
        <w:tc>
          <w:tcPr>
            <w:tcW w:w="1534" w:type="dxa"/>
            <w:shd w:val="clear" w:color="000000" w:fill="auto"/>
            <w:noWrap/>
            <w:vAlign w:val="center"/>
          </w:tcPr>
          <w:p w14:paraId="5E601D89"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）及（</w:t>
            </w:r>
            <w:r>
              <w:rPr>
                <w:rFonts w:ascii="Arial" w:eastAsia="仿宋" w:hAnsi="Arial" w:cs="Arial"/>
                <w:sz w:val="21"/>
                <w:szCs w:val="21"/>
              </w:rPr>
              <w:t>2</w:t>
            </w:r>
            <w:r>
              <w:rPr>
                <w:rFonts w:ascii="Arial" w:eastAsia="仿宋" w:hAnsi="Arial" w:cs="Arial"/>
                <w:sz w:val="21"/>
                <w:szCs w:val="21"/>
              </w:rPr>
              <w:t>）</w:t>
            </w:r>
            <w:proofErr w:type="gramStart"/>
            <w:r>
              <w:rPr>
                <w:rFonts w:ascii="Arial" w:eastAsia="仿宋" w:hAnsi="Arial" w:cs="Arial"/>
                <w:sz w:val="21"/>
                <w:szCs w:val="21"/>
              </w:rPr>
              <w:t>项产生</w:t>
            </w:r>
            <w:proofErr w:type="gramEnd"/>
            <w:r>
              <w:rPr>
                <w:rFonts w:ascii="Arial" w:eastAsia="仿宋" w:hAnsi="Arial" w:cs="Arial"/>
                <w:sz w:val="21"/>
                <w:szCs w:val="21"/>
              </w:rPr>
              <w:t>的利润</w:t>
            </w:r>
          </w:p>
        </w:tc>
        <w:tc>
          <w:tcPr>
            <w:tcW w:w="1092" w:type="dxa"/>
            <w:shd w:val="clear" w:color="000000" w:fill="auto"/>
            <w:noWrap/>
            <w:vAlign w:val="center"/>
          </w:tcPr>
          <w:p w14:paraId="2859E73D" w14:textId="77777777" w:rsidR="0062768B" w:rsidRDefault="00136729">
            <w:pPr>
              <w:spacing w:line="240" w:lineRule="exact"/>
              <w:jc w:val="center"/>
              <w:rPr>
                <w:rFonts w:ascii="Arial" w:eastAsia="仿宋" w:hAnsi="Arial" w:cs="Arial"/>
                <w:sz w:val="21"/>
                <w:szCs w:val="21"/>
                <w:lang w:eastAsia="zh-Hans"/>
              </w:rPr>
            </w:pPr>
            <w:r>
              <w:rPr>
                <w:rFonts w:ascii="Arial" w:eastAsia="仿宋" w:hAnsi="Arial" w:cs="Arial"/>
                <w:sz w:val="21"/>
                <w:szCs w:val="21"/>
              </w:rPr>
              <w:t>39.5494</w:t>
            </w:r>
          </w:p>
        </w:tc>
        <w:tc>
          <w:tcPr>
            <w:tcW w:w="3192" w:type="dxa"/>
            <w:shd w:val="clear" w:color="000000" w:fill="auto"/>
            <w:vAlign w:val="center"/>
          </w:tcPr>
          <w:p w14:paraId="1C08DA2A"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（建造成本</w:t>
            </w:r>
            <w:r>
              <w:rPr>
                <w:rFonts w:ascii="Arial" w:eastAsia="仿宋" w:hAnsi="Arial" w:cs="Arial"/>
                <w:sz w:val="21"/>
                <w:szCs w:val="21"/>
              </w:rPr>
              <w:t>+</w:t>
            </w:r>
            <w:r>
              <w:rPr>
                <w:rFonts w:ascii="Arial" w:eastAsia="仿宋" w:hAnsi="Arial" w:cs="Arial"/>
                <w:sz w:val="21"/>
                <w:szCs w:val="21"/>
              </w:rPr>
              <w:t>管理费用）</w:t>
            </w:r>
            <w:r>
              <w:rPr>
                <w:rFonts w:ascii="Arial" w:eastAsia="仿宋" w:hAnsi="Arial" w:cs="Arial"/>
                <w:sz w:val="21"/>
                <w:szCs w:val="21"/>
              </w:rPr>
              <w:t>×</w:t>
            </w:r>
            <w:r>
              <w:rPr>
                <w:rFonts w:ascii="Arial" w:eastAsia="仿宋" w:hAnsi="Arial" w:cs="Arial"/>
                <w:sz w:val="21"/>
                <w:szCs w:val="21"/>
              </w:rPr>
              <w:t>利润率</w:t>
            </w:r>
          </w:p>
        </w:tc>
        <w:tc>
          <w:tcPr>
            <w:tcW w:w="1535" w:type="dxa"/>
            <w:vMerge w:val="restart"/>
            <w:shd w:val="clear" w:color="000000" w:fill="auto"/>
            <w:noWrap/>
            <w:vAlign w:val="center"/>
          </w:tcPr>
          <w:p w14:paraId="1AA65048"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利润率（</w:t>
            </w:r>
            <w:r>
              <w:rPr>
                <w:rFonts w:ascii="Arial" w:eastAsia="仿宋" w:hAnsi="Arial" w:cs="Arial"/>
                <w:sz w:val="21"/>
                <w:szCs w:val="21"/>
              </w:rPr>
              <w:t>%</w:t>
            </w:r>
            <w:r>
              <w:rPr>
                <w:rFonts w:ascii="Arial" w:eastAsia="仿宋" w:hAnsi="Arial" w:cs="Arial"/>
                <w:sz w:val="21"/>
                <w:szCs w:val="21"/>
              </w:rPr>
              <w:t>）</w:t>
            </w:r>
          </w:p>
        </w:tc>
        <w:tc>
          <w:tcPr>
            <w:tcW w:w="0" w:type="auto"/>
            <w:vMerge w:val="restart"/>
            <w:shd w:val="clear" w:color="000000" w:fill="auto"/>
            <w:noWrap/>
            <w:vAlign w:val="center"/>
          </w:tcPr>
          <w:p w14:paraId="79629785"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10.0%</w:t>
            </w:r>
          </w:p>
        </w:tc>
      </w:tr>
      <w:tr w:rsidR="0062768B" w14:paraId="4DE884EE" w14:textId="77777777">
        <w:trPr>
          <w:trHeight w:val="20"/>
          <w:jc w:val="center"/>
        </w:trPr>
        <w:tc>
          <w:tcPr>
            <w:tcW w:w="753" w:type="dxa"/>
            <w:shd w:val="clear" w:color="000000" w:fill="auto"/>
            <w:noWrap/>
            <w:vAlign w:val="center"/>
          </w:tcPr>
          <w:p w14:paraId="18F2F4CA"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w:t>
            </w:r>
          </w:p>
        </w:tc>
        <w:tc>
          <w:tcPr>
            <w:tcW w:w="1534" w:type="dxa"/>
            <w:shd w:val="clear" w:color="000000" w:fill="auto"/>
            <w:noWrap/>
            <w:vAlign w:val="center"/>
          </w:tcPr>
          <w:p w14:paraId="3BA5AA45"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销售费用产生的利润</w:t>
            </w:r>
          </w:p>
        </w:tc>
        <w:tc>
          <w:tcPr>
            <w:tcW w:w="1092" w:type="dxa"/>
            <w:shd w:val="clear" w:color="000000" w:fill="auto"/>
            <w:noWrap/>
            <w:vAlign w:val="center"/>
          </w:tcPr>
          <w:p w14:paraId="5D81FE71"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0.0040</w:t>
            </w:r>
          </w:p>
        </w:tc>
        <w:tc>
          <w:tcPr>
            <w:tcW w:w="3192" w:type="dxa"/>
            <w:shd w:val="clear" w:color="000000" w:fill="auto"/>
            <w:vAlign w:val="center"/>
          </w:tcPr>
          <w:p w14:paraId="5F0B2C09"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销售费用</w:t>
            </w:r>
            <w:r>
              <w:rPr>
                <w:rFonts w:ascii="Arial" w:eastAsia="仿宋" w:hAnsi="Arial" w:cs="Arial"/>
                <w:sz w:val="21"/>
                <w:szCs w:val="21"/>
              </w:rPr>
              <w:t>×</w:t>
            </w:r>
            <w:r>
              <w:rPr>
                <w:rFonts w:ascii="Arial" w:eastAsia="仿宋" w:hAnsi="Arial" w:cs="Arial"/>
                <w:sz w:val="21"/>
                <w:szCs w:val="21"/>
              </w:rPr>
              <w:t>利润率</w:t>
            </w:r>
          </w:p>
        </w:tc>
        <w:tc>
          <w:tcPr>
            <w:tcW w:w="1535" w:type="dxa"/>
            <w:vMerge/>
            <w:shd w:val="clear" w:color="000000" w:fill="auto"/>
            <w:noWrap/>
            <w:vAlign w:val="center"/>
          </w:tcPr>
          <w:p w14:paraId="4AA54031" w14:textId="77777777" w:rsidR="0062768B" w:rsidRDefault="0062768B">
            <w:pPr>
              <w:spacing w:line="240" w:lineRule="exact"/>
              <w:jc w:val="both"/>
              <w:rPr>
                <w:rFonts w:ascii="Arial" w:eastAsia="仿宋" w:hAnsi="Arial" w:cs="Arial"/>
                <w:sz w:val="21"/>
                <w:szCs w:val="21"/>
              </w:rPr>
            </w:pPr>
          </w:p>
        </w:tc>
        <w:tc>
          <w:tcPr>
            <w:tcW w:w="0" w:type="auto"/>
            <w:vMerge/>
            <w:shd w:val="clear" w:color="000000" w:fill="auto"/>
            <w:noWrap/>
            <w:vAlign w:val="center"/>
          </w:tcPr>
          <w:p w14:paraId="409C795C" w14:textId="77777777" w:rsidR="0062768B" w:rsidRDefault="0062768B">
            <w:pPr>
              <w:spacing w:line="240" w:lineRule="exact"/>
              <w:jc w:val="center"/>
              <w:rPr>
                <w:rFonts w:ascii="Arial" w:eastAsia="仿宋" w:hAnsi="Arial" w:cs="Arial"/>
                <w:sz w:val="21"/>
                <w:szCs w:val="21"/>
              </w:rPr>
            </w:pPr>
          </w:p>
        </w:tc>
      </w:tr>
      <w:tr w:rsidR="0062768B" w14:paraId="45A23950" w14:textId="77777777">
        <w:trPr>
          <w:trHeight w:val="20"/>
          <w:jc w:val="center"/>
        </w:trPr>
        <w:tc>
          <w:tcPr>
            <w:tcW w:w="753" w:type="dxa"/>
            <w:shd w:val="clear" w:color="000000" w:fill="auto"/>
            <w:noWrap/>
            <w:vAlign w:val="center"/>
          </w:tcPr>
          <w:p w14:paraId="6C407560"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6</w:t>
            </w:r>
            <w:r>
              <w:rPr>
                <w:rFonts w:ascii="Arial" w:eastAsia="仿宋" w:hAnsi="Arial" w:cs="Arial"/>
                <w:sz w:val="21"/>
                <w:szCs w:val="21"/>
              </w:rPr>
              <w:t>）</w:t>
            </w:r>
          </w:p>
        </w:tc>
        <w:tc>
          <w:tcPr>
            <w:tcW w:w="1534" w:type="dxa"/>
            <w:shd w:val="clear" w:color="000000" w:fill="auto"/>
            <w:noWrap/>
            <w:vAlign w:val="center"/>
          </w:tcPr>
          <w:p w14:paraId="7FE3D8AF"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销售税费</w:t>
            </w:r>
          </w:p>
        </w:tc>
        <w:tc>
          <w:tcPr>
            <w:tcW w:w="1092" w:type="dxa"/>
            <w:shd w:val="clear" w:color="000000" w:fill="auto"/>
            <w:noWrap/>
            <w:vAlign w:val="center"/>
          </w:tcPr>
          <w:p w14:paraId="62FCB8AB"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0.0524</w:t>
            </w:r>
          </w:p>
        </w:tc>
        <w:tc>
          <w:tcPr>
            <w:tcW w:w="3192" w:type="dxa"/>
            <w:shd w:val="clear" w:color="000000" w:fill="auto"/>
            <w:vAlign w:val="center"/>
          </w:tcPr>
          <w:p w14:paraId="14456525"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建筑物重置价格</w:t>
            </w:r>
            <w:r>
              <w:rPr>
                <w:rFonts w:ascii="Arial" w:eastAsia="仿宋" w:hAnsi="Arial" w:cs="Arial"/>
                <w:sz w:val="21"/>
                <w:szCs w:val="21"/>
              </w:rPr>
              <w:t>×</w:t>
            </w:r>
            <w:r>
              <w:rPr>
                <w:rFonts w:ascii="Arial" w:eastAsia="仿宋" w:hAnsi="Arial" w:cs="Arial"/>
                <w:sz w:val="21"/>
                <w:szCs w:val="21"/>
              </w:rPr>
              <w:t>费率</w:t>
            </w:r>
            <w:r>
              <w:rPr>
                <w:rFonts w:ascii="Arial" w:eastAsia="仿宋" w:hAnsi="Arial" w:cs="Arial"/>
                <w:sz w:val="21"/>
                <w:szCs w:val="21"/>
              </w:rPr>
              <w:t>/(1+5%)</w:t>
            </w:r>
          </w:p>
        </w:tc>
        <w:tc>
          <w:tcPr>
            <w:tcW w:w="1535" w:type="dxa"/>
            <w:shd w:val="clear" w:color="000000" w:fill="auto"/>
            <w:noWrap/>
            <w:vAlign w:val="center"/>
          </w:tcPr>
          <w:p w14:paraId="4545FAEE"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费率（</w:t>
            </w:r>
            <w:r>
              <w:rPr>
                <w:rFonts w:ascii="Arial" w:eastAsia="仿宋" w:hAnsi="Arial" w:cs="Arial"/>
                <w:sz w:val="21"/>
                <w:szCs w:val="21"/>
              </w:rPr>
              <w:t>%</w:t>
            </w:r>
            <w:r>
              <w:rPr>
                <w:rFonts w:ascii="Arial" w:eastAsia="仿宋" w:hAnsi="Arial" w:cs="Arial"/>
                <w:sz w:val="21"/>
                <w:szCs w:val="21"/>
              </w:rPr>
              <w:t>）</w:t>
            </w:r>
          </w:p>
        </w:tc>
        <w:tc>
          <w:tcPr>
            <w:tcW w:w="0" w:type="auto"/>
            <w:shd w:val="clear" w:color="000000" w:fill="auto"/>
            <w:noWrap/>
            <w:vAlign w:val="center"/>
          </w:tcPr>
          <w:p w14:paraId="28B86909"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5.5%</w:t>
            </w:r>
          </w:p>
        </w:tc>
      </w:tr>
      <w:tr w:rsidR="0062768B" w14:paraId="3E891B0C" w14:textId="77777777">
        <w:trPr>
          <w:trHeight w:val="20"/>
          <w:jc w:val="center"/>
        </w:trPr>
        <w:tc>
          <w:tcPr>
            <w:tcW w:w="753" w:type="dxa"/>
            <w:shd w:val="clear" w:color="000000" w:fill="auto"/>
            <w:noWrap/>
            <w:vAlign w:val="center"/>
          </w:tcPr>
          <w:p w14:paraId="7B7D90FE"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7</w:t>
            </w:r>
            <w:r>
              <w:rPr>
                <w:rFonts w:ascii="Arial" w:eastAsia="仿宋" w:hAnsi="Arial" w:cs="Arial"/>
                <w:sz w:val="21"/>
                <w:szCs w:val="21"/>
              </w:rPr>
              <w:t>）</w:t>
            </w:r>
          </w:p>
        </w:tc>
        <w:tc>
          <w:tcPr>
            <w:tcW w:w="1534" w:type="dxa"/>
            <w:shd w:val="clear" w:color="000000" w:fill="auto"/>
            <w:noWrap/>
            <w:vAlign w:val="center"/>
          </w:tcPr>
          <w:p w14:paraId="1B3065CC"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建筑物重置价格（</w:t>
            </w:r>
            <w:r>
              <w:rPr>
                <w:rFonts w:ascii="Arial" w:eastAsia="仿宋" w:hAnsi="Arial" w:cs="Arial"/>
                <w:sz w:val="21"/>
                <w:szCs w:val="21"/>
              </w:rPr>
              <w:t>P</w:t>
            </w:r>
            <w:r>
              <w:rPr>
                <w:rFonts w:ascii="Arial" w:eastAsia="仿宋" w:hAnsi="Arial" w:cs="Arial"/>
                <w:sz w:val="21"/>
                <w:szCs w:val="21"/>
              </w:rPr>
              <w:t>建）</w:t>
            </w:r>
          </w:p>
        </w:tc>
        <w:tc>
          <w:tcPr>
            <w:tcW w:w="1092" w:type="dxa"/>
            <w:shd w:val="clear" w:color="000000" w:fill="auto"/>
            <w:noWrap/>
            <w:vAlign w:val="center"/>
          </w:tcPr>
          <w:p w14:paraId="2ABE10F6" w14:textId="77777777" w:rsidR="0062768B" w:rsidRDefault="00136729">
            <w:pPr>
              <w:spacing w:line="240" w:lineRule="exact"/>
              <w:jc w:val="center"/>
              <w:rPr>
                <w:rFonts w:ascii="Arial" w:eastAsia="仿宋" w:hAnsi="Arial" w:cs="Arial"/>
                <w:sz w:val="21"/>
                <w:szCs w:val="21"/>
                <w:lang w:eastAsia="zh-Hans"/>
              </w:rPr>
            </w:pPr>
            <w:r>
              <w:rPr>
                <w:rFonts w:ascii="Arial" w:eastAsia="仿宋" w:hAnsi="Arial" w:cs="Arial"/>
                <w:sz w:val="21"/>
                <w:szCs w:val="21"/>
              </w:rPr>
              <w:t>508.9473</w:t>
            </w:r>
          </w:p>
        </w:tc>
        <w:tc>
          <w:tcPr>
            <w:tcW w:w="5845" w:type="dxa"/>
            <w:gridSpan w:val="3"/>
            <w:shd w:val="clear" w:color="000000" w:fill="auto"/>
            <w:vAlign w:val="center"/>
          </w:tcPr>
          <w:p w14:paraId="589D7CA4" w14:textId="77777777" w:rsidR="0062768B" w:rsidRDefault="0062768B">
            <w:pPr>
              <w:spacing w:line="240" w:lineRule="exact"/>
              <w:jc w:val="both"/>
              <w:rPr>
                <w:rFonts w:ascii="Arial" w:eastAsia="仿宋" w:hAnsi="Arial" w:cs="Arial"/>
                <w:sz w:val="21"/>
                <w:szCs w:val="21"/>
              </w:rPr>
            </w:pPr>
          </w:p>
          <w:p w14:paraId="2CC3802A"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(1)-(6)</w:t>
            </w:r>
            <w:r>
              <w:rPr>
                <w:rFonts w:ascii="Arial" w:eastAsia="仿宋" w:hAnsi="Arial" w:cs="Arial"/>
                <w:sz w:val="21"/>
                <w:szCs w:val="21"/>
              </w:rPr>
              <w:t>之</w:t>
            </w:r>
            <w:proofErr w:type="gramStart"/>
            <w:r>
              <w:rPr>
                <w:rFonts w:ascii="Arial" w:eastAsia="仿宋" w:hAnsi="Arial" w:cs="Arial"/>
                <w:sz w:val="21"/>
                <w:szCs w:val="21"/>
              </w:rPr>
              <w:t>和</w:t>
            </w:r>
            <w:proofErr w:type="gramEnd"/>
          </w:p>
          <w:p w14:paraId="631883E7" w14:textId="77777777" w:rsidR="0062768B" w:rsidRDefault="0062768B">
            <w:pPr>
              <w:spacing w:line="240" w:lineRule="exact"/>
              <w:jc w:val="both"/>
              <w:rPr>
                <w:rFonts w:ascii="Arial" w:eastAsia="仿宋" w:hAnsi="Arial" w:cs="Arial"/>
                <w:sz w:val="21"/>
                <w:szCs w:val="21"/>
              </w:rPr>
            </w:pPr>
          </w:p>
        </w:tc>
      </w:tr>
    </w:tbl>
    <w:p w14:paraId="2CDF64F1" w14:textId="77777777" w:rsidR="0062768B" w:rsidRDefault="00136729">
      <w:pPr>
        <w:wordWrap w:val="0"/>
        <w:overflowPunct w:val="0"/>
        <w:autoSpaceDE w:val="0"/>
        <w:autoSpaceDN w:val="0"/>
        <w:spacing w:beforeLines="100" w:before="240" w:line="480" w:lineRule="auto"/>
        <w:jc w:val="both"/>
        <w:outlineLvl w:val="0"/>
        <w:rPr>
          <w:rFonts w:ascii="Arial" w:eastAsia="仿宋" w:hAnsi="Arial" w:cs="Arial"/>
          <w:sz w:val="28"/>
        </w:rPr>
      </w:pPr>
      <w:r>
        <w:rPr>
          <w:rFonts w:ascii="Arial" w:eastAsia="仿宋_GB2312" w:hAnsi="Arial" w:cs="Arial"/>
          <w:sz w:val="28"/>
        </w:rPr>
        <w:t xml:space="preserve">  </w:t>
      </w:r>
      <w:r>
        <w:rPr>
          <w:rFonts w:ascii="Arial" w:eastAsia="仿宋" w:hAnsi="Arial" w:cs="Arial"/>
          <w:sz w:val="28"/>
        </w:rPr>
        <w:t xml:space="preserve">  </w:t>
      </w:r>
    </w:p>
    <w:p w14:paraId="11303344" w14:textId="77777777" w:rsidR="0062768B" w:rsidRDefault="0062768B">
      <w:pPr>
        <w:wordWrap w:val="0"/>
        <w:overflowPunct w:val="0"/>
        <w:autoSpaceDE w:val="0"/>
        <w:autoSpaceDN w:val="0"/>
        <w:spacing w:beforeLines="100" w:before="240" w:line="480" w:lineRule="auto"/>
        <w:jc w:val="both"/>
        <w:outlineLvl w:val="0"/>
        <w:rPr>
          <w:rFonts w:ascii="Arial" w:eastAsia="仿宋" w:hAnsi="Arial" w:cs="Arial"/>
          <w:sz w:val="28"/>
        </w:rPr>
      </w:pPr>
    </w:p>
    <w:p w14:paraId="012B76A6" w14:textId="77777777" w:rsidR="0062768B" w:rsidRDefault="00136729">
      <w:pPr>
        <w:wordWrap w:val="0"/>
        <w:overflowPunct w:val="0"/>
        <w:autoSpaceDE w:val="0"/>
        <w:autoSpaceDN w:val="0"/>
        <w:adjustRightInd/>
        <w:spacing w:line="300" w:lineRule="auto"/>
        <w:ind w:firstLineChars="200" w:firstLine="560"/>
        <w:jc w:val="both"/>
        <w:outlineLvl w:val="0"/>
        <w:rPr>
          <w:rFonts w:ascii="Arial" w:eastAsia="仿宋" w:hAnsi="Arial" w:cs="Arial"/>
          <w:sz w:val="28"/>
        </w:rPr>
      </w:pPr>
      <w:r>
        <w:rPr>
          <w:rFonts w:ascii="Arial" w:eastAsia="仿宋" w:hAnsi="Arial" w:cs="Arial"/>
          <w:sz w:val="28"/>
        </w:rPr>
        <w:t xml:space="preserve"> </w:t>
      </w:r>
      <w:bookmarkStart w:id="377" w:name="_Toc138063030"/>
      <w:bookmarkStart w:id="378" w:name="_Toc77671510"/>
      <w:bookmarkStart w:id="379" w:name="_Toc77335471"/>
      <w:bookmarkStart w:id="380" w:name="_Toc77335140"/>
      <w:r>
        <w:rPr>
          <w:rFonts w:ascii="Arial" w:eastAsia="仿宋" w:hAnsi="Arial" w:cs="Arial"/>
          <w:sz w:val="28"/>
        </w:rPr>
        <w:t>C</w:t>
      </w:r>
      <w:r>
        <w:rPr>
          <w:rFonts w:ascii="Arial" w:eastAsia="仿宋" w:hAnsi="Arial" w:cs="Arial"/>
          <w:sz w:val="28"/>
        </w:rPr>
        <w:t>）年经营费用</w:t>
      </w:r>
      <w:bookmarkEnd w:id="377"/>
      <w:bookmarkEnd w:id="378"/>
      <w:bookmarkEnd w:id="379"/>
      <w:bookmarkEnd w:id="380"/>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303"/>
        <w:gridCol w:w="1390"/>
        <w:gridCol w:w="2546"/>
        <w:gridCol w:w="1701"/>
        <w:gridCol w:w="1417"/>
      </w:tblGrid>
      <w:tr w:rsidR="0062768B" w14:paraId="7801A66F" w14:textId="77777777">
        <w:trPr>
          <w:trHeight w:val="360"/>
          <w:jc w:val="center"/>
        </w:trPr>
        <w:tc>
          <w:tcPr>
            <w:tcW w:w="850" w:type="dxa"/>
            <w:noWrap/>
            <w:vAlign w:val="center"/>
          </w:tcPr>
          <w:p w14:paraId="7B736198" w14:textId="77777777" w:rsidR="0062768B" w:rsidRDefault="0062768B">
            <w:pPr>
              <w:spacing w:line="300" w:lineRule="auto"/>
              <w:rPr>
                <w:rFonts w:ascii="Arial" w:eastAsia="仿宋" w:hAnsi="Arial" w:cs="Arial"/>
                <w:sz w:val="21"/>
                <w:szCs w:val="21"/>
              </w:rPr>
            </w:pPr>
          </w:p>
        </w:tc>
        <w:tc>
          <w:tcPr>
            <w:tcW w:w="1303" w:type="dxa"/>
            <w:noWrap/>
            <w:vAlign w:val="center"/>
          </w:tcPr>
          <w:p w14:paraId="1473F344"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年经营费用</w:t>
            </w:r>
          </w:p>
        </w:tc>
        <w:tc>
          <w:tcPr>
            <w:tcW w:w="1390" w:type="dxa"/>
            <w:noWrap/>
            <w:vAlign w:val="center"/>
          </w:tcPr>
          <w:p w14:paraId="3F483E10" w14:textId="77777777" w:rsidR="0062768B" w:rsidRDefault="00136729">
            <w:pPr>
              <w:spacing w:line="300" w:lineRule="auto"/>
              <w:jc w:val="center"/>
              <w:rPr>
                <w:rFonts w:ascii="Arial" w:eastAsia="仿宋" w:hAnsi="Arial" w:cs="Arial"/>
                <w:b/>
                <w:bCs/>
                <w:sz w:val="21"/>
                <w:szCs w:val="21"/>
                <w:lang w:eastAsia="zh-Hans"/>
              </w:rPr>
            </w:pPr>
            <w:r>
              <w:rPr>
                <w:rFonts w:ascii="Arial" w:eastAsia="仿宋" w:hAnsi="Arial" w:cs="Arial"/>
                <w:b/>
                <w:bCs/>
                <w:sz w:val="21"/>
                <w:szCs w:val="21"/>
              </w:rPr>
              <w:t>16.1369</w:t>
            </w:r>
          </w:p>
        </w:tc>
        <w:tc>
          <w:tcPr>
            <w:tcW w:w="5664" w:type="dxa"/>
            <w:gridSpan w:val="3"/>
            <w:noWrap/>
            <w:vAlign w:val="center"/>
          </w:tcPr>
          <w:p w14:paraId="5181B4CB"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税费</w:t>
            </w:r>
            <w:r>
              <w:rPr>
                <w:rFonts w:ascii="Arial" w:eastAsia="仿宋" w:hAnsi="Arial" w:cs="Arial"/>
                <w:sz w:val="21"/>
                <w:szCs w:val="21"/>
              </w:rPr>
              <w:t>+</w:t>
            </w:r>
            <w:r>
              <w:rPr>
                <w:rFonts w:ascii="Arial" w:eastAsia="仿宋" w:hAnsi="Arial" w:cs="Arial"/>
                <w:sz w:val="21"/>
                <w:szCs w:val="21"/>
              </w:rPr>
              <w:t>维修费</w:t>
            </w:r>
            <w:r>
              <w:rPr>
                <w:rFonts w:ascii="Arial" w:eastAsia="仿宋" w:hAnsi="Arial" w:cs="Arial"/>
                <w:sz w:val="21"/>
                <w:szCs w:val="21"/>
              </w:rPr>
              <w:t>+</w:t>
            </w:r>
            <w:r>
              <w:rPr>
                <w:rFonts w:ascii="Arial" w:eastAsia="仿宋" w:hAnsi="Arial" w:cs="Arial"/>
                <w:sz w:val="21"/>
                <w:szCs w:val="21"/>
              </w:rPr>
              <w:t>保险费</w:t>
            </w:r>
            <w:r>
              <w:rPr>
                <w:rFonts w:ascii="Arial" w:eastAsia="仿宋" w:hAnsi="Arial" w:cs="Arial"/>
                <w:sz w:val="21"/>
                <w:szCs w:val="21"/>
              </w:rPr>
              <w:t>+</w:t>
            </w:r>
            <w:r>
              <w:rPr>
                <w:rFonts w:ascii="Arial" w:eastAsia="仿宋" w:hAnsi="Arial" w:cs="Arial"/>
                <w:sz w:val="21"/>
                <w:szCs w:val="21"/>
              </w:rPr>
              <w:t>管理费</w:t>
            </w:r>
          </w:p>
        </w:tc>
      </w:tr>
      <w:tr w:rsidR="0062768B" w14:paraId="16E38CB2" w14:textId="77777777">
        <w:trPr>
          <w:trHeight w:val="360"/>
          <w:jc w:val="center"/>
        </w:trPr>
        <w:tc>
          <w:tcPr>
            <w:tcW w:w="850" w:type="dxa"/>
            <w:noWrap/>
            <w:vAlign w:val="center"/>
          </w:tcPr>
          <w:p w14:paraId="725AF698" w14:textId="77777777" w:rsidR="0062768B" w:rsidRDefault="00136729">
            <w:pPr>
              <w:spacing w:line="300" w:lineRule="auto"/>
              <w:jc w:val="center"/>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w:t>
            </w:r>
          </w:p>
        </w:tc>
        <w:tc>
          <w:tcPr>
            <w:tcW w:w="1303" w:type="dxa"/>
            <w:noWrap/>
            <w:vAlign w:val="center"/>
          </w:tcPr>
          <w:p w14:paraId="26B3123E"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税</w:t>
            </w:r>
            <w:r>
              <w:rPr>
                <w:rFonts w:ascii="Arial" w:eastAsia="仿宋" w:hAnsi="Arial" w:cs="Arial"/>
                <w:sz w:val="21"/>
                <w:szCs w:val="21"/>
              </w:rPr>
              <w:t xml:space="preserve">  </w:t>
            </w:r>
            <w:r>
              <w:rPr>
                <w:rFonts w:ascii="Arial" w:eastAsia="仿宋" w:hAnsi="Arial" w:cs="Arial"/>
                <w:sz w:val="21"/>
                <w:szCs w:val="21"/>
              </w:rPr>
              <w:t>费</w:t>
            </w:r>
          </w:p>
        </w:tc>
        <w:tc>
          <w:tcPr>
            <w:tcW w:w="1390" w:type="dxa"/>
            <w:noWrap/>
            <w:vAlign w:val="center"/>
          </w:tcPr>
          <w:p w14:paraId="3ECF9317" w14:textId="77777777" w:rsidR="0062768B" w:rsidRDefault="00136729">
            <w:pPr>
              <w:spacing w:line="300" w:lineRule="auto"/>
              <w:jc w:val="center"/>
              <w:rPr>
                <w:rFonts w:ascii="Arial" w:eastAsia="仿宋" w:hAnsi="Arial" w:cs="Arial"/>
                <w:bCs/>
                <w:sz w:val="21"/>
                <w:szCs w:val="21"/>
              </w:rPr>
            </w:pPr>
            <w:r>
              <w:rPr>
                <w:rFonts w:ascii="Arial" w:eastAsia="仿宋" w:hAnsi="Arial" w:cs="Arial"/>
                <w:bCs/>
                <w:sz w:val="21"/>
                <w:szCs w:val="21"/>
              </w:rPr>
              <w:t>12.1071</w:t>
            </w:r>
          </w:p>
        </w:tc>
        <w:tc>
          <w:tcPr>
            <w:tcW w:w="5664" w:type="dxa"/>
            <w:gridSpan w:val="3"/>
            <w:vAlign w:val="center"/>
          </w:tcPr>
          <w:p w14:paraId="3C4AA688"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两税两费</w:t>
            </w:r>
            <w:r>
              <w:rPr>
                <w:rFonts w:ascii="Arial" w:eastAsia="仿宋" w:hAnsi="Arial" w:cs="Arial"/>
                <w:sz w:val="21"/>
                <w:szCs w:val="21"/>
              </w:rPr>
              <w:t>+</w:t>
            </w:r>
            <w:r>
              <w:rPr>
                <w:rFonts w:ascii="Arial" w:eastAsia="仿宋" w:hAnsi="Arial" w:cs="Arial"/>
                <w:sz w:val="21"/>
                <w:szCs w:val="21"/>
              </w:rPr>
              <w:t>房产税</w:t>
            </w:r>
            <w:r>
              <w:rPr>
                <w:rFonts w:ascii="Arial" w:eastAsia="仿宋" w:hAnsi="Arial" w:cs="Arial"/>
                <w:sz w:val="21"/>
                <w:szCs w:val="21"/>
              </w:rPr>
              <w:t>+</w:t>
            </w:r>
            <w:r>
              <w:rPr>
                <w:rFonts w:ascii="Arial" w:eastAsia="仿宋" w:hAnsi="Arial" w:cs="Arial"/>
                <w:sz w:val="21"/>
                <w:szCs w:val="21"/>
              </w:rPr>
              <w:t>城镇土地使用税</w:t>
            </w:r>
          </w:p>
        </w:tc>
      </w:tr>
      <w:tr w:rsidR="0062768B" w14:paraId="2545F31D" w14:textId="77777777">
        <w:trPr>
          <w:trHeight w:val="360"/>
          <w:jc w:val="center"/>
        </w:trPr>
        <w:tc>
          <w:tcPr>
            <w:tcW w:w="850" w:type="dxa"/>
            <w:noWrap/>
            <w:vAlign w:val="center"/>
          </w:tcPr>
          <w:p w14:paraId="3299419C" w14:textId="77777777" w:rsidR="0062768B" w:rsidRDefault="00136729">
            <w:pPr>
              <w:spacing w:line="300" w:lineRule="auto"/>
              <w:jc w:val="right"/>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w:t>
            </w:r>
          </w:p>
        </w:tc>
        <w:tc>
          <w:tcPr>
            <w:tcW w:w="1303" w:type="dxa"/>
            <w:noWrap/>
            <w:vAlign w:val="center"/>
          </w:tcPr>
          <w:p w14:paraId="3C76D94F"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两税两费</w:t>
            </w:r>
          </w:p>
        </w:tc>
        <w:tc>
          <w:tcPr>
            <w:tcW w:w="1390" w:type="dxa"/>
            <w:noWrap/>
            <w:vAlign w:val="center"/>
          </w:tcPr>
          <w:p w14:paraId="367B8B29" w14:textId="77777777" w:rsidR="0062768B" w:rsidRDefault="00136729">
            <w:pPr>
              <w:spacing w:line="300" w:lineRule="auto"/>
              <w:jc w:val="center"/>
              <w:rPr>
                <w:rFonts w:ascii="Arial" w:eastAsia="仿宋" w:hAnsi="Arial" w:cs="Arial"/>
                <w:bCs/>
                <w:sz w:val="21"/>
                <w:szCs w:val="21"/>
              </w:rPr>
            </w:pPr>
            <w:r>
              <w:rPr>
                <w:rFonts w:ascii="Arial" w:eastAsia="仿宋" w:hAnsi="Arial" w:cs="Arial"/>
                <w:bCs/>
                <w:sz w:val="21"/>
                <w:szCs w:val="21"/>
              </w:rPr>
              <w:t>3.7755</w:t>
            </w:r>
          </w:p>
        </w:tc>
        <w:tc>
          <w:tcPr>
            <w:tcW w:w="2546" w:type="dxa"/>
            <w:vAlign w:val="center"/>
          </w:tcPr>
          <w:p w14:paraId="3C96671B"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年总收益</w:t>
            </w:r>
            <w:r>
              <w:rPr>
                <w:rFonts w:ascii="Arial" w:eastAsia="仿宋" w:hAnsi="Arial" w:cs="Arial"/>
                <w:sz w:val="21"/>
                <w:szCs w:val="21"/>
              </w:rPr>
              <w:t>×</w:t>
            </w:r>
            <w:r>
              <w:rPr>
                <w:rFonts w:ascii="Arial" w:eastAsia="仿宋" w:hAnsi="Arial" w:cs="Arial"/>
                <w:sz w:val="21"/>
                <w:szCs w:val="21"/>
              </w:rPr>
              <w:t>费率</w:t>
            </w:r>
            <w:r>
              <w:rPr>
                <w:rFonts w:ascii="Arial" w:eastAsia="仿宋" w:hAnsi="Arial" w:cs="Arial"/>
                <w:sz w:val="21"/>
                <w:szCs w:val="21"/>
              </w:rPr>
              <w:t>/(1+5%)</w:t>
            </w:r>
          </w:p>
        </w:tc>
        <w:tc>
          <w:tcPr>
            <w:tcW w:w="1701" w:type="dxa"/>
            <w:noWrap/>
            <w:vAlign w:val="center"/>
          </w:tcPr>
          <w:p w14:paraId="70FE4E06"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费率（</w:t>
            </w:r>
            <w:r>
              <w:rPr>
                <w:rFonts w:ascii="Arial" w:eastAsia="仿宋" w:hAnsi="Arial" w:cs="Arial"/>
                <w:sz w:val="21"/>
                <w:szCs w:val="21"/>
              </w:rPr>
              <w:t>%</w:t>
            </w:r>
            <w:r>
              <w:rPr>
                <w:rFonts w:ascii="Arial" w:eastAsia="仿宋" w:hAnsi="Arial" w:cs="Arial"/>
                <w:sz w:val="21"/>
                <w:szCs w:val="21"/>
              </w:rPr>
              <w:t>）</w:t>
            </w:r>
          </w:p>
        </w:tc>
        <w:tc>
          <w:tcPr>
            <w:tcW w:w="1417" w:type="dxa"/>
            <w:noWrap/>
            <w:vAlign w:val="center"/>
          </w:tcPr>
          <w:p w14:paraId="67042680"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5.5%</w:t>
            </w:r>
          </w:p>
        </w:tc>
      </w:tr>
      <w:tr w:rsidR="0062768B" w14:paraId="27D2FE04" w14:textId="77777777">
        <w:trPr>
          <w:trHeight w:val="360"/>
          <w:jc w:val="center"/>
        </w:trPr>
        <w:tc>
          <w:tcPr>
            <w:tcW w:w="850" w:type="dxa"/>
            <w:noWrap/>
            <w:vAlign w:val="center"/>
          </w:tcPr>
          <w:p w14:paraId="078C679F" w14:textId="77777777" w:rsidR="0062768B" w:rsidRDefault="00136729">
            <w:pPr>
              <w:spacing w:line="300" w:lineRule="auto"/>
              <w:jc w:val="right"/>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w:t>
            </w:r>
          </w:p>
        </w:tc>
        <w:tc>
          <w:tcPr>
            <w:tcW w:w="1303" w:type="dxa"/>
            <w:noWrap/>
            <w:vAlign w:val="center"/>
          </w:tcPr>
          <w:p w14:paraId="306FE833"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房产税</w:t>
            </w:r>
          </w:p>
        </w:tc>
        <w:tc>
          <w:tcPr>
            <w:tcW w:w="1390" w:type="dxa"/>
            <w:noWrap/>
            <w:vAlign w:val="center"/>
          </w:tcPr>
          <w:p w14:paraId="502BB129" w14:textId="77777777" w:rsidR="0062768B" w:rsidRDefault="00136729">
            <w:pPr>
              <w:spacing w:line="300" w:lineRule="auto"/>
              <w:jc w:val="center"/>
              <w:rPr>
                <w:rFonts w:ascii="Arial" w:eastAsia="仿宋" w:hAnsi="Arial" w:cs="Arial"/>
                <w:bCs/>
                <w:sz w:val="21"/>
                <w:szCs w:val="21"/>
              </w:rPr>
            </w:pPr>
            <w:r>
              <w:rPr>
                <w:rFonts w:ascii="Arial" w:eastAsia="仿宋" w:hAnsi="Arial" w:cs="Arial"/>
                <w:bCs/>
                <w:sz w:val="21"/>
                <w:szCs w:val="21"/>
              </w:rPr>
              <w:t>8.2374</w:t>
            </w:r>
          </w:p>
        </w:tc>
        <w:tc>
          <w:tcPr>
            <w:tcW w:w="2546" w:type="dxa"/>
            <w:vAlign w:val="center"/>
          </w:tcPr>
          <w:p w14:paraId="37385A6C"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年租金收入</w:t>
            </w:r>
            <w:r>
              <w:rPr>
                <w:rFonts w:ascii="Arial" w:eastAsia="仿宋" w:hAnsi="Arial" w:cs="Arial"/>
                <w:sz w:val="21"/>
                <w:szCs w:val="21"/>
              </w:rPr>
              <w:t>×</w:t>
            </w:r>
            <w:r>
              <w:rPr>
                <w:rFonts w:ascii="Arial" w:eastAsia="仿宋" w:hAnsi="Arial" w:cs="Arial"/>
                <w:sz w:val="21"/>
                <w:szCs w:val="21"/>
              </w:rPr>
              <w:t>费率</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1+5%</w:t>
            </w:r>
            <w:r>
              <w:rPr>
                <w:rFonts w:ascii="Arial" w:eastAsia="仿宋" w:hAnsi="Arial" w:cs="Arial"/>
                <w:sz w:val="21"/>
                <w:szCs w:val="21"/>
              </w:rPr>
              <w:t>）</w:t>
            </w:r>
          </w:p>
        </w:tc>
        <w:tc>
          <w:tcPr>
            <w:tcW w:w="1701" w:type="dxa"/>
            <w:noWrap/>
            <w:vAlign w:val="center"/>
          </w:tcPr>
          <w:p w14:paraId="07F1A3A0"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费率（</w:t>
            </w:r>
            <w:r>
              <w:rPr>
                <w:rFonts w:ascii="Arial" w:eastAsia="仿宋" w:hAnsi="Arial" w:cs="Arial"/>
                <w:sz w:val="21"/>
                <w:szCs w:val="21"/>
              </w:rPr>
              <w:t>%</w:t>
            </w:r>
            <w:r>
              <w:rPr>
                <w:rFonts w:ascii="Arial" w:eastAsia="仿宋" w:hAnsi="Arial" w:cs="Arial"/>
                <w:sz w:val="21"/>
                <w:szCs w:val="21"/>
              </w:rPr>
              <w:t>）</w:t>
            </w:r>
          </w:p>
        </w:tc>
        <w:tc>
          <w:tcPr>
            <w:tcW w:w="1417" w:type="dxa"/>
            <w:noWrap/>
            <w:vAlign w:val="center"/>
          </w:tcPr>
          <w:p w14:paraId="5C1EE20D"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12%</w:t>
            </w:r>
          </w:p>
        </w:tc>
      </w:tr>
      <w:tr w:rsidR="0062768B" w14:paraId="54DA445A" w14:textId="77777777">
        <w:trPr>
          <w:trHeight w:val="360"/>
          <w:jc w:val="center"/>
        </w:trPr>
        <w:tc>
          <w:tcPr>
            <w:tcW w:w="850" w:type="dxa"/>
            <w:vMerge w:val="restart"/>
            <w:noWrap/>
            <w:vAlign w:val="center"/>
          </w:tcPr>
          <w:p w14:paraId="6467AB81" w14:textId="77777777" w:rsidR="0062768B" w:rsidRDefault="00136729">
            <w:pPr>
              <w:spacing w:line="300" w:lineRule="auto"/>
              <w:jc w:val="right"/>
              <w:rPr>
                <w:rFonts w:ascii="Arial" w:eastAsia="仿宋" w:hAnsi="Arial" w:cs="Arial"/>
                <w:sz w:val="21"/>
                <w:szCs w:val="21"/>
              </w:rPr>
            </w:pPr>
            <w:r>
              <w:rPr>
                <w:rFonts w:ascii="Arial" w:eastAsia="仿宋" w:hAnsi="Arial" w:cs="Arial"/>
                <w:sz w:val="21"/>
                <w:szCs w:val="21"/>
              </w:rPr>
              <w:t>3</w:t>
            </w:r>
            <w:r>
              <w:rPr>
                <w:rFonts w:ascii="Arial" w:eastAsia="仿宋" w:hAnsi="Arial" w:cs="Arial"/>
                <w:sz w:val="21"/>
                <w:szCs w:val="21"/>
              </w:rPr>
              <w:t>）</w:t>
            </w:r>
          </w:p>
        </w:tc>
        <w:tc>
          <w:tcPr>
            <w:tcW w:w="1303" w:type="dxa"/>
            <w:vMerge w:val="restart"/>
            <w:noWrap/>
            <w:vAlign w:val="center"/>
          </w:tcPr>
          <w:p w14:paraId="782B5BB6"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城镇土地使用税</w:t>
            </w:r>
          </w:p>
        </w:tc>
        <w:tc>
          <w:tcPr>
            <w:tcW w:w="1390" w:type="dxa"/>
            <w:vMerge w:val="restart"/>
            <w:noWrap/>
            <w:vAlign w:val="center"/>
          </w:tcPr>
          <w:p w14:paraId="326A4BE1" w14:textId="77777777" w:rsidR="0062768B" w:rsidRDefault="00136729">
            <w:pPr>
              <w:spacing w:line="300" w:lineRule="auto"/>
              <w:jc w:val="center"/>
              <w:rPr>
                <w:rFonts w:ascii="Arial" w:eastAsia="仿宋" w:hAnsi="Arial" w:cs="Arial"/>
                <w:bCs/>
                <w:sz w:val="21"/>
                <w:szCs w:val="21"/>
              </w:rPr>
            </w:pPr>
            <w:r>
              <w:rPr>
                <w:rFonts w:ascii="Arial" w:eastAsia="仿宋" w:hAnsi="Arial" w:cs="Arial"/>
                <w:bCs/>
                <w:sz w:val="21"/>
                <w:szCs w:val="21"/>
              </w:rPr>
              <w:t>0.0942</w:t>
            </w:r>
          </w:p>
        </w:tc>
        <w:tc>
          <w:tcPr>
            <w:tcW w:w="2546" w:type="dxa"/>
            <w:vMerge w:val="restart"/>
            <w:vAlign w:val="center"/>
          </w:tcPr>
          <w:p w14:paraId="32EDCCD5"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土地面积</w:t>
            </w:r>
            <w:r>
              <w:rPr>
                <w:rFonts w:ascii="Arial" w:eastAsia="仿宋" w:hAnsi="Arial" w:cs="Arial"/>
                <w:sz w:val="21"/>
                <w:szCs w:val="21"/>
              </w:rPr>
              <w:t>×</w:t>
            </w:r>
            <w:r>
              <w:rPr>
                <w:rFonts w:ascii="Arial" w:eastAsia="仿宋" w:hAnsi="Arial" w:cs="Arial"/>
                <w:sz w:val="21"/>
                <w:szCs w:val="21"/>
              </w:rPr>
              <w:t>取费标准</w:t>
            </w:r>
          </w:p>
        </w:tc>
        <w:tc>
          <w:tcPr>
            <w:tcW w:w="1701" w:type="dxa"/>
            <w:noWrap/>
            <w:vAlign w:val="center"/>
          </w:tcPr>
          <w:p w14:paraId="67D7D5E7"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纳税标准（元</w:t>
            </w:r>
            <w:r>
              <w:rPr>
                <w:rFonts w:ascii="Arial" w:eastAsia="仿宋" w:hAnsi="Arial" w:cs="Arial"/>
                <w:sz w:val="21"/>
                <w:szCs w:val="21"/>
              </w:rPr>
              <w:t>/</w:t>
            </w:r>
            <w:r>
              <w:rPr>
                <w:rFonts w:ascii="Arial" w:eastAsia="仿宋" w:hAnsi="Arial" w:cs="Arial"/>
                <w:sz w:val="21"/>
                <w:szCs w:val="21"/>
              </w:rPr>
              <w:t>㎡）</w:t>
            </w:r>
          </w:p>
        </w:tc>
        <w:tc>
          <w:tcPr>
            <w:tcW w:w="1417" w:type="dxa"/>
            <w:noWrap/>
            <w:vAlign w:val="center"/>
          </w:tcPr>
          <w:p w14:paraId="5E35E68B"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1.5</w:t>
            </w:r>
          </w:p>
        </w:tc>
      </w:tr>
      <w:tr w:rsidR="0062768B" w14:paraId="7902F13B" w14:textId="77777777">
        <w:trPr>
          <w:trHeight w:val="360"/>
          <w:jc w:val="center"/>
        </w:trPr>
        <w:tc>
          <w:tcPr>
            <w:tcW w:w="850" w:type="dxa"/>
            <w:vMerge/>
            <w:noWrap/>
            <w:vAlign w:val="center"/>
          </w:tcPr>
          <w:p w14:paraId="547D1313" w14:textId="77777777" w:rsidR="0062768B" w:rsidRDefault="0062768B">
            <w:pPr>
              <w:spacing w:line="300" w:lineRule="auto"/>
              <w:rPr>
                <w:rFonts w:ascii="Arial" w:eastAsia="仿宋" w:hAnsi="Arial" w:cs="Arial"/>
                <w:sz w:val="21"/>
                <w:szCs w:val="21"/>
              </w:rPr>
            </w:pPr>
          </w:p>
        </w:tc>
        <w:tc>
          <w:tcPr>
            <w:tcW w:w="1303" w:type="dxa"/>
            <w:vMerge/>
            <w:noWrap/>
            <w:vAlign w:val="center"/>
          </w:tcPr>
          <w:p w14:paraId="5D51ACB2" w14:textId="77777777" w:rsidR="0062768B" w:rsidRDefault="0062768B">
            <w:pPr>
              <w:spacing w:line="300" w:lineRule="auto"/>
              <w:rPr>
                <w:rFonts w:ascii="Arial" w:eastAsia="仿宋" w:hAnsi="Arial" w:cs="Arial"/>
                <w:sz w:val="21"/>
                <w:szCs w:val="21"/>
              </w:rPr>
            </w:pPr>
          </w:p>
        </w:tc>
        <w:tc>
          <w:tcPr>
            <w:tcW w:w="1390" w:type="dxa"/>
            <w:vMerge/>
            <w:noWrap/>
            <w:vAlign w:val="center"/>
          </w:tcPr>
          <w:p w14:paraId="215B1EFA" w14:textId="77777777" w:rsidR="0062768B" w:rsidRDefault="0062768B">
            <w:pPr>
              <w:spacing w:line="300" w:lineRule="auto"/>
              <w:jc w:val="center"/>
              <w:rPr>
                <w:rFonts w:ascii="Arial" w:eastAsia="仿宋" w:hAnsi="Arial" w:cs="Arial"/>
                <w:bCs/>
                <w:sz w:val="21"/>
                <w:szCs w:val="21"/>
              </w:rPr>
            </w:pPr>
          </w:p>
        </w:tc>
        <w:tc>
          <w:tcPr>
            <w:tcW w:w="2546" w:type="dxa"/>
            <w:vMerge/>
            <w:vAlign w:val="center"/>
          </w:tcPr>
          <w:p w14:paraId="3FC02F64" w14:textId="77777777" w:rsidR="0062768B" w:rsidRDefault="0062768B">
            <w:pPr>
              <w:spacing w:line="300" w:lineRule="auto"/>
              <w:rPr>
                <w:rFonts w:ascii="Arial" w:eastAsia="仿宋" w:hAnsi="Arial" w:cs="Arial"/>
                <w:sz w:val="21"/>
                <w:szCs w:val="21"/>
              </w:rPr>
            </w:pPr>
          </w:p>
        </w:tc>
        <w:tc>
          <w:tcPr>
            <w:tcW w:w="1701" w:type="dxa"/>
            <w:noWrap/>
            <w:vAlign w:val="center"/>
          </w:tcPr>
          <w:p w14:paraId="4AE6EF9C"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土地面积（㎡）</w:t>
            </w:r>
          </w:p>
        </w:tc>
        <w:tc>
          <w:tcPr>
            <w:tcW w:w="1417" w:type="dxa"/>
            <w:noWrap/>
            <w:vAlign w:val="center"/>
          </w:tcPr>
          <w:p w14:paraId="18831D2C" w14:textId="77777777" w:rsidR="0062768B" w:rsidRDefault="00136729">
            <w:pPr>
              <w:spacing w:line="300" w:lineRule="auto"/>
              <w:rPr>
                <w:rFonts w:ascii="Arial" w:eastAsia="仿宋" w:hAnsi="Arial" w:cs="Arial"/>
                <w:sz w:val="21"/>
                <w:szCs w:val="21"/>
                <w:lang w:eastAsia="zh-Hans"/>
              </w:rPr>
            </w:pPr>
            <w:r>
              <w:rPr>
                <w:rFonts w:ascii="Arial" w:eastAsia="仿宋" w:hAnsi="Arial" w:cs="Arial"/>
                <w:sz w:val="21"/>
                <w:szCs w:val="21"/>
              </w:rPr>
              <w:t>628.33</w:t>
            </w:r>
          </w:p>
        </w:tc>
      </w:tr>
      <w:tr w:rsidR="0062768B" w14:paraId="2C0740CB" w14:textId="77777777">
        <w:trPr>
          <w:trHeight w:val="360"/>
          <w:jc w:val="center"/>
        </w:trPr>
        <w:tc>
          <w:tcPr>
            <w:tcW w:w="850" w:type="dxa"/>
            <w:noWrap/>
            <w:vAlign w:val="center"/>
          </w:tcPr>
          <w:p w14:paraId="00ED52E2" w14:textId="77777777" w:rsidR="0062768B" w:rsidRDefault="00136729">
            <w:pPr>
              <w:spacing w:line="300" w:lineRule="auto"/>
              <w:jc w:val="center"/>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2</w:t>
            </w:r>
            <w:r>
              <w:rPr>
                <w:rFonts w:ascii="Arial" w:eastAsia="仿宋" w:hAnsi="Arial" w:cs="Arial"/>
                <w:sz w:val="21"/>
                <w:szCs w:val="21"/>
              </w:rPr>
              <w:t>）</w:t>
            </w:r>
          </w:p>
        </w:tc>
        <w:tc>
          <w:tcPr>
            <w:tcW w:w="1303" w:type="dxa"/>
            <w:noWrap/>
            <w:vAlign w:val="center"/>
          </w:tcPr>
          <w:p w14:paraId="2B9151B0"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维修费</w:t>
            </w:r>
          </w:p>
        </w:tc>
        <w:tc>
          <w:tcPr>
            <w:tcW w:w="1390" w:type="dxa"/>
            <w:noWrap/>
            <w:vAlign w:val="center"/>
          </w:tcPr>
          <w:p w14:paraId="00F79F84" w14:textId="77777777" w:rsidR="0062768B" w:rsidRDefault="00136729">
            <w:pPr>
              <w:spacing w:line="300" w:lineRule="auto"/>
              <w:jc w:val="center"/>
              <w:rPr>
                <w:rFonts w:ascii="Arial" w:eastAsia="仿宋" w:hAnsi="Arial" w:cs="Arial"/>
                <w:bCs/>
                <w:sz w:val="21"/>
                <w:szCs w:val="21"/>
              </w:rPr>
            </w:pPr>
            <w:r>
              <w:rPr>
                <w:rFonts w:ascii="Arial" w:eastAsia="仿宋" w:hAnsi="Arial" w:cs="Arial"/>
                <w:bCs/>
                <w:sz w:val="21"/>
                <w:szCs w:val="21"/>
              </w:rPr>
              <w:t>2.5447</w:t>
            </w:r>
          </w:p>
        </w:tc>
        <w:tc>
          <w:tcPr>
            <w:tcW w:w="2546" w:type="dxa"/>
            <w:vAlign w:val="center"/>
          </w:tcPr>
          <w:p w14:paraId="36AF2A03"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建筑物重置价格</w:t>
            </w:r>
            <w:r>
              <w:rPr>
                <w:rFonts w:ascii="Arial" w:eastAsia="仿宋" w:hAnsi="Arial" w:cs="Arial"/>
                <w:sz w:val="21"/>
                <w:szCs w:val="21"/>
              </w:rPr>
              <w:t>×</w:t>
            </w:r>
            <w:r>
              <w:rPr>
                <w:rFonts w:ascii="Arial" w:eastAsia="仿宋" w:hAnsi="Arial" w:cs="Arial"/>
                <w:sz w:val="21"/>
                <w:szCs w:val="21"/>
              </w:rPr>
              <w:t>维修费率</w:t>
            </w:r>
          </w:p>
        </w:tc>
        <w:tc>
          <w:tcPr>
            <w:tcW w:w="1701" w:type="dxa"/>
            <w:noWrap/>
            <w:vAlign w:val="center"/>
          </w:tcPr>
          <w:p w14:paraId="78EB86DF"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费率（</w:t>
            </w:r>
            <w:r>
              <w:rPr>
                <w:rFonts w:ascii="Arial" w:eastAsia="仿宋" w:hAnsi="Arial" w:cs="Arial"/>
                <w:sz w:val="21"/>
                <w:szCs w:val="21"/>
              </w:rPr>
              <w:t>%</w:t>
            </w:r>
            <w:r>
              <w:rPr>
                <w:rFonts w:ascii="Arial" w:eastAsia="仿宋" w:hAnsi="Arial" w:cs="Arial"/>
                <w:sz w:val="21"/>
                <w:szCs w:val="21"/>
              </w:rPr>
              <w:t>）</w:t>
            </w:r>
          </w:p>
        </w:tc>
        <w:tc>
          <w:tcPr>
            <w:tcW w:w="1417" w:type="dxa"/>
            <w:noWrap/>
            <w:vAlign w:val="center"/>
          </w:tcPr>
          <w:p w14:paraId="7EA21B89"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0.50%</w:t>
            </w:r>
          </w:p>
        </w:tc>
      </w:tr>
      <w:tr w:rsidR="0062768B" w14:paraId="48D5F5BF" w14:textId="77777777">
        <w:trPr>
          <w:trHeight w:val="360"/>
          <w:jc w:val="center"/>
        </w:trPr>
        <w:tc>
          <w:tcPr>
            <w:tcW w:w="850" w:type="dxa"/>
            <w:noWrap/>
            <w:vAlign w:val="center"/>
          </w:tcPr>
          <w:p w14:paraId="2D4D867C" w14:textId="77777777" w:rsidR="0062768B" w:rsidRDefault="00136729">
            <w:pPr>
              <w:spacing w:line="300" w:lineRule="auto"/>
              <w:jc w:val="center"/>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3</w:t>
            </w:r>
            <w:r>
              <w:rPr>
                <w:rFonts w:ascii="Arial" w:eastAsia="仿宋" w:hAnsi="Arial" w:cs="Arial"/>
                <w:sz w:val="21"/>
                <w:szCs w:val="21"/>
              </w:rPr>
              <w:t>）</w:t>
            </w:r>
          </w:p>
        </w:tc>
        <w:tc>
          <w:tcPr>
            <w:tcW w:w="1303" w:type="dxa"/>
            <w:noWrap/>
            <w:vAlign w:val="center"/>
          </w:tcPr>
          <w:p w14:paraId="122D1B9E"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保险费</w:t>
            </w:r>
          </w:p>
        </w:tc>
        <w:tc>
          <w:tcPr>
            <w:tcW w:w="1390" w:type="dxa"/>
            <w:noWrap/>
            <w:vAlign w:val="center"/>
          </w:tcPr>
          <w:p w14:paraId="67892455" w14:textId="77777777" w:rsidR="0062768B" w:rsidRDefault="00136729">
            <w:pPr>
              <w:spacing w:line="300" w:lineRule="auto"/>
              <w:jc w:val="center"/>
              <w:rPr>
                <w:rFonts w:ascii="Arial" w:eastAsia="仿宋" w:hAnsi="Arial" w:cs="Arial"/>
                <w:bCs/>
                <w:sz w:val="21"/>
                <w:szCs w:val="21"/>
              </w:rPr>
            </w:pPr>
            <w:r>
              <w:rPr>
                <w:rFonts w:ascii="Arial" w:eastAsia="仿宋" w:hAnsi="Arial" w:cs="Arial"/>
                <w:bCs/>
                <w:sz w:val="21"/>
                <w:szCs w:val="21"/>
              </w:rPr>
              <w:t>0.7634</w:t>
            </w:r>
          </w:p>
        </w:tc>
        <w:tc>
          <w:tcPr>
            <w:tcW w:w="2546" w:type="dxa"/>
            <w:vAlign w:val="center"/>
          </w:tcPr>
          <w:p w14:paraId="1343C9F7"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现值</w:t>
            </w:r>
            <w:r>
              <w:rPr>
                <w:rFonts w:ascii="Arial" w:eastAsia="仿宋" w:hAnsi="Arial" w:cs="Arial"/>
                <w:sz w:val="21"/>
                <w:szCs w:val="21"/>
              </w:rPr>
              <w:t>×</w:t>
            </w:r>
            <w:r>
              <w:rPr>
                <w:rFonts w:ascii="Arial" w:eastAsia="仿宋" w:hAnsi="Arial" w:cs="Arial"/>
                <w:sz w:val="21"/>
                <w:szCs w:val="21"/>
              </w:rPr>
              <w:t>保险费率</w:t>
            </w:r>
          </w:p>
        </w:tc>
        <w:tc>
          <w:tcPr>
            <w:tcW w:w="1701" w:type="dxa"/>
            <w:noWrap/>
            <w:vAlign w:val="center"/>
          </w:tcPr>
          <w:p w14:paraId="2AA7D097"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费率（</w:t>
            </w:r>
            <w:r>
              <w:rPr>
                <w:rFonts w:ascii="Arial" w:eastAsia="仿宋" w:hAnsi="Arial" w:cs="Arial"/>
                <w:sz w:val="21"/>
                <w:szCs w:val="21"/>
              </w:rPr>
              <w:t>%</w:t>
            </w:r>
            <w:r>
              <w:rPr>
                <w:rFonts w:ascii="Arial" w:eastAsia="仿宋" w:hAnsi="Arial" w:cs="Arial"/>
                <w:sz w:val="21"/>
                <w:szCs w:val="21"/>
              </w:rPr>
              <w:t>）</w:t>
            </w:r>
          </w:p>
        </w:tc>
        <w:tc>
          <w:tcPr>
            <w:tcW w:w="1417" w:type="dxa"/>
            <w:noWrap/>
            <w:vAlign w:val="center"/>
          </w:tcPr>
          <w:p w14:paraId="02F9EBC1"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0.150%</w:t>
            </w:r>
          </w:p>
        </w:tc>
      </w:tr>
      <w:tr w:rsidR="0062768B" w14:paraId="10F73026" w14:textId="77777777">
        <w:trPr>
          <w:trHeight w:val="360"/>
          <w:jc w:val="center"/>
        </w:trPr>
        <w:tc>
          <w:tcPr>
            <w:tcW w:w="850" w:type="dxa"/>
            <w:noWrap/>
            <w:vAlign w:val="center"/>
          </w:tcPr>
          <w:p w14:paraId="534187CA" w14:textId="77777777" w:rsidR="0062768B" w:rsidRDefault="00136729">
            <w:pPr>
              <w:spacing w:line="300" w:lineRule="auto"/>
              <w:jc w:val="center"/>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4</w:t>
            </w:r>
            <w:r>
              <w:rPr>
                <w:rFonts w:ascii="Arial" w:eastAsia="仿宋" w:hAnsi="Arial" w:cs="Arial"/>
                <w:sz w:val="21"/>
                <w:szCs w:val="21"/>
              </w:rPr>
              <w:t>）</w:t>
            </w:r>
          </w:p>
        </w:tc>
        <w:tc>
          <w:tcPr>
            <w:tcW w:w="1303" w:type="dxa"/>
            <w:noWrap/>
            <w:vAlign w:val="center"/>
          </w:tcPr>
          <w:p w14:paraId="14033457"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管理费用</w:t>
            </w:r>
          </w:p>
        </w:tc>
        <w:tc>
          <w:tcPr>
            <w:tcW w:w="1390" w:type="dxa"/>
            <w:noWrap/>
            <w:vAlign w:val="center"/>
          </w:tcPr>
          <w:p w14:paraId="59FBACEB" w14:textId="77777777" w:rsidR="0062768B" w:rsidRDefault="00136729">
            <w:pPr>
              <w:spacing w:line="300" w:lineRule="auto"/>
              <w:jc w:val="center"/>
              <w:rPr>
                <w:rFonts w:ascii="Arial" w:eastAsia="仿宋" w:hAnsi="Arial" w:cs="Arial"/>
                <w:bCs/>
                <w:sz w:val="21"/>
                <w:szCs w:val="21"/>
              </w:rPr>
            </w:pPr>
            <w:r>
              <w:rPr>
                <w:rFonts w:ascii="Arial" w:eastAsia="仿宋" w:hAnsi="Arial" w:cs="Arial"/>
                <w:bCs/>
                <w:sz w:val="21"/>
                <w:szCs w:val="21"/>
              </w:rPr>
              <w:t>0.7217</w:t>
            </w:r>
          </w:p>
        </w:tc>
        <w:tc>
          <w:tcPr>
            <w:tcW w:w="2546" w:type="dxa"/>
            <w:vAlign w:val="center"/>
          </w:tcPr>
          <w:p w14:paraId="27259FDE"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年总收益</w:t>
            </w:r>
            <w:r>
              <w:rPr>
                <w:rFonts w:ascii="Arial" w:eastAsia="仿宋" w:hAnsi="Arial" w:cs="Arial"/>
                <w:sz w:val="21"/>
                <w:szCs w:val="21"/>
              </w:rPr>
              <w:t>×</w:t>
            </w:r>
            <w:r>
              <w:rPr>
                <w:rFonts w:ascii="Arial" w:eastAsia="仿宋" w:hAnsi="Arial" w:cs="Arial"/>
                <w:sz w:val="21"/>
                <w:szCs w:val="21"/>
              </w:rPr>
              <w:t>费率</w:t>
            </w:r>
          </w:p>
        </w:tc>
        <w:tc>
          <w:tcPr>
            <w:tcW w:w="1701" w:type="dxa"/>
            <w:noWrap/>
            <w:vAlign w:val="center"/>
          </w:tcPr>
          <w:p w14:paraId="6972E216"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费率（</w:t>
            </w:r>
            <w:r>
              <w:rPr>
                <w:rFonts w:ascii="Arial" w:eastAsia="仿宋" w:hAnsi="Arial" w:cs="Arial"/>
                <w:sz w:val="21"/>
                <w:szCs w:val="21"/>
              </w:rPr>
              <w:t>%</w:t>
            </w:r>
            <w:r>
              <w:rPr>
                <w:rFonts w:ascii="Arial" w:eastAsia="仿宋" w:hAnsi="Arial" w:cs="Arial"/>
                <w:sz w:val="21"/>
                <w:szCs w:val="21"/>
              </w:rPr>
              <w:t>）</w:t>
            </w:r>
          </w:p>
        </w:tc>
        <w:tc>
          <w:tcPr>
            <w:tcW w:w="1417" w:type="dxa"/>
            <w:noWrap/>
            <w:vAlign w:val="center"/>
          </w:tcPr>
          <w:p w14:paraId="7758490B"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1.0%</w:t>
            </w:r>
          </w:p>
        </w:tc>
      </w:tr>
    </w:tbl>
    <w:p w14:paraId="75FECCBC" w14:textId="77777777" w:rsidR="0062768B" w:rsidRDefault="00136729">
      <w:pPr>
        <w:wordWrap w:val="0"/>
        <w:overflowPunct w:val="0"/>
        <w:autoSpaceDE w:val="0"/>
        <w:autoSpaceDN w:val="0"/>
        <w:spacing w:line="276" w:lineRule="auto"/>
        <w:ind w:firstLineChars="200" w:firstLine="360"/>
        <w:jc w:val="both"/>
        <w:outlineLvl w:val="0"/>
        <w:rPr>
          <w:rFonts w:ascii="Arial" w:eastAsia="华文细黑" w:hAnsi="Arial" w:cs="Arial"/>
          <w:sz w:val="18"/>
          <w:szCs w:val="21"/>
        </w:rPr>
      </w:pPr>
      <w:bookmarkStart w:id="381" w:name="_Toc77335141"/>
      <w:bookmarkStart w:id="382" w:name="_Toc77671511"/>
      <w:bookmarkStart w:id="383" w:name="_Toc77335472"/>
      <w:bookmarkStart w:id="384" w:name="_Toc138063031"/>
      <w:r>
        <w:rPr>
          <w:rFonts w:ascii="Arial" w:eastAsia="华文细黑" w:hAnsi="Arial" w:cs="Arial"/>
          <w:sz w:val="18"/>
          <w:szCs w:val="21"/>
        </w:rPr>
        <w:t>注：房产原值即为建筑物重置价值；</w:t>
      </w:r>
      <w:bookmarkEnd w:id="381"/>
      <w:bookmarkEnd w:id="382"/>
      <w:bookmarkEnd w:id="383"/>
      <w:bookmarkEnd w:id="384"/>
    </w:p>
    <w:p w14:paraId="4B014B92" w14:textId="77777777" w:rsidR="0062768B" w:rsidRDefault="00136729">
      <w:pPr>
        <w:wordWrap w:val="0"/>
        <w:overflowPunct w:val="0"/>
        <w:autoSpaceDE w:val="0"/>
        <w:autoSpaceDN w:val="0"/>
        <w:spacing w:line="276" w:lineRule="auto"/>
        <w:ind w:firstLineChars="200" w:firstLine="360"/>
        <w:jc w:val="both"/>
        <w:outlineLvl w:val="0"/>
        <w:rPr>
          <w:rFonts w:ascii="Arial" w:eastAsia="华文细黑" w:hAnsi="Arial" w:cs="Arial"/>
          <w:sz w:val="18"/>
          <w:szCs w:val="21"/>
        </w:rPr>
      </w:pPr>
      <w:bookmarkStart w:id="385" w:name="_Toc138063032"/>
      <w:r>
        <w:rPr>
          <w:rFonts w:ascii="Arial" w:eastAsia="华文细黑" w:hAnsi="Arial" w:cs="Arial"/>
          <w:sz w:val="18"/>
          <w:szCs w:val="21"/>
        </w:rPr>
        <w:t>依上述所示，估价对象总用地规模为</w:t>
      </w:r>
      <w:r>
        <w:rPr>
          <w:rFonts w:ascii="Arial" w:eastAsia="华文细黑" w:hAnsi="Arial" w:cs="Arial"/>
          <w:sz w:val="18"/>
          <w:szCs w:val="21"/>
        </w:rPr>
        <w:t>56790.45</w:t>
      </w:r>
      <w:r>
        <w:rPr>
          <w:rFonts w:ascii="Arial" w:eastAsia="华文细黑" w:hAnsi="Arial" w:cs="Arial" w:hint="eastAsia"/>
          <w:sz w:val="18"/>
          <w:szCs w:val="21"/>
        </w:rPr>
        <w:t>平</w:t>
      </w:r>
      <w:r>
        <w:rPr>
          <w:rFonts w:ascii="Arial" w:eastAsia="华文细黑" w:hAnsi="Arial" w:cs="Arial"/>
          <w:sz w:val="18"/>
          <w:szCs w:val="21"/>
        </w:rPr>
        <w:t>方米，总建筑规模为</w:t>
      </w:r>
      <w:r>
        <w:rPr>
          <w:rFonts w:ascii="Arial" w:eastAsia="华文细黑" w:hAnsi="Arial" w:cs="Arial"/>
          <w:sz w:val="18"/>
          <w:szCs w:val="21"/>
        </w:rPr>
        <w:t>68148.54</w:t>
      </w:r>
      <w:r>
        <w:rPr>
          <w:rFonts w:ascii="Arial" w:eastAsia="华文细黑" w:hAnsi="Arial" w:cs="Arial" w:hint="eastAsia"/>
          <w:sz w:val="18"/>
          <w:szCs w:val="21"/>
        </w:rPr>
        <w:t>平</w:t>
      </w:r>
      <w:r>
        <w:rPr>
          <w:rFonts w:ascii="Arial" w:eastAsia="华文细黑" w:hAnsi="Arial" w:cs="Arial"/>
          <w:sz w:val="18"/>
          <w:szCs w:val="21"/>
        </w:rPr>
        <w:t>方米，本次评估设定公共服务用途出让地上建筑规模为</w:t>
      </w:r>
      <w:r>
        <w:rPr>
          <w:rFonts w:ascii="Arial" w:eastAsia="华文细黑" w:hAnsi="Arial" w:cs="Arial"/>
          <w:sz w:val="18"/>
          <w:szCs w:val="21"/>
        </w:rPr>
        <w:t>754.00</w:t>
      </w:r>
      <w:r>
        <w:rPr>
          <w:rFonts w:ascii="Arial" w:eastAsia="华文细黑" w:hAnsi="Arial" w:cs="Arial" w:hint="eastAsia"/>
          <w:sz w:val="18"/>
          <w:szCs w:val="21"/>
        </w:rPr>
        <w:t>平</w:t>
      </w:r>
      <w:r>
        <w:rPr>
          <w:rFonts w:ascii="Arial" w:eastAsia="华文细黑" w:hAnsi="Arial" w:cs="Arial"/>
          <w:sz w:val="18"/>
          <w:szCs w:val="21"/>
        </w:rPr>
        <w:t>方米，其分摊土地面积</w:t>
      </w:r>
      <w:r>
        <w:rPr>
          <w:rFonts w:ascii="Arial" w:eastAsia="华文细黑" w:hAnsi="Arial" w:cs="Arial"/>
          <w:sz w:val="18"/>
          <w:szCs w:val="21"/>
        </w:rPr>
        <w:t>=754.00</w:t>
      </w:r>
      <w:r>
        <w:rPr>
          <w:rFonts w:ascii="Arial" w:eastAsia="华文细黑" w:hAnsi="Arial" w:cs="Arial" w:hint="eastAsia"/>
          <w:sz w:val="18"/>
          <w:szCs w:val="21"/>
        </w:rPr>
        <w:t>÷</w:t>
      </w:r>
      <w:r>
        <w:rPr>
          <w:rFonts w:ascii="Arial" w:eastAsia="华文细黑" w:hAnsi="Arial" w:cs="Arial"/>
          <w:sz w:val="18"/>
          <w:szCs w:val="21"/>
        </w:rPr>
        <w:t>68148.54×56790.45=628.33</w:t>
      </w:r>
      <w:r>
        <w:rPr>
          <w:rFonts w:ascii="Arial" w:eastAsia="华文细黑" w:hAnsi="Arial" w:cs="Arial"/>
          <w:sz w:val="18"/>
          <w:szCs w:val="21"/>
        </w:rPr>
        <w:t>平方米</w:t>
      </w:r>
      <w:bookmarkEnd w:id="385"/>
    </w:p>
    <w:p w14:paraId="0BBD02DF" w14:textId="77777777" w:rsidR="0062768B" w:rsidRDefault="00136729">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386" w:name="_Toc77671512"/>
      <w:bookmarkStart w:id="387" w:name="_Toc77335142"/>
      <w:bookmarkStart w:id="388" w:name="_Toc77335473"/>
      <w:bookmarkStart w:id="389" w:name="_Toc138063033"/>
      <w:r>
        <w:rPr>
          <w:rFonts w:ascii="Arial" w:eastAsia="仿宋" w:hAnsi="Arial" w:cs="Arial"/>
          <w:sz w:val="28"/>
          <w:szCs w:val="28"/>
        </w:rPr>
        <w:t>D</w:t>
      </w:r>
      <w:r>
        <w:rPr>
          <w:rFonts w:ascii="Arial" w:eastAsia="仿宋" w:hAnsi="Arial" w:cs="Arial"/>
          <w:sz w:val="28"/>
          <w:szCs w:val="28"/>
        </w:rPr>
        <w:t>）房地年净收益（</w:t>
      </w:r>
      <w:r>
        <w:rPr>
          <w:rFonts w:ascii="Arial" w:eastAsia="仿宋" w:hAnsi="Arial" w:cs="Arial"/>
          <w:sz w:val="28"/>
          <w:szCs w:val="28"/>
        </w:rPr>
        <w:t>A</w:t>
      </w:r>
      <w:r>
        <w:rPr>
          <w:rFonts w:ascii="Arial" w:eastAsia="仿宋" w:hAnsi="Arial" w:cs="Arial"/>
          <w:sz w:val="28"/>
          <w:szCs w:val="28"/>
        </w:rPr>
        <w:t>）：</w:t>
      </w:r>
      <w:bookmarkEnd w:id="386"/>
      <w:bookmarkEnd w:id="387"/>
      <w:bookmarkEnd w:id="388"/>
      <w:bookmarkEnd w:id="389"/>
    </w:p>
    <w:p w14:paraId="6D23EEE3" w14:textId="77777777" w:rsidR="0062768B" w:rsidRDefault="00136729">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390" w:name="_Toc77335143"/>
      <w:bookmarkStart w:id="391" w:name="_Toc77335474"/>
      <w:bookmarkStart w:id="392" w:name="_Toc77671513"/>
      <w:bookmarkStart w:id="393" w:name="_Toc138063034"/>
      <w:r>
        <w:rPr>
          <w:rFonts w:ascii="Arial" w:eastAsia="仿宋" w:hAnsi="Arial" w:cs="Arial"/>
          <w:sz w:val="28"/>
          <w:szCs w:val="28"/>
        </w:rPr>
        <w:t>房地年净收益＝未来第一年总收益</w:t>
      </w:r>
      <w:r>
        <w:rPr>
          <w:rFonts w:ascii="Arial" w:eastAsia="仿宋" w:hAnsi="Arial" w:cs="Arial"/>
          <w:sz w:val="28"/>
          <w:szCs w:val="28"/>
        </w:rPr>
        <w:t>-</w:t>
      </w:r>
      <w:r>
        <w:rPr>
          <w:rFonts w:ascii="Arial" w:eastAsia="仿宋" w:hAnsi="Arial" w:cs="Arial"/>
          <w:sz w:val="28"/>
          <w:szCs w:val="28"/>
        </w:rPr>
        <w:t>年经营费用</w:t>
      </w:r>
      <w:bookmarkEnd w:id="390"/>
      <w:bookmarkEnd w:id="391"/>
      <w:bookmarkEnd w:id="392"/>
      <w:bookmarkEnd w:id="393"/>
    </w:p>
    <w:p w14:paraId="16907E6B" w14:textId="77777777" w:rsidR="0062768B" w:rsidRDefault="00136729">
      <w:pPr>
        <w:overflowPunct w:val="0"/>
        <w:autoSpaceDE w:val="0"/>
        <w:autoSpaceDN w:val="0"/>
        <w:spacing w:line="300" w:lineRule="auto"/>
        <w:ind w:firstLineChars="850" w:firstLine="2380"/>
        <w:jc w:val="both"/>
        <w:outlineLvl w:val="0"/>
        <w:rPr>
          <w:rFonts w:ascii="Arial" w:eastAsia="仿宋" w:hAnsi="Arial" w:cs="Arial"/>
          <w:sz w:val="28"/>
          <w:szCs w:val="28"/>
          <w:lang w:eastAsia="zh-Hans"/>
        </w:rPr>
      </w:pPr>
      <w:bookmarkStart w:id="394" w:name="_Toc77671514"/>
      <w:bookmarkStart w:id="395" w:name="_Toc77335475"/>
      <w:bookmarkStart w:id="396" w:name="_Toc77335144"/>
      <w:bookmarkStart w:id="397" w:name="_Toc138063035"/>
      <w:r>
        <w:rPr>
          <w:rFonts w:ascii="Arial" w:eastAsia="仿宋" w:hAnsi="Arial" w:cs="Arial"/>
          <w:sz w:val="28"/>
          <w:szCs w:val="28"/>
        </w:rPr>
        <w:t>＝</w:t>
      </w:r>
      <w:bookmarkEnd w:id="394"/>
      <w:bookmarkEnd w:id="395"/>
      <w:bookmarkEnd w:id="396"/>
      <w:r>
        <w:rPr>
          <w:rFonts w:ascii="Arial" w:eastAsia="仿宋" w:hAnsi="Arial" w:cs="Arial"/>
          <w:sz w:val="28"/>
          <w:szCs w:val="28"/>
        </w:rPr>
        <w:t>72.1676</w:t>
      </w:r>
      <w:r>
        <w:rPr>
          <w:rFonts w:ascii="Arial" w:eastAsia="仿宋" w:hAnsi="Arial" w:cs="Arial"/>
          <w:sz w:val="28"/>
          <w:szCs w:val="28"/>
          <w:lang w:eastAsia="zh-Hans"/>
        </w:rPr>
        <w:t>-16.1369</w:t>
      </w:r>
      <w:bookmarkEnd w:id="397"/>
    </w:p>
    <w:p w14:paraId="404E7D67" w14:textId="77777777" w:rsidR="0062768B" w:rsidRDefault="00136729">
      <w:pPr>
        <w:spacing w:before="50" w:after="50" w:line="300" w:lineRule="auto"/>
        <w:ind w:firstLineChars="850" w:firstLine="238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56.0307</w:t>
      </w:r>
      <w:r>
        <w:rPr>
          <w:rFonts w:ascii="Arial" w:eastAsia="仿宋" w:hAnsi="Arial" w:cs="Arial"/>
          <w:sz w:val="28"/>
          <w:szCs w:val="28"/>
        </w:rPr>
        <w:t>（万元）</w:t>
      </w:r>
    </w:p>
    <w:p w14:paraId="1E2DAA8B" w14:textId="77777777" w:rsidR="0062768B" w:rsidRDefault="00136729">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398" w:name="_Toc77335145"/>
      <w:bookmarkStart w:id="399" w:name="_Toc77671515"/>
      <w:bookmarkStart w:id="400" w:name="_Toc77335476"/>
      <w:bookmarkStart w:id="401" w:name="_Toc138063036"/>
      <w:r>
        <w:rPr>
          <w:rFonts w:ascii="Arial" w:eastAsia="仿宋" w:hAnsi="Arial" w:cs="Arial"/>
          <w:sz w:val="28"/>
          <w:szCs w:val="28"/>
        </w:rPr>
        <w:t>（</w:t>
      </w:r>
      <w:r>
        <w:rPr>
          <w:rFonts w:ascii="Arial" w:eastAsia="仿宋" w:hAnsi="Arial" w:cs="Arial"/>
          <w:sz w:val="28"/>
          <w:szCs w:val="28"/>
        </w:rPr>
        <w:t>B</w:t>
      </w:r>
      <w:r>
        <w:rPr>
          <w:rFonts w:ascii="Arial" w:eastAsia="仿宋" w:hAnsi="Arial" w:cs="Arial"/>
          <w:sz w:val="28"/>
          <w:szCs w:val="28"/>
        </w:rPr>
        <w:t>）估价对象</w:t>
      </w:r>
      <w:r>
        <w:rPr>
          <w:rFonts w:ascii="Arial" w:eastAsia="仿宋" w:hAnsi="Arial" w:cs="Arial"/>
          <w:sz w:val="28"/>
          <w:szCs w:val="28"/>
          <w:lang w:eastAsia="zh-Hans"/>
        </w:rPr>
        <w:t>公共服务</w:t>
      </w:r>
      <w:r>
        <w:rPr>
          <w:rFonts w:ascii="Arial" w:eastAsia="仿宋" w:hAnsi="Arial" w:cs="Arial"/>
          <w:sz w:val="28"/>
          <w:szCs w:val="28"/>
        </w:rPr>
        <w:t>用房（</w:t>
      </w:r>
      <w:proofErr w:type="gramStart"/>
      <w:r>
        <w:rPr>
          <w:rFonts w:ascii="Arial" w:eastAsia="仿宋" w:hAnsi="Arial" w:cs="Arial"/>
          <w:sz w:val="28"/>
          <w:szCs w:val="28"/>
        </w:rPr>
        <w:t>自持</w:t>
      </w:r>
      <w:proofErr w:type="gramEnd"/>
      <w:r>
        <w:rPr>
          <w:rFonts w:ascii="Arial" w:eastAsia="仿宋" w:hAnsi="Arial" w:cs="Arial"/>
          <w:sz w:val="28"/>
          <w:szCs w:val="28"/>
        </w:rPr>
        <w:t>）房地产开发完成后不动产价值</w:t>
      </w:r>
      <w:bookmarkEnd w:id="398"/>
      <w:bookmarkEnd w:id="399"/>
      <w:bookmarkEnd w:id="400"/>
      <w:bookmarkEnd w:id="401"/>
    </w:p>
    <w:p w14:paraId="58F44CF8" w14:textId="77777777" w:rsidR="0062768B" w:rsidRDefault="00136729">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402" w:name="_Toc77335146"/>
      <w:bookmarkStart w:id="403" w:name="_Toc77671516"/>
      <w:bookmarkStart w:id="404" w:name="_Toc77335477"/>
      <w:bookmarkStart w:id="405" w:name="_Toc138063037"/>
      <w:r>
        <w:rPr>
          <w:rFonts w:ascii="Arial" w:eastAsia="仿宋" w:hAnsi="Arial" w:cs="Arial"/>
          <w:sz w:val="28"/>
          <w:szCs w:val="28"/>
        </w:rPr>
        <w:t>A</w:t>
      </w:r>
      <w:r>
        <w:rPr>
          <w:rFonts w:ascii="Arial" w:eastAsia="仿宋" w:hAnsi="Arial" w:cs="Arial"/>
          <w:sz w:val="28"/>
          <w:szCs w:val="28"/>
        </w:rPr>
        <w:t>）报酬率（</w:t>
      </w:r>
      <w:r>
        <w:rPr>
          <w:rFonts w:ascii="Arial" w:eastAsia="仿宋" w:hAnsi="Arial" w:cs="Arial"/>
          <w:sz w:val="28"/>
          <w:szCs w:val="28"/>
        </w:rPr>
        <w:t>Y</w:t>
      </w:r>
      <w:r>
        <w:rPr>
          <w:rFonts w:ascii="Arial" w:eastAsia="仿宋" w:hAnsi="Arial" w:cs="Arial"/>
          <w:sz w:val="28"/>
          <w:szCs w:val="28"/>
        </w:rPr>
        <w:t>）</w:t>
      </w:r>
      <w:bookmarkEnd w:id="402"/>
      <w:bookmarkEnd w:id="403"/>
      <w:bookmarkEnd w:id="404"/>
      <w:bookmarkEnd w:id="405"/>
    </w:p>
    <w:p w14:paraId="2F39A1F5" w14:textId="77777777" w:rsidR="0062768B" w:rsidRDefault="00136729">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406" w:name="_Toc77335478"/>
      <w:bookmarkStart w:id="407" w:name="_Toc77335147"/>
      <w:bookmarkStart w:id="408" w:name="_Toc77671517"/>
      <w:bookmarkStart w:id="409" w:name="_Toc138063038"/>
      <w:r>
        <w:rPr>
          <w:rFonts w:ascii="Arial" w:eastAsia="仿宋" w:hAnsi="Arial" w:cs="Arial"/>
          <w:sz w:val="28"/>
          <w:szCs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Pr>
          <w:rFonts w:ascii="Arial" w:eastAsia="仿宋" w:hAnsi="Arial" w:cs="Arial"/>
          <w:sz w:val="28"/>
          <w:szCs w:val="28"/>
        </w:rPr>
        <w:t>1.5%</w:t>
      </w:r>
      <w:r>
        <w:rPr>
          <w:rFonts w:ascii="Arial" w:eastAsia="仿宋" w:hAnsi="Arial" w:cs="Arial"/>
          <w:sz w:val="28"/>
          <w:szCs w:val="28"/>
        </w:rPr>
        <w:t>），风险调整值则可以根据估价对象所在地区的经济现状及未来预测、估价对象的用途等自身特点确定，经调查，一般为</w:t>
      </w:r>
      <w:r>
        <w:rPr>
          <w:rFonts w:ascii="Arial" w:eastAsia="仿宋" w:hAnsi="Arial" w:cs="Arial"/>
          <w:sz w:val="28"/>
          <w:szCs w:val="28"/>
        </w:rPr>
        <w:t>3%-5%</w:t>
      </w:r>
      <w:r>
        <w:rPr>
          <w:rFonts w:ascii="Arial" w:eastAsia="仿宋" w:hAnsi="Arial" w:cs="Arial"/>
          <w:sz w:val="28"/>
          <w:szCs w:val="28"/>
        </w:rPr>
        <w:t>之间，本次评估依据估价对象所在项目特点，</w:t>
      </w:r>
      <w:proofErr w:type="gramStart"/>
      <w:r>
        <w:rPr>
          <w:rFonts w:ascii="Arial" w:eastAsia="仿宋" w:hAnsi="Arial" w:cs="Arial"/>
          <w:sz w:val="28"/>
          <w:szCs w:val="28"/>
        </w:rPr>
        <w:t>取风险</w:t>
      </w:r>
      <w:proofErr w:type="gramEnd"/>
      <w:r>
        <w:rPr>
          <w:rFonts w:ascii="Arial" w:eastAsia="仿宋" w:hAnsi="Arial" w:cs="Arial"/>
          <w:sz w:val="28"/>
          <w:szCs w:val="28"/>
        </w:rPr>
        <w:t>调整值为</w:t>
      </w:r>
      <w:r>
        <w:rPr>
          <w:rFonts w:ascii="Arial" w:eastAsia="仿宋" w:hAnsi="Arial" w:cs="Arial"/>
          <w:sz w:val="28"/>
          <w:szCs w:val="28"/>
        </w:rPr>
        <w:t>4</w:t>
      </w:r>
      <w:r>
        <w:rPr>
          <w:rFonts w:ascii="Arial" w:eastAsia="仿宋" w:hAnsi="Arial" w:cs="Arial"/>
          <w:sz w:val="28"/>
          <w:szCs w:val="28"/>
          <w:lang w:eastAsia="zh-Hans"/>
        </w:rPr>
        <w:t>.5</w:t>
      </w:r>
      <w:r>
        <w:rPr>
          <w:rFonts w:ascii="Arial" w:eastAsia="仿宋" w:hAnsi="Arial" w:cs="Arial"/>
          <w:sz w:val="28"/>
          <w:szCs w:val="28"/>
        </w:rPr>
        <w:t>%</w:t>
      </w:r>
      <w:r>
        <w:rPr>
          <w:rFonts w:ascii="Arial" w:eastAsia="仿宋" w:hAnsi="Arial" w:cs="Arial"/>
          <w:sz w:val="28"/>
          <w:szCs w:val="28"/>
        </w:rPr>
        <w:t>，则依据安全利率加风险调整值法可以得出报酬率为</w:t>
      </w:r>
      <w:r>
        <w:rPr>
          <w:rFonts w:ascii="Arial" w:eastAsia="仿宋" w:hAnsi="Arial" w:cs="Arial"/>
          <w:sz w:val="28"/>
          <w:szCs w:val="28"/>
        </w:rPr>
        <w:t>6.0%</w:t>
      </w:r>
      <w:r>
        <w:rPr>
          <w:rFonts w:ascii="Arial" w:eastAsia="仿宋" w:hAnsi="Arial" w:cs="Arial"/>
          <w:sz w:val="28"/>
          <w:szCs w:val="28"/>
        </w:rPr>
        <w:t>。</w:t>
      </w:r>
      <w:bookmarkEnd w:id="406"/>
      <w:bookmarkEnd w:id="407"/>
      <w:bookmarkEnd w:id="408"/>
      <w:bookmarkEnd w:id="409"/>
    </w:p>
    <w:p w14:paraId="51070201" w14:textId="77777777" w:rsidR="0062768B" w:rsidRDefault="00136729">
      <w:pPr>
        <w:spacing w:line="300" w:lineRule="auto"/>
        <w:ind w:right="205" w:firstLineChars="200" w:firstLine="560"/>
        <w:rPr>
          <w:rFonts w:ascii="Arial" w:eastAsia="仿宋" w:hAnsi="Arial" w:cs="Arial"/>
          <w:sz w:val="28"/>
          <w:szCs w:val="28"/>
        </w:rPr>
      </w:pPr>
      <w:r>
        <w:rPr>
          <w:rFonts w:ascii="Arial" w:eastAsia="仿宋" w:hAnsi="Arial" w:cs="Arial"/>
          <w:sz w:val="28"/>
          <w:szCs w:val="28"/>
        </w:rPr>
        <w:t>B</w:t>
      </w:r>
      <w:r>
        <w:rPr>
          <w:rFonts w:ascii="Arial" w:eastAsia="仿宋" w:hAnsi="Arial" w:cs="Arial"/>
          <w:sz w:val="28"/>
          <w:szCs w:val="28"/>
        </w:rPr>
        <w:t>）收益年期（</w:t>
      </w:r>
      <w:r>
        <w:rPr>
          <w:rFonts w:ascii="Arial" w:eastAsia="仿宋" w:hAnsi="Arial" w:cs="Arial"/>
          <w:sz w:val="28"/>
          <w:szCs w:val="28"/>
        </w:rPr>
        <w:t>n</w:t>
      </w:r>
      <w:r>
        <w:rPr>
          <w:rFonts w:ascii="Arial" w:eastAsia="仿宋" w:hAnsi="Arial" w:cs="Arial"/>
          <w:sz w:val="28"/>
          <w:szCs w:val="28"/>
        </w:rPr>
        <w:t>）</w:t>
      </w:r>
    </w:p>
    <w:p w14:paraId="14E4BD94" w14:textId="77777777" w:rsidR="0062768B" w:rsidRDefault="00136729">
      <w:pPr>
        <w:spacing w:line="300" w:lineRule="auto"/>
        <w:ind w:right="205" w:firstLineChars="200" w:firstLine="560"/>
        <w:jc w:val="both"/>
        <w:rPr>
          <w:rFonts w:ascii="Arial" w:eastAsia="仿宋" w:hAnsi="Arial" w:cs="Arial"/>
          <w:sz w:val="28"/>
          <w:szCs w:val="28"/>
        </w:rPr>
      </w:pPr>
      <w:r>
        <w:rPr>
          <w:rFonts w:ascii="Arial" w:eastAsia="仿宋" w:hAnsi="Arial" w:cs="Arial"/>
          <w:sz w:val="28"/>
          <w:szCs w:val="28"/>
        </w:rPr>
        <w:t>估价对象用途为</w:t>
      </w:r>
      <w:r>
        <w:rPr>
          <w:rFonts w:ascii="Arial" w:eastAsia="仿宋" w:hAnsi="Arial" w:cs="Arial"/>
          <w:sz w:val="28"/>
          <w:szCs w:val="28"/>
          <w:lang w:eastAsia="zh-Hans"/>
        </w:rPr>
        <w:t>公共服务</w:t>
      </w:r>
      <w:r>
        <w:rPr>
          <w:rFonts w:ascii="Arial" w:eastAsia="仿宋" w:hAnsi="Arial" w:cs="Arial"/>
          <w:sz w:val="28"/>
          <w:szCs w:val="28"/>
        </w:rPr>
        <w:t>，设定出让国有建设用地使用权剩余土地使用年限为</w:t>
      </w:r>
      <w:r>
        <w:rPr>
          <w:rFonts w:ascii="Arial" w:eastAsia="仿宋" w:hAnsi="Arial" w:cs="Arial"/>
          <w:sz w:val="28"/>
          <w:szCs w:val="28"/>
        </w:rPr>
        <w:t>50</w:t>
      </w:r>
      <w:r>
        <w:rPr>
          <w:rFonts w:ascii="Arial" w:eastAsia="仿宋" w:hAnsi="Arial" w:cs="Arial"/>
          <w:sz w:val="28"/>
          <w:szCs w:val="28"/>
        </w:rPr>
        <w:t>年，</w:t>
      </w:r>
      <w:commentRangeStart w:id="410"/>
      <w:r>
        <w:rPr>
          <w:rFonts w:ascii="Arial" w:eastAsia="仿宋" w:hAnsi="Arial" w:cs="Arial"/>
          <w:sz w:val="28"/>
          <w:szCs w:val="28"/>
          <w:lang w:eastAsia="zh-Hans"/>
        </w:rPr>
        <w:t>土地开发期</w:t>
      </w:r>
      <w:commentRangeEnd w:id="410"/>
      <w:r w:rsidR="00812A62">
        <w:rPr>
          <w:rStyle w:val="af6"/>
          <w:lang w:val="zh-CN"/>
        </w:rPr>
        <w:commentReference w:id="410"/>
      </w:r>
      <w:r>
        <w:rPr>
          <w:rFonts w:ascii="Arial" w:eastAsia="仿宋" w:hAnsi="Arial" w:cs="Arial"/>
          <w:sz w:val="28"/>
          <w:szCs w:val="28"/>
          <w:lang w:eastAsia="zh-Hans"/>
        </w:rPr>
        <w:t>为</w:t>
      </w:r>
      <w:r>
        <w:rPr>
          <w:rFonts w:ascii="Arial" w:eastAsia="仿宋" w:hAnsi="Arial" w:cs="Arial"/>
          <w:sz w:val="28"/>
          <w:szCs w:val="28"/>
          <w:lang w:eastAsia="zh-Hans"/>
        </w:rPr>
        <w:t>2.5</w:t>
      </w:r>
      <w:r>
        <w:rPr>
          <w:rFonts w:ascii="Arial" w:eastAsia="仿宋" w:hAnsi="Arial" w:cs="Arial"/>
          <w:sz w:val="28"/>
          <w:szCs w:val="28"/>
          <w:lang w:eastAsia="zh-Hans"/>
        </w:rPr>
        <w:t>年，</w:t>
      </w:r>
      <w:proofErr w:type="gramStart"/>
      <w:r>
        <w:rPr>
          <w:rFonts w:ascii="Arial" w:eastAsia="仿宋" w:hAnsi="Arial" w:cs="Arial"/>
          <w:sz w:val="28"/>
          <w:szCs w:val="28"/>
          <w:lang w:eastAsia="zh-Hans"/>
        </w:rPr>
        <w:t>则建成</w:t>
      </w:r>
      <w:proofErr w:type="gramEnd"/>
      <w:r>
        <w:rPr>
          <w:rFonts w:ascii="Arial" w:eastAsia="仿宋" w:hAnsi="Arial" w:cs="Arial"/>
          <w:sz w:val="28"/>
          <w:szCs w:val="28"/>
          <w:lang w:eastAsia="zh-Hans"/>
        </w:rPr>
        <w:t>后剩余土地使用年限为</w:t>
      </w:r>
      <w:r>
        <w:rPr>
          <w:rFonts w:ascii="Arial" w:eastAsia="仿宋" w:hAnsi="Arial" w:cs="Arial"/>
          <w:sz w:val="28"/>
          <w:szCs w:val="28"/>
          <w:lang w:eastAsia="zh-Hans"/>
        </w:rPr>
        <w:t>47.5</w:t>
      </w:r>
      <w:r>
        <w:rPr>
          <w:rFonts w:ascii="Arial" w:eastAsia="仿宋" w:hAnsi="Arial" w:cs="Arial"/>
          <w:sz w:val="28"/>
          <w:szCs w:val="28"/>
          <w:lang w:eastAsia="zh-Hans"/>
        </w:rPr>
        <w:t>年</w:t>
      </w:r>
      <w:r>
        <w:rPr>
          <w:rFonts w:ascii="Arial" w:eastAsia="仿宋" w:hAnsi="Arial" w:cs="Arial"/>
          <w:sz w:val="28"/>
          <w:szCs w:val="28"/>
        </w:rPr>
        <w:t>。估价对象所在物业为钢混结构，经济耐用年限为</w:t>
      </w:r>
      <w:r>
        <w:rPr>
          <w:rFonts w:ascii="Arial" w:eastAsia="仿宋" w:hAnsi="Arial" w:cs="Arial"/>
          <w:sz w:val="28"/>
          <w:szCs w:val="28"/>
        </w:rPr>
        <w:t>60</w:t>
      </w:r>
      <w:r>
        <w:rPr>
          <w:rFonts w:ascii="Arial" w:eastAsia="仿宋" w:hAnsi="Arial" w:cs="Arial"/>
          <w:sz w:val="28"/>
          <w:szCs w:val="28"/>
        </w:rPr>
        <w:t>年；本次评估设定估价对象成新率为</w:t>
      </w:r>
      <w:r>
        <w:rPr>
          <w:rFonts w:ascii="Arial" w:eastAsia="仿宋" w:hAnsi="Arial" w:cs="Arial"/>
          <w:sz w:val="28"/>
          <w:szCs w:val="28"/>
        </w:rPr>
        <w:t>100%</w:t>
      </w:r>
      <w:r>
        <w:rPr>
          <w:rFonts w:ascii="Arial" w:eastAsia="仿宋" w:hAnsi="Arial" w:cs="Arial"/>
          <w:sz w:val="28"/>
          <w:szCs w:val="28"/>
        </w:rPr>
        <w:t>，故剩余经济耐用年限为</w:t>
      </w:r>
      <w:r>
        <w:rPr>
          <w:rFonts w:ascii="Arial" w:eastAsia="仿宋" w:hAnsi="Arial" w:cs="Arial"/>
          <w:sz w:val="28"/>
          <w:szCs w:val="28"/>
        </w:rPr>
        <w:t>60</w:t>
      </w:r>
      <w:r>
        <w:rPr>
          <w:rFonts w:ascii="Arial" w:eastAsia="仿宋" w:hAnsi="Arial" w:cs="Arial"/>
          <w:sz w:val="28"/>
          <w:szCs w:val="28"/>
        </w:rPr>
        <w:t>年。估价</w:t>
      </w:r>
      <w:r>
        <w:rPr>
          <w:rFonts w:ascii="Arial" w:eastAsia="仿宋" w:hAnsi="Arial" w:cs="Arial"/>
          <w:sz w:val="28"/>
          <w:szCs w:val="28"/>
        </w:rPr>
        <w:lastRenderedPageBreak/>
        <w:t>对象剩余土地使用年限短于剩余经济耐用年限。故，本次评估收益年</w:t>
      </w:r>
      <w:proofErr w:type="gramStart"/>
      <w:r>
        <w:rPr>
          <w:rFonts w:ascii="Arial" w:eastAsia="仿宋" w:hAnsi="Arial" w:cs="Arial"/>
          <w:sz w:val="28"/>
          <w:szCs w:val="28"/>
        </w:rPr>
        <w:t>期按照</w:t>
      </w:r>
      <w:proofErr w:type="gramEnd"/>
      <w:r>
        <w:rPr>
          <w:rFonts w:ascii="Arial" w:eastAsia="仿宋" w:hAnsi="Arial" w:cs="Arial"/>
          <w:sz w:val="28"/>
          <w:szCs w:val="28"/>
        </w:rPr>
        <w:t>土地使用年期计算，即</w:t>
      </w:r>
      <w:r>
        <w:rPr>
          <w:rFonts w:ascii="Arial" w:eastAsia="仿宋" w:hAnsi="Arial" w:cs="Arial"/>
          <w:sz w:val="28"/>
          <w:szCs w:val="28"/>
        </w:rPr>
        <w:t>47.5</w:t>
      </w:r>
      <w:r>
        <w:rPr>
          <w:rFonts w:ascii="Arial" w:eastAsia="仿宋" w:hAnsi="Arial" w:cs="Arial"/>
          <w:sz w:val="28"/>
          <w:szCs w:val="28"/>
        </w:rPr>
        <w:t>年。</w:t>
      </w:r>
    </w:p>
    <w:p w14:paraId="264988BF" w14:textId="77777777" w:rsidR="0062768B" w:rsidRDefault="00136729">
      <w:pPr>
        <w:spacing w:line="300" w:lineRule="auto"/>
        <w:ind w:right="205" w:firstLineChars="200" w:firstLine="560"/>
        <w:rPr>
          <w:rFonts w:ascii="Arial" w:eastAsia="仿宋" w:hAnsi="Arial" w:cs="Arial"/>
          <w:sz w:val="28"/>
          <w:szCs w:val="28"/>
        </w:rPr>
      </w:pPr>
      <w:r>
        <w:rPr>
          <w:rFonts w:ascii="Arial" w:eastAsia="仿宋" w:hAnsi="Arial" w:cs="Arial"/>
          <w:sz w:val="28"/>
          <w:szCs w:val="28"/>
        </w:rPr>
        <w:t>C</w:t>
      </w:r>
      <w:r>
        <w:rPr>
          <w:rFonts w:ascii="Arial" w:eastAsia="仿宋" w:hAnsi="Arial" w:cs="Arial"/>
          <w:sz w:val="28"/>
          <w:szCs w:val="28"/>
        </w:rPr>
        <w:t>）净收益逐年增长比率（</w:t>
      </w:r>
      <w:r>
        <w:rPr>
          <w:rFonts w:ascii="Arial" w:eastAsia="仿宋" w:hAnsi="Arial" w:cs="Arial"/>
          <w:sz w:val="28"/>
          <w:szCs w:val="28"/>
        </w:rPr>
        <w:t>g</w:t>
      </w:r>
      <w:r>
        <w:rPr>
          <w:rFonts w:ascii="Arial" w:eastAsia="仿宋" w:hAnsi="Arial" w:cs="Arial"/>
          <w:sz w:val="28"/>
          <w:szCs w:val="28"/>
        </w:rPr>
        <w:t>）</w:t>
      </w:r>
    </w:p>
    <w:p w14:paraId="6E0FC0C8" w14:textId="77777777" w:rsidR="0062768B" w:rsidRDefault="00136729">
      <w:pPr>
        <w:spacing w:line="300" w:lineRule="auto"/>
        <w:ind w:right="205" w:firstLineChars="200" w:firstLine="560"/>
        <w:jc w:val="both"/>
        <w:rPr>
          <w:rFonts w:ascii="Arial" w:eastAsia="仿宋" w:hAnsi="Arial" w:cs="Arial"/>
          <w:sz w:val="28"/>
          <w:szCs w:val="28"/>
        </w:rPr>
      </w:pPr>
      <w:r>
        <w:rPr>
          <w:rFonts w:ascii="Arial" w:eastAsia="仿宋" w:hAnsi="Arial" w:cs="Arial"/>
          <w:sz w:val="28"/>
          <w:szCs w:val="28"/>
        </w:rPr>
        <w:t>北京市近年来的</w:t>
      </w:r>
      <w:r>
        <w:rPr>
          <w:rFonts w:ascii="Arial" w:eastAsia="仿宋" w:hAnsi="Arial" w:cs="Arial"/>
          <w:sz w:val="28"/>
          <w:szCs w:val="28"/>
          <w:lang w:eastAsia="zh-Hans"/>
        </w:rPr>
        <w:t>公共服务</w:t>
      </w:r>
      <w:r>
        <w:rPr>
          <w:rFonts w:ascii="Arial" w:eastAsia="仿宋" w:hAnsi="Arial" w:cs="Arial"/>
          <w:sz w:val="28"/>
          <w:szCs w:val="28"/>
        </w:rPr>
        <w:t>用房租金水平呈平稳趋势。根据区域房地产市场的调查情况，区域类似物业租金增减幅度情况，分析估价对象所在位置具体情况，本次评估依据估价目的，确定其净收益逐年增长比率为</w:t>
      </w:r>
      <w:r>
        <w:rPr>
          <w:rFonts w:ascii="Arial" w:eastAsia="仿宋" w:hAnsi="Arial" w:cs="Arial"/>
          <w:sz w:val="28"/>
          <w:szCs w:val="28"/>
        </w:rPr>
        <w:t>0%</w:t>
      </w:r>
      <w:r>
        <w:rPr>
          <w:rFonts w:ascii="Arial" w:eastAsia="仿宋" w:hAnsi="Arial" w:cs="Arial"/>
          <w:sz w:val="28"/>
          <w:szCs w:val="28"/>
        </w:rPr>
        <w:t>。</w:t>
      </w:r>
    </w:p>
    <w:p w14:paraId="6D6397BD" w14:textId="77777777" w:rsidR="0062768B" w:rsidRDefault="00136729">
      <w:pPr>
        <w:spacing w:line="300" w:lineRule="auto"/>
        <w:ind w:right="205" w:firstLineChars="200" w:firstLine="560"/>
        <w:rPr>
          <w:rFonts w:ascii="Arial" w:eastAsia="仿宋" w:hAnsi="Arial" w:cs="Arial"/>
          <w:sz w:val="28"/>
          <w:szCs w:val="28"/>
        </w:rPr>
      </w:pPr>
      <w:r>
        <w:rPr>
          <w:rFonts w:ascii="Arial" w:eastAsia="仿宋" w:hAnsi="Arial" w:cs="Arial"/>
          <w:sz w:val="28"/>
          <w:szCs w:val="28"/>
        </w:rPr>
        <w:t>D</w:t>
      </w:r>
      <w:r>
        <w:rPr>
          <w:rFonts w:ascii="Arial" w:eastAsia="仿宋" w:hAnsi="Arial" w:cs="Arial"/>
          <w:sz w:val="28"/>
          <w:szCs w:val="28"/>
        </w:rPr>
        <w:t>）房地产开发完成后不动产价值</w:t>
      </w:r>
    </w:p>
    <w:p w14:paraId="20C11AD5"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t>估价对象</w:t>
      </w:r>
      <w:r>
        <w:rPr>
          <w:rFonts w:ascii="Arial" w:eastAsia="仿宋" w:hAnsi="Arial" w:cs="Arial"/>
          <w:sz w:val="28"/>
          <w:szCs w:val="28"/>
          <w:lang w:eastAsia="zh-Hans"/>
        </w:rPr>
        <w:t>公共服务</w:t>
      </w:r>
      <w:r>
        <w:rPr>
          <w:rFonts w:ascii="Arial" w:eastAsia="仿宋" w:hAnsi="Arial" w:cs="Arial"/>
          <w:sz w:val="28"/>
          <w:szCs w:val="28"/>
        </w:rPr>
        <w:t>用房开发完成后房地产价值</w:t>
      </w:r>
    </w:p>
    <w:p w14:paraId="2B2F29E2"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A×{1</w:t>
      </w:r>
      <w:r>
        <w:rPr>
          <w:rFonts w:ascii="Arial" w:eastAsia="仿宋" w:hAnsi="Arial" w:cs="Arial"/>
          <w:sz w:val="28"/>
          <w:szCs w:val="28"/>
        </w:rPr>
        <w:t>－</w:t>
      </w:r>
      <w:r>
        <w:rPr>
          <w:rFonts w:ascii="Arial" w:eastAsia="仿宋" w:hAnsi="Arial" w:cs="Arial"/>
          <w:sz w:val="28"/>
          <w:szCs w:val="28"/>
        </w:rPr>
        <w:t>[(1</w:t>
      </w:r>
      <w:r>
        <w:rPr>
          <w:rFonts w:ascii="Arial" w:eastAsia="仿宋" w:hAnsi="Arial" w:cs="Arial"/>
          <w:sz w:val="28"/>
          <w:szCs w:val="28"/>
        </w:rPr>
        <w:t>＋</w:t>
      </w:r>
      <w:r>
        <w:rPr>
          <w:rFonts w:ascii="Arial" w:eastAsia="仿宋" w:hAnsi="Arial" w:cs="Arial"/>
          <w:sz w:val="28"/>
          <w:szCs w:val="28"/>
        </w:rPr>
        <w:t>g)÷(1</w:t>
      </w:r>
      <w:r>
        <w:rPr>
          <w:rFonts w:ascii="Arial" w:eastAsia="仿宋" w:hAnsi="Arial" w:cs="Arial"/>
          <w:sz w:val="28"/>
          <w:szCs w:val="28"/>
        </w:rPr>
        <w:t>＋</w:t>
      </w:r>
      <w:r>
        <w:rPr>
          <w:rFonts w:ascii="Arial" w:eastAsia="仿宋" w:hAnsi="Arial" w:cs="Arial"/>
          <w:sz w:val="28"/>
          <w:szCs w:val="28"/>
        </w:rPr>
        <w:t>Y)]</w:t>
      </w:r>
      <w:r>
        <w:rPr>
          <w:rFonts w:ascii="Arial" w:eastAsia="仿宋" w:hAnsi="Arial" w:cs="Arial"/>
          <w:sz w:val="28"/>
          <w:szCs w:val="28"/>
          <w:vertAlign w:val="superscript"/>
        </w:rPr>
        <w:t>n</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Y-g</w:t>
      </w:r>
      <w:r>
        <w:rPr>
          <w:rFonts w:ascii="Arial" w:eastAsia="仿宋" w:hAnsi="Arial" w:cs="Arial"/>
          <w:sz w:val="28"/>
          <w:szCs w:val="28"/>
        </w:rPr>
        <w:t>）</w:t>
      </w:r>
    </w:p>
    <w:p w14:paraId="4B668809"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875.1979</w:t>
      </w:r>
      <w:r>
        <w:rPr>
          <w:rFonts w:ascii="Arial" w:eastAsia="仿宋" w:hAnsi="Arial" w:cs="Arial"/>
          <w:sz w:val="28"/>
          <w:szCs w:val="28"/>
        </w:rPr>
        <w:t>（万元）</w:t>
      </w:r>
    </w:p>
    <w:p w14:paraId="377D9F4E" w14:textId="77777777" w:rsidR="0062768B" w:rsidRDefault="00136729">
      <w:pPr>
        <w:spacing w:line="300" w:lineRule="auto"/>
        <w:ind w:firstLineChars="200" w:firstLine="560"/>
        <w:rPr>
          <w:rFonts w:ascii="Arial" w:eastAsia="仿宋" w:hAnsi="Arial" w:cs="Arial"/>
          <w:sz w:val="28"/>
          <w:szCs w:val="28"/>
          <w:lang w:eastAsia="zh-Hans"/>
        </w:rPr>
      </w:pPr>
      <w:r>
        <w:rPr>
          <w:rFonts w:ascii="Arial" w:eastAsia="仿宋" w:hAnsi="Arial" w:cs="Arial"/>
          <w:sz w:val="28"/>
          <w:szCs w:val="28"/>
          <w:lang w:eastAsia="zh-Hans"/>
        </w:rPr>
        <w:t>公共服务用房房地产单价</w:t>
      </w:r>
      <w:r>
        <w:rPr>
          <w:rFonts w:ascii="Arial" w:eastAsia="仿宋" w:hAnsi="Arial" w:cs="Arial"/>
          <w:sz w:val="28"/>
          <w:szCs w:val="28"/>
          <w:lang w:eastAsia="zh-Hans"/>
        </w:rPr>
        <w:t>=</w:t>
      </w:r>
      <w:r>
        <w:rPr>
          <w:rFonts w:ascii="Arial" w:eastAsia="仿宋" w:hAnsi="Arial" w:cs="Arial"/>
          <w:sz w:val="28"/>
          <w:szCs w:val="28"/>
        </w:rPr>
        <w:t>875.1979÷754×10000</w:t>
      </w:r>
      <w:r>
        <w:rPr>
          <w:rFonts w:ascii="Arial" w:eastAsia="仿宋" w:hAnsi="Arial" w:cs="Arial"/>
          <w:sz w:val="28"/>
          <w:szCs w:val="28"/>
          <w:lang w:eastAsia="zh-Hans"/>
        </w:rPr>
        <w:t>=11607</w:t>
      </w:r>
      <w:r>
        <w:rPr>
          <w:rFonts w:ascii="Arial" w:eastAsia="仿宋" w:hAnsi="Arial" w:cs="Arial"/>
          <w:sz w:val="28"/>
          <w:szCs w:val="28"/>
          <w:lang w:eastAsia="zh-Hans"/>
        </w:rPr>
        <w:t>（元</w:t>
      </w:r>
      <w:r>
        <w:rPr>
          <w:rFonts w:ascii="Arial" w:eastAsia="仿宋" w:hAnsi="Arial" w:cs="Arial"/>
          <w:sz w:val="28"/>
          <w:szCs w:val="28"/>
          <w:lang w:eastAsia="zh-Hans"/>
        </w:rPr>
        <w:t>/</w:t>
      </w:r>
      <w:r>
        <w:rPr>
          <w:rFonts w:ascii="Arial" w:eastAsia="仿宋" w:hAnsi="Arial" w:cs="Arial"/>
          <w:sz w:val="28"/>
          <w:szCs w:val="28"/>
          <w:lang w:eastAsia="zh-Hans"/>
        </w:rPr>
        <w:t>平方米）</w:t>
      </w:r>
    </w:p>
    <w:p w14:paraId="69554B99"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3</w:t>
      </w:r>
      <w:r>
        <w:rPr>
          <w:rFonts w:ascii="Arial" w:eastAsia="仿宋" w:hAnsi="Arial" w:cs="Arial"/>
          <w:sz w:val="28"/>
          <w:szCs w:val="28"/>
        </w:rPr>
        <w:t>）开发成本</w:t>
      </w:r>
    </w:p>
    <w:p w14:paraId="08422BBD" w14:textId="77777777" w:rsidR="0062768B" w:rsidRDefault="00136729">
      <w:pPr>
        <w:spacing w:beforeLines="50" w:before="120" w:afterLines="50" w:after="120" w:line="300" w:lineRule="auto"/>
        <w:ind w:firstLineChars="200" w:firstLine="560"/>
        <w:rPr>
          <w:rFonts w:ascii="Arial" w:eastAsia="仿宋" w:hAnsi="Arial" w:cs="Arial"/>
          <w:sz w:val="28"/>
          <w:szCs w:val="28"/>
        </w:rPr>
      </w:pPr>
      <w:r>
        <w:rPr>
          <w:rFonts w:ascii="Arial" w:eastAsia="仿宋" w:hAnsi="Arial" w:cs="Arial"/>
          <w:sz w:val="28"/>
          <w:szCs w:val="28"/>
        </w:rPr>
        <w:t>A.</w:t>
      </w:r>
      <w:r>
        <w:rPr>
          <w:rFonts w:ascii="Arial" w:eastAsia="仿宋" w:hAnsi="Arial" w:cs="Arial"/>
          <w:sz w:val="28"/>
          <w:szCs w:val="28"/>
        </w:rPr>
        <w:t>建造成本</w:t>
      </w:r>
    </w:p>
    <w:p w14:paraId="6D94AE80" w14:textId="77777777" w:rsidR="0062768B" w:rsidRDefault="00136729">
      <w:pPr>
        <w:spacing w:beforeLines="50" w:before="120" w:afterLines="50" w:after="120" w:line="300" w:lineRule="auto"/>
        <w:ind w:firstLineChars="200" w:firstLine="560"/>
        <w:rPr>
          <w:rFonts w:ascii="Arial" w:eastAsia="仿宋" w:hAnsi="Arial" w:cs="Arial"/>
          <w:sz w:val="28"/>
          <w:szCs w:val="28"/>
        </w:rPr>
      </w:pPr>
      <w:r>
        <w:rPr>
          <w:rFonts w:ascii="Arial" w:eastAsia="仿宋" w:hAnsi="Arial" w:cs="Arial"/>
          <w:sz w:val="28"/>
          <w:szCs w:val="28"/>
        </w:rPr>
        <w:t>同收益法测算，建造成本为</w:t>
      </w:r>
      <w:r>
        <w:rPr>
          <w:rFonts w:ascii="Arial" w:eastAsia="仿宋" w:hAnsi="Arial" w:cs="Arial"/>
          <w:sz w:val="28"/>
          <w:szCs w:val="28"/>
        </w:rPr>
        <w:t>383.9745</w:t>
      </w:r>
      <w:r>
        <w:rPr>
          <w:rFonts w:ascii="Arial" w:eastAsia="仿宋" w:hAnsi="Arial" w:cs="Arial"/>
          <w:sz w:val="28"/>
          <w:szCs w:val="28"/>
        </w:rPr>
        <w:t>万元。</w:t>
      </w:r>
    </w:p>
    <w:p w14:paraId="7BF75138"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 xml:space="preserve">B. </w:t>
      </w:r>
      <w:r>
        <w:rPr>
          <w:rFonts w:ascii="Arial" w:eastAsia="仿宋" w:hAnsi="Arial" w:cs="Arial"/>
          <w:sz w:val="28"/>
          <w:szCs w:val="28"/>
        </w:rPr>
        <w:t>红线外市政费用（土地开发费）</w:t>
      </w:r>
    </w:p>
    <w:p w14:paraId="59F3C0C3" w14:textId="3BB1137B"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_GB2312" w:hAnsi="Arial" w:cs="Arial" w:hint="eastAsia"/>
          <w:sz w:val="28"/>
          <w:szCs w:val="28"/>
        </w:rPr>
        <w:t>根据</w:t>
      </w:r>
      <w:r w:rsidR="00791FE1">
        <w:rPr>
          <w:rFonts w:ascii="Arial" w:eastAsia="仿宋_GB2312" w:hAnsi="Arial" w:cs="Arial" w:hint="eastAsia"/>
          <w:sz w:val="28"/>
          <w:szCs w:val="28"/>
        </w:rPr>
        <w:t>《北京市顺义区人民政府关于顺义区高丽营镇夏县营村棚户区改造土地开发项目</w:t>
      </w:r>
      <w:r w:rsidR="00791FE1">
        <w:rPr>
          <w:rFonts w:ascii="Arial" w:eastAsia="仿宋_GB2312" w:hAnsi="Arial" w:cs="Arial" w:hint="eastAsia"/>
          <w:sz w:val="28"/>
          <w:szCs w:val="28"/>
        </w:rPr>
        <w:t>01-008</w:t>
      </w:r>
      <w:r w:rsidR="00791FE1">
        <w:rPr>
          <w:rFonts w:ascii="Arial" w:eastAsia="仿宋_GB2312" w:hAnsi="Arial" w:cs="Arial" w:hint="eastAsia"/>
          <w:sz w:val="28"/>
          <w:szCs w:val="28"/>
        </w:rPr>
        <w:t>、</w:t>
      </w:r>
      <w:r w:rsidR="00791FE1">
        <w:rPr>
          <w:rFonts w:ascii="Arial" w:eastAsia="仿宋_GB2312" w:hAnsi="Arial" w:cs="Arial" w:hint="eastAsia"/>
          <w:sz w:val="28"/>
          <w:szCs w:val="28"/>
        </w:rPr>
        <w:t>01-016</w:t>
      </w:r>
      <w:r w:rsidR="00791FE1">
        <w:rPr>
          <w:rFonts w:ascii="Arial" w:eastAsia="仿宋_GB2312" w:hAnsi="Arial" w:cs="Arial" w:hint="eastAsia"/>
          <w:sz w:val="28"/>
          <w:szCs w:val="28"/>
        </w:rPr>
        <w:t>、</w:t>
      </w:r>
      <w:r w:rsidR="00791FE1">
        <w:rPr>
          <w:rFonts w:ascii="Arial" w:eastAsia="仿宋_GB2312" w:hAnsi="Arial" w:cs="Arial" w:hint="eastAsia"/>
          <w:sz w:val="28"/>
          <w:szCs w:val="28"/>
        </w:rPr>
        <w:t>01-026-1</w:t>
      </w:r>
      <w:r w:rsidR="00791FE1">
        <w:rPr>
          <w:rFonts w:ascii="Arial" w:eastAsia="仿宋_GB2312" w:hAnsi="Arial" w:cs="Arial" w:hint="eastAsia"/>
          <w:sz w:val="28"/>
          <w:szCs w:val="28"/>
        </w:rPr>
        <w:t>、</w:t>
      </w:r>
      <w:r w:rsidR="00791FE1">
        <w:rPr>
          <w:rFonts w:ascii="Arial" w:eastAsia="仿宋_GB2312" w:hAnsi="Arial" w:cs="Arial" w:hint="eastAsia"/>
          <w:sz w:val="28"/>
          <w:szCs w:val="28"/>
        </w:rPr>
        <w:t>01-020</w:t>
      </w:r>
      <w:r w:rsidR="00791FE1">
        <w:rPr>
          <w:rFonts w:ascii="Arial" w:eastAsia="仿宋_GB2312" w:hAnsi="Arial" w:cs="Arial" w:hint="eastAsia"/>
          <w:sz w:val="28"/>
          <w:szCs w:val="28"/>
        </w:rPr>
        <w:t>地块提请地价审核有关事宜的函》（</w:t>
      </w:r>
      <w:proofErr w:type="gramStart"/>
      <w:r w:rsidR="00791FE1">
        <w:rPr>
          <w:rFonts w:ascii="Arial" w:eastAsia="仿宋_GB2312" w:hAnsi="Arial" w:cs="Arial" w:hint="eastAsia"/>
          <w:sz w:val="28"/>
          <w:szCs w:val="28"/>
        </w:rPr>
        <w:t>顺政函</w:t>
      </w:r>
      <w:proofErr w:type="gramEnd"/>
      <w:r w:rsidR="00791FE1">
        <w:rPr>
          <w:rFonts w:ascii="Arial" w:eastAsia="仿宋_GB2312" w:hAnsi="Arial" w:cs="Arial" w:hint="eastAsia"/>
          <w:sz w:val="28"/>
          <w:szCs w:val="28"/>
        </w:rPr>
        <w:t>【</w:t>
      </w:r>
      <w:r w:rsidR="00791FE1">
        <w:rPr>
          <w:rFonts w:ascii="Arial" w:eastAsia="仿宋_GB2312" w:hAnsi="Arial" w:cs="Arial" w:hint="eastAsia"/>
          <w:sz w:val="28"/>
          <w:szCs w:val="28"/>
        </w:rPr>
        <w:t>2023</w:t>
      </w:r>
      <w:r w:rsidR="00791FE1">
        <w:rPr>
          <w:rFonts w:ascii="Arial" w:eastAsia="仿宋_GB2312" w:hAnsi="Arial" w:cs="Arial" w:hint="eastAsia"/>
          <w:sz w:val="28"/>
          <w:szCs w:val="28"/>
        </w:rPr>
        <w:t>】</w:t>
      </w:r>
      <w:r w:rsidR="00791FE1">
        <w:rPr>
          <w:rFonts w:ascii="Arial" w:eastAsia="仿宋_GB2312" w:hAnsi="Arial" w:cs="Arial" w:hint="eastAsia"/>
          <w:sz w:val="28"/>
          <w:szCs w:val="28"/>
        </w:rPr>
        <w:t>151</w:t>
      </w:r>
      <w:r w:rsidR="00791FE1">
        <w:rPr>
          <w:rFonts w:ascii="Arial" w:eastAsia="仿宋_GB2312" w:hAnsi="Arial" w:cs="Arial" w:hint="eastAsia"/>
          <w:sz w:val="28"/>
          <w:szCs w:val="28"/>
        </w:rPr>
        <w:t>号）</w:t>
      </w:r>
      <w:r>
        <w:rPr>
          <w:rFonts w:ascii="Arial" w:eastAsia="仿宋_GB2312" w:hAnsi="Arial" w:cs="Arial" w:hint="eastAsia"/>
          <w:sz w:val="28"/>
          <w:szCs w:val="28"/>
        </w:rPr>
        <w:t>记载</w:t>
      </w:r>
      <w:r>
        <w:rPr>
          <w:rFonts w:ascii="Arial" w:eastAsia="仿宋_GB2312" w:hAnsi="Arial" w:cs="Arial" w:hint="eastAsia"/>
          <w:sz w:val="28"/>
        </w:rPr>
        <w:t>，估价对象供地条件</w:t>
      </w:r>
      <w:r>
        <w:rPr>
          <w:rFonts w:ascii="Arial" w:eastAsia="仿宋" w:hAnsi="Arial" w:cs="Arial"/>
          <w:sz w:val="28"/>
          <w:szCs w:val="28"/>
        </w:rPr>
        <w:t>，评估设定土地开发程度为宗地外</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Pr>
          <w:rFonts w:ascii="Arial" w:eastAsia="仿宋" w:hAnsi="Arial" w:cs="Arial"/>
          <w:sz w:val="28"/>
          <w:szCs w:val="28"/>
        </w:rPr>
        <w:t>（通路、通上水（自来水、中水）、通下水（雨水、污水）、通电（管沟、电缆）、通燃气、通热力）、宗地红线内场地平整。本次评估设定估价对象开发完成后红线外基础设施将达</w:t>
      </w:r>
      <w:r>
        <w:rPr>
          <w:rFonts w:ascii="Arial" w:eastAsia="仿宋" w:hAnsi="Arial" w:cs="Arial"/>
          <w:sz w:val="28"/>
          <w:szCs w:val="28"/>
        </w:rPr>
        <w:t>“</w:t>
      </w:r>
      <w:r>
        <w:rPr>
          <w:rFonts w:ascii="Arial" w:eastAsia="仿宋" w:hAnsi="Arial" w:cs="Arial"/>
          <w:sz w:val="28"/>
          <w:szCs w:val="28"/>
        </w:rPr>
        <w:t>七通</w:t>
      </w:r>
      <w:r>
        <w:rPr>
          <w:rFonts w:ascii="Arial" w:eastAsia="仿宋" w:hAnsi="Arial" w:cs="Arial"/>
          <w:sz w:val="28"/>
          <w:szCs w:val="28"/>
        </w:rPr>
        <w:t>”</w:t>
      </w:r>
      <w:r>
        <w:rPr>
          <w:rFonts w:ascii="Arial" w:eastAsia="仿宋" w:hAnsi="Arial" w:cs="Arial"/>
          <w:sz w:val="28"/>
          <w:szCs w:val="28"/>
        </w:rPr>
        <w:t>（即通路、通上水、通下水、通电、通讯、通燃气、通热力），宗地内</w:t>
      </w:r>
      <w:r>
        <w:rPr>
          <w:rFonts w:ascii="Arial" w:eastAsia="仿宋" w:hAnsi="Arial" w:cs="Arial"/>
          <w:sz w:val="28"/>
          <w:szCs w:val="28"/>
        </w:rPr>
        <w:t>“</w:t>
      </w:r>
      <w:r>
        <w:rPr>
          <w:rFonts w:ascii="Arial" w:eastAsia="仿宋" w:hAnsi="Arial" w:cs="Arial"/>
          <w:sz w:val="28"/>
          <w:szCs w:val="28"/>
        </w:rPr>
        <w:t>场地平整</w:t>
      </w:r>
      <w:r>
        <w:rPr>
          <w:rFonts w:ascii="Arial" w:eastAsia="仿宋" w:hAnsi="Arial" w:cs="Arial"/>
          <w:sz w:val="28"/>
          <w:szCs w:val="28"/>
        </w:rPr>
        <w:t>”</w:t>
      </w:r>
      <w:r>
        <w:rPr>
          <w:rFonts w:ascii="Arial" w:eastAsia="仿宋" w:hAnsi="Arial" w:cs="Arial"/>
          <w:sz w:val="28"/>
          <w:szCs w:val="28"/>
        </w:rPr>
        <w:t>。结合估价对象所在区域实际情况确定本次</w:t>
      </w:r>
      <w:proofErr w:type="gramStart"/>
      <w:r>
        <w:rPr>
          <w:rFonts w:ascii="Arial" w:eastAsia="仿宋" w:hAnsi="Arial" w:cs="Arial"/>
          <w:sz w:val="28"/>
          <w:szCs w:val="28"/>
        </w:rPr>
        <w:t>评估按</w:t>
      </w:r>
      <w:proofErr w:type="gramEnd"/>
      <w:r>
        <w:rPr>
          <w:rFonts w:ascii="Arial" w:eastAsia="仿宋" w:hAnsi="Arial" w:cs="Arial"/>
          <w:sz w:val="28"/>
          <w:szCs w:val="28"/>
        </w:rPr>
        <w:t>每平方米</w:t>
      </w:r>
      <w:r>
        <w:rPr>
          <w:rFonts w:ascii="Arial" w:eastAsia="仿宋" w:hAnsi="Arial" w:cs="Arial"/>
          <w:sz w:val="28"/>
          <w:szCs w:val="28"/>
        </w:rPr>
        <w:t>40</w:t>
      </w:r>
      <w:r>
        <w:rPr>
          <w:rFonts w:ascii="Arial" w:eastAsia="仿宋" w:hAnsi="Arial" w:cs="Arial"/>
          <w:sz w:val="28"/>
          <w:szCs w:val="28"/>
        </w:rPr>
        <w:t>元取费，则有：</w:t>
      </w:r>
    </w:p>
    <w:p w14:paraId="7736D692"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红线外市政费用（土地开发费）</w:t>
      </w:r>
    </w:p>
    <w:p w14:paraId="0DD2A829"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40×754.00÷10000</w:t>
      </w:r>
    </w:p>
    <w:p w14:paraId="6589EFF4"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3.0160</w:t>
      </w:r>
      <w:r>
        <w:rPr>
          <w:rFonts w:ascii="Arial" w:eastAsia="仿宋" w:hAnsi="Arial" w:cs="Arial"/>
          <w:sz w:val="28"/>
          <w:szCs w:val="28"/>
        </w:rPr>
        <w:t>（万元）</w:t>
      </w:r>
    </w:p>
    <w:p w14:paraId="77C75348"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C. </w:t>
      </w:r>
      <w:r>
        <w:rPr>
          <w:rFonts w:ascii="Arial" w:eastAsia="仿宋" w:hAnsi="Arial" w:cs="Arial"/>
          <w:sz w:val="28"/>
          <w:szCs w:val="28"/>
        </w:rPr>
        <w:t>城市基础设施建设费</w:t>
      </w:r>
    </w:p>
    <w:p w14:paraId="34D2E3B9"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城市基础设施建设费是政府向建设单位收取、专项用于城市基础设施和城市共用设施建设，包括城市道路、桥梁、公共交通、供水、燃气、</w:t>
      </w:r>
      <w:hyperlink r:id="rId80" w:tgtFrame="_blank" w:history="1">
        <w:r>
          <w:rPr>
            <w:rFonts w:ascii="Arial" w:eastAsia="仿宋" w:hAnsi="Arial" w:cs="Arial"/>
            <w:sz w:val="28"/>
            <w:szCs w:val="28"/>
          </w:rPr>
          <w:t>污水处理</w:t>
        </w:r>
      </w:hyperlink>
      <w:r>
        <w:rPr>
          <w:rFonts w:ascii="Arial" w:eastAsia="仿宋" w:hAnsi="Arial" w:cs="Arial"/>
          <w:sz w:val="28"/>
          <w:szCs w:val="28"/>
        </w:rPr>
        <w:t>、集中供热、园林、绿化、路灯、环境卫生等设施的建设。根据北京市顺义区人民政府关于印发《顺义区征收城市基础设施建设费暂行办法》的通知</w:t>
      </w:r>
      <w:r>
        <w:rPr>
          <w:rFonts w:ascii="Arial" w:eastAsia="仿宋" w:hAnsi="Arial" w:cs="Arial"/>
          <w:sz w:val="28"/>
          <w:szCs w:val="28"/>
        </w:rPr>
        <w:t>[</w:t>
      </w:r>
      <w:r>
        <w:rPr>
          <w:rFonts w:ascii="Arial" w:eastAsia="仿宋" w:hAnsi="Arial" w:cs="Arial"/>
          <w:sz w:val="28"/>
          <w:szCs w:val="28"/>
        </w:rPr>
        <w:t>自</w:t>
      </w:r>
      <w:r>
        <w:rPr>
          <w:rFonts w:ascii="Arial" w:eastAsia="仿宋" w:hAnsi="Arial" w:cs="Arial"/>
          <w:sz w:val="28"/>
          <w:szCs w:val="28"/>
        </w:rPr>
        <w:t>2022</w:t>
      </w:r>
      <w:r>
        <w:rPr>
          <w:rFonts w:ascii="Arial" w:eastAsia="仿宋" w:hAnsi="Arial" w:cs="Arial"/>
          <w:sz w:val="28"/>
          <w:szCs w:val="28"/>
        </w:rPr>
        <w:t>年</w:t>
      </w:r>
      <w:r>
        <w:rPr>
          <w:rFonts w:ascii="Arial" w:eastAsia="仿宋" w:hAnsi="Arial" w:cs="Arial"/>
          <w:sz w:val="28"/>
          <w:szCs w:val="28"/>
        </w:rPr>
        <w:t>6</w:t>
      </w:r>
      <w:r>
        <w:rPr>
          <w:rFonts w:ascii="Arial" w:eastAsia="仿宋" w:hAnsi="Arial" w:cs="Arial"/>
          <w:sz w:val="28"/>
          <w:szCs w:val="28"/>
        </w:rPr>
        <w:t>月</w:t>
      </w:r>
      <w:r>
        <w:rPr>
          <w:rFonts w:ascii="Arial" w:eastAsia="仿宋" w:hAnsi="Arial" w:cs="Arial"/>
          <w:sz w:val="28"/>
          <w:szCs w:val="28"/>
        </w:rPr>
        <w:t>6</w:t>
      </w:r>
      <w:r>
        <w:rPr>
          <w:rFonts w:ascii="Arial" w:eastAsia="仿宋" w:hAnsi="Arial" w:cs="Arial"/>
          <w:sz w:val="28"/>
          <w:szCs w:val="28"/>
        </w:rPr>
        <w:t>日起实施</w:t>
      </w:r>
      <w:r>
        <w:rPr>
          <w:rFonts w:ascii="Arial" w:eastAsia="仿宋" w:hAnsi="Arial" w:cs="Arial"/>
          <w:sz w:val="28"/>
          <w:szCs w:val="28"/>
        </w:rPr>
        <w:t>]</w:t>
      </w:r>
      <w:r>
        <w:rPr>
          <w:rFonts w:ascii="Arial" w:eastAsia="仿宋" w:hAnsi="Arial" w:cs="Arial"/>
          <w:sz w:val="28"/>
          <w:szCs w:val="28"/>
        </w:rPr>
        <w:t>，住宅按建筑规模每平方米</w:t>
      </w:r>
      <w:r>
        <w:rPr>
          <w:rFonts w:ascii="Arial" w:eastAsia="仿宋" w:hAnsi="Arial" w:cs="Arial"/>
          <w:sz w:val="28"/>
          <w:szCs w:val="28"/>
        </w:rPr>
        <w:t>150</w:t>
      </w:r>
      <w:r>
        <w:rPr>
          <w:rFonts w:ascii="Arial" w:eastAsia="仿宋" w:hAnsi="Arial" w:cs="Arial"/>
          <w:sz w:val="28"/>
          <w:szCs w:val="28"/>
        </w:rPr>
        <w:t>元、非住宅按建筑规模每平方米</w:t>
      </w:r>
      <w:r>
        <w:rPr>
          <w:rFonts w:ascii="Arial" w:eastAsia="仿宋" w:hAnsi="Arial" w:cs="Arial"/>
          <w:sz w:val="28"/>
          <w:szCs w:val="28"/>
        </w:rPr>
        <w:t>190</w:t>
      </w:r>
      <w:r>
        <w:rPr>
          <w:rFonts w:ascii="Arial" w:eastAsia="仿宋" w:hAnsi="Arial" w:cs="Arial"/>
          <w:sz w:val="28"/>
          <w:szCs w:val="28"/>
        </w:rPr>
        <w:t>元征收，则有：</w:t>
      </w:r>
    </w:p>
    <w:p w14:paraId="1976FFB5"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城市基础设施建设费</w:t>
      </w:r>
    </w:p>
    <w:p w14:paraId="053C91E2"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190×754.00÷10000</w:t>
      </w:r>
    </w:p>
    <w:p w14:paraId="7FB53761"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14.3260</w:t>
      </w:r>
      <w:r>
        <w:rPr>
          <w:rFonts w:ascii="Arial" w:eastAsia="仿宋" w:hAnsi="Arial" w:cs="Arial"/>
          <w:sz w:val="28"/>
          <w:szCs w:val="28"/>
        </w:rPr>
        <w:t>（万元）</w:t>
      </w:r>
    </w:p>
    <w:p w14:paraId="661A91DA"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D</w:t>
      </w:r>
      <w:r>
        <w:rPr>
          <w:rFonts w:ascii="Arial" w:eastAsia="仿宋" w:hAnsi="Arial" w:cs="Arial"/>
          <w:sz w:val="28"/>
          <w:szCs w:val="28"/>
        </w:rPr>
        <w:t>管理费用</w:t>
      </w:r>
    </w:p>
    <w:p w14:paraId="245A3DBA" w14:textId="77777777" w:rsidR="0062768B" w:rsidRDefault="00136729">
      <w:pPr>
        <w:spacing w:before="50" w:after="50" w:line="300" w:lineRule="auto"/>
        <w:ind w:firstLineChars="201" w:firstLine="563"/>
        <w:jc w:val="both"/>
        <w:rPr>
          <w:rFonts w:ascii="Arial" w:eastAsia="仿宋" w:hAnsi="Arial" w:cs="Arial"/>
          <w:sz w:val="28"/>
          <w:szCs w:val="28"/>
        </w:rPr>
      </w:pPr>
      <w:r>
        <w:rPr>
          <w:rFonts w:ascii="Arial" w:eastAsia="仿宋" w:hAnsi="Arial" w:cs="Arial"/>
          <w:sz w:val="28"/>
          <w:szCs w:val="28"/>
        </w:rPr>
        <w:t>管理费用是房地产开发商为组织和管理房地产开发经营活动的必要支出，主要包括人员工资、办公费、差旅费等，根据估价对象所处区域房地产开发市场的一般情况，并结合估价对象的实际情况，按照开发费用（建造成本、土地开发费、城市基础设施建设费）的</w:t>
      </w:r>
      <w:r>
        <w:rPr>
          <w:rFonts w:ascii="Arial" w:eastAsia="仿宋" w:hAnsi="Arial" w:cs="Arial"/>
          <w:sz w:val="28"/>
          <w:szCs w:val="28"/>
        </w:rPr>
        <w:t>3.0%</w:t>
      </w:r>
      <w:r>
        <w:rPr>
          <w:rFonts w:ascii="Arial" w:eastAsia="仿宋" w:hAnsi="Arial" w:cs="Arial"/>
          <w:sz w:val="28"/>
          <w:szCs w:val="28"/>
        </w:rPr>
        <w:t>计算，则有：</w:t>
      </w:r>
    </w:p>
    <w:p w14:paraId="34FEC0C4"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管理费用</w:t>
      </w:r>
    </w:p>
    <w:p w14:paraId="2C3601E3"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383.9745</w:t>
      </w:r>
      <w:r>
        <w:rPr>
          <w:rFonts w:ascii="Arial" w:eastAsia="仿宋" w:hAnsi="Arial" w:cs="Arial"/>
          <w:sz w:val="28"/>
          <w:szCs w:val="28"/>
          <w:lang w:eastAsia="zh-Hans"/>
        </w:rPr>
        <w:t>+3.0160+14.3260</w:t>
      </w:r>
      <w:r>
        <w:rPr>
          <w:rFonts w:ascii="Arial" w:eastAsia="仿宋" w:hAnsi="Arial" w:cs="Arial"/>
          <w:sz w:val="28"/>
          <w:szCs w:val="28"/>
          <w:lang w:eastAsia="zh-Hans"/>
        </w:rPr>
        <w:t>）</w:t>
      </w:r>
      <w:r>
        <w:rPr>
          <w:rFonts w:ascii="Arial" w:eastAsia="仿宋" w:hAnsi="Arial" w:cs="Arial"/>
          <w:sz w:val="28"/>
          <w:szCs w:val="28"/>
        </w:rPr>
        <w:t>×3.0%</w:t>
      </w:r>
    </w:p>
    <w:p w14:paraId="2EF31D69" w14:textId="77777777" w:rsidR="0062768B" w:rsidRDefault="00136729">
      <w:pPr>
        <w:spacing w:before="50" w:after="50" w:line="300" w:lineRule="auto"/>
        <w:ind w:firstLineChars="201" w:firstLine="563"/>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12.0395</w:t>
      </w:r>
      <w:r>
        <w:rPr>
          <w:rFonts w:ascii="Arial" w:eastAsia="仿宋" w:hAnsi="Arial" w:cs="Arial"/>
          <w:sz w:val="28"/>
          <w:szCs w:val="28"/>
        </w:rPr>
        <w:t>（万元）</w:t>
      </w:r>
    </w:p>
    <w:p w14:paraId="3FBC049C" w14:textId="77777777" w:rsidR="0062768B" w:rsidRDefault="00136729">
      <w:pPr>
        <w:spacing w:before="50" w:after="50" w:line="300" w:lineRule="auto"/>
        <w:ind w:firstLineChars="201" w:firstLine="563"/>
        <w:rPr>
          <w:rFonts w:ascii="Arial" w:eastAsia="仿宋" w:hAnsi="Arial" w:cs="Arial"/>
          <w:sz w:val="28"/>
          <w:szCs w:val="28"/>
        </w:rPr>
      </w:pPr>
      <w:r>
        <w:rPr>
          <w:rFonts w:ascii="Arial" w:eastAsia="仿宋" w:hAnsi="Arial" w:cs="Arial"/>
          <w:sz w:val="28"/>
          <w:szCs w:val="28"/>
        </w:rPr>
        <w:t>E</w:t>
      </w:r>
      <w:r>
        <w:rPr>
          <w:rFonts w:ascii="Arial" w:eastAsia="仿宋" w:hAnsi="Arial" w:cs="Arial"/>
          <w:sz w:val="28"/>
          <w:szCs w:val="28"/>
        </w:rPr>
        <w:t>销售费用</w:t>
      </w:r>
    </w:p>
    <w:p w14:paraId="2B09A8BE" w14:textId="77777777" w:rsidR="0062768B" w:rsidRDefault="00136729">
      <w:pPr>
        <w:spacing w:before="50" w:after="50" w:line="300" w:lineRule="auto"/>
        <w:ind w:firstLineChars="201" w:firstLine="563"/>
        <w:rPr>
          <w:rFonts w:ascii="Arial" w:eastAsia="仿宋" w:hAnsi="Arial" w:cs="Arial"/>
          <w:sz w:val="28"/>
          <w:szCs w:val="28"/>
        </w:rPr>
      </w:pPr>
      <w:r>
        <w:rPr>
          <w:rFonts w:ascii="Arial" w:eastAsia="仿宋" w:hAnsi="Arial" w:cs="Arial"/>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 w:hAnsi="Arial" w:cs="Arial"/>
          <w:sz w:val="28"/>
          <w:szCs w:val="28"/>
        </w:rPr>
        <w:t>4.0%</w:t>
      </w:r>
      <w:r>
        <w:rPr>
          <w:rFonts w:ascii="Arial" w:eastAsia="仿宋" w:hAnsi="Arial" w:cs="Arial"/>
          <w:sz w:val="28"/>
          <w:szCs w:val="28"/>
        </w:rPr>
        <w:t>计算。</w:t>
      </w:r>
    </w:p>
    <w:p w14:paraId="2C9B5339" w14:textId="77777777" w:rsidR="0062768B" w:rsidRDefault="00136729">
      <w:pPr>
        <w:spacing w:before="50" w:after="50" w:line="300" w:lineRule="auto"/>
        <w:ind w:firstLineChars="201" w:firstLine="563"/>
        <w:rPr>
          <w:rFonts w:ascii="Arial" w:eastAsia="仿宋" w:hAnsi="Arial" w:cs="Arial"/>
          <w:sz w:val="28"/>
          <w:szCs w:val="28"/>
        </w:rPr>
      </w:pPr>
      <w:r>
        <w:rPr>
          <w:rFonts w:ascii="Arial" w:eastAsia="仿宋" w:hAnsi="Arial" w:cs="Arial"/>
          <w:sz w:val="28"/>
          <w:szCs w:val="28"/>
        </w:rPr>
        <w:t>销售费用＝</w:t>
      </w:r>
      <w:r>
        <w:rPr>
          <w:rFonts w:ascii="Arial" w:eastAsia="仿宋" w:hAnsi="Arial" w:cs="Arial"/>
          <w:sz w:val="28"/>
          <w:szCs w:val="28"/>
        </w:rPr>
        <w:t>875.1979×4.0%</w:t>
      </w:r>
    </w:p>
    <w:p w14:paraId="5DD46F26" w14:textId="77777777" w:rsidR="0062768B" w:rsidRDefault="00136729">
      <w:pPr>
        <w:spacing w:before="50" w:after="50" w:line="300" w:lineRule="auto"/>
        <w:ind w:firstLineChars="600" w:firstLine="168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35.0079</w:t>
      </w:r>
      <w:r>
        <w:rPr>
          <w:rFonts w:ascii="Arial" w:eastAsia="仿宋" w:hAnsi="Arial" w:cs="Arial"/>
          <w:sz w:val="28"/>
          <w:szCs w:val="28"/>
        </w:rPr>
        <w:t>（万元）</w:t>
      </w:r>
    </w:p>
    <w:p w14:paraId="39B8DC8C"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F</w:t>
      </w:r>
      <w:r>
        <w:rPr>
          <w:rFonts w:ascii="Arial" w:eastAsia="仿宋" w:hAnsi="Arial" w:cs="Arial"/>
          <w:sz w:val="28"/>
          <w:szCs w:val="28"/>
        </w:rPr>
        <w:t>购地税费</w:t>
      </w:r>
    </w:p>
    <w:p w14:paraId="03F1B53D"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假设土地价格为</w:t>
      </w:r>
      <w:r>
        <w:rPr>
          <w:rFonts w:ascii="Arial" w:eastAsia="仿宋" w:hAnsi="Arial" w:cs="Arial"/>
          <w:sz w:val="28"/>
          <w:szCs w:val="28"/>
        </w:rPr>
        <w:t>P</w:t>
      </w:r>
      <w:r>
        <w:rPr>
          <w:rFonts w:ascii="Arial" w:eastAsia="仿宋" w:hAnsi="Arial" w:cs="Arial"/>
          <w:sz w:val="28"/>
          <w:szCs w:val="28"/>
          <w:vertAlign w:val="subscript"/>
        </w:rPr>
        <w:t>土</w:t>
      </w:r>
      <w:r>
        <w:rPr>
          <w:rFonts w:ascii="Arial" w:eastAsia="仿宋" w:hAnsi="Arial" w:cs="Arial"/>
          <w:sz w:val="28"/>
          <w:szCs w:val="28"/>
        </w:rPr>
        <w:t>，买方购买估价对象税费主要为契税及印花税，税率为</w:t>
      </w:r>
      <w:r>
        <w:rPr>
          <w:rFonts w:ascii="Arial" w:eastAsia="仿宋" w:hAnsi="Arial" w:cs="Arial"/>
          <w:sz w:val="28"/>
          <w:szCs w:val="28"/>
        </w:rPr>
        <w:t>3.05%</w:t>
      </w:r>
      <w:r>
        <w:rPr>
          <w:rFonts w:ascii="Arial" w:eastAsia="仿宋" w:hAnsi="Arial" w:cs="Arial"/>
          <w:sz w:val="28"/>
          <w:szCs w:val="28"/>
        </w:rPr>
        <w:t>。则有：</w:t>
      </w:r>
    </w:p>
    <w:p w14:paraId="6AC2987C"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购地税费＝土地价格</w:t>
      </w:r>
      <w:r>
        <w:rPr>
          <w:rFonts w:ascii="Arial" w:eastAsia="仿宋" w:hAnsi="Arial" w:cs="Arial"/>
          <w:sz w:val="28"/>
          <w:szCs w:val="28"/>
        </w:rPr>
        <w:t>×</w:t>
      </w:r>
      <w:r>
        <w:rPr>
          <w:rFonts w:ascii="Arial" w:eastAsia="仿宋" w:hAnsi="Arial" w:cs="Arial"/>
          <w:sz w:val="28"/>
          <w:szCs w:val="28"/>
        </w:rPr>
        <w:t>税率</w:t>
      </w:r>
    </w:p>
    <w:p w14:paraId="4660B725" w14:textId="77777777" w:rsidR="0062768B" w:rsidRDefault="00136729">
      <w:pPr>
        <w:spacing w:before="50" w:after="50" w:line="300" w:lineRule="auto"/>
        <w:ind w:firstLineChars="600" w:firstLine="1680"/>
        <w:rPr>
          <w:rFonts w:ascii="Arial" w:eastAsia="仿宋" w:hAnsi="Arial" w:cs="Arial"/>
          <w:sz w:val="28"/>
          <w:szCs w:val="28"/>
        </w:rPr>
      </w:pPr>
      <w:bookmarkStart w:id="412" w:name="_Toc531701612"/>
      <w:r>
        <w:rPr>
          <w:rFonts w:ascii="Arial" w:eastAsia="仿宋" w:hAnsi="Arial" w:cs="Arial"/>
          <w:sz w:val="28"/>
          <w:szCs w:val="28"/>
        </w:rPr>
        <w:lastRenderedPageBreak/>
        <w:t>＝</w:t>
      </w:r>
      <w:r>
        <w:rPr>
          <w:rFonts w:ascii="Arial" w:eastAsia="仿宋" w:hAnsi="Arial" w:cs="Arial"/>
          <w:sz w:val="28"/>
          <w:szCs w:val="28"/>
        </w:rPr>
        <w:t>P</w:t>
      </w:r>
      <w:r>
        <w:rPr>
          <w:rFonts w:ascii="Arial" w:eastAsia="仿宋" w:hAnsi="Arial" w:cs="Arial"/>
          <w:sz w:val="28"/>
          <w:szCs w:val="28"/>
          <w:vertAlign w:val="subscript"/>
        </w:rPr>
        <w:t>土</w:t>
      </w:r>
      <w:r>
        <w:rPr>
          <w:rFonts w:ascii="Arial" w:eastAsia="仿宋" w:hAnsi="Arial" w:cs="Arial"/>
          <w:sz w:val="28"/>
          <w:szCs w:val="28"/>
        </w:rPr>
        <w:t>×0.0305</w:t>
      </w:r>
      <w:r>
        <w:rPr>
          <w:rFonts w:ascii="Arial" w:eastAsia="仿宋" w:hAnsi="Arial" w:cs="Arial"/>
          <w:sz w:val="28"/>
          <w:szCs w:val="28"/>
        </w:rPr>
        <w:t>（万元）</w:t>
      </w:r>
      <w:bookmarkEnd w:id="412"/>
    </w:p>
    <w:p w14:paraId="075EE814" w14:textId="77777777" w:rsidR="0062768B" w:rsidRDefault="00136729">
      <w:pPr>
        <w:spacing w:before="50" w:after="50" w:line="300" w:lineRule="auto"/>
        <w:ind w:firstLineChars="200" w:firstLine="560"/>
        <w:jc w:val="both"/>
        <w:rPr>
          <w:rFonts w:ascii="Arial" w:eastAsia="仿宋" w:hAnsi="Arial" w:cs="Arial"/>
          <w:sz w:val="28"/>
          <w:szCs w:val="28"/>
        </w:rPr>
      </w:pPr>
      <w:bookmarkStart w:id="413" w:name="_Toc531701613"/>
      <w:r>
        <w:rPr>
          <w:rFonts w:ascii="Arial" w:eastAsia="仿宋" w:hAnsi="Arial" w:cs="Arial"/>
          <w:sz w:val="28"/>
          <w:szCs w:val="28"/>
        </w:rPr>
        <w:t>G</w:t>
      </w:r>
      <w:r>
        <w:rPr>
          <w:rFonts w:ascii="Arial" w:eastAsia="仿宋" w:hAnsi="Arial" w:cs="Arial"/>
          <w:sz w:val="28"/>
          <w:szCs w:val="28"/>
        </w:rPr>
        <w:t>贷款利息</w:t>
      </w:r>
      <w:bookmarkEnd w:id="413"/>
    </w:p>
    <w:p w14:paraId="5EF9EE60"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估价对象建筑物建设期为</w:t>
      </w:r>
      <w:r>
        <w:rPr>
          <w:rFonts w:ascii="Arial" w:eastAsia="仿宋" w:hAnsi="Arial" w:cs="Arial"/>
          <w:sz w:val="28"/>
          <w:szCs w:val="28"/>
        </w:rPr>
        <w:t>2.5</w:t>
      </w:r>
      <w:r>
        <w:rPr>
          <w:rFonts w:ascii="Arial" w:eastAsia="仿宋" w:hAnsi="Arial" w:cs="Arial"/>
          <w:sz w:val="28"/>
          <w:szCs w:val="28"/>
        </w:rPr>
        <w:t>年。估价对象土地价格（</w:t>
      </w:r>
      <w:r>
        <w:rPr>
          <w:rFonts w:ascii="Arial" w:eastAsia="仿宋" w:hAnsi="Arial" w:cs="Arial"/>
          <w:sz w:val="28"/>
          <w:szCs w:val="28"/>
        </w:rPr>
        <w:t>P</w:t>
      </w:r>
      <w:r>
        <w:rPr>
          <w:rFonts w:ascii="Arial" w:eastAsia="仿宋" w:hAnsi="Arial" w:cs="Arial"/>
          <w:sz w:val="28"/>
          <w:szCs w:val="28"/>
          <w:vertAlign w:val="subscript"/>
        </w:rPr>
        <w:t>土</w:t>
      </w:r>
      <w:r>
        <w:rPr>
          <w:rFonts w:ascii="Arial" w:eastAsia="仿宋" w:hAnsi="Arial" w:cs="Arial"/>
          <w:sz w:val="28"/>
          <w:szCs w:val="28"/>
        </w:rPr>
        <w:t>）及购地税费在估价期日一次性付清，建造成本、土地开发费、管理费用、销售费用于建设期内均匀投入，取</w:t>
      </w:r>
      <w:r>
        <w:rPr>
          <w:rFonts w:ascii="Arial" w:eastAsia="仿宋" w:hAnsi="Arial" w:cs="Arial"/>
          <w:sz w:val="28"/>
          <w:szCs w:val="28"/>
        </w:rPr>
        <w:t>1</w:t>
      </w:r>
      <w:r>
        <w:rPr>
          <w:rFonts w:ascii="Arial" w:eastAsia="仿宋" w:hAnsi="Arial" w:cs="Arial"/>
          <w:sz w:val="28"/>
          <w:szCs w:val="28"/>
        </w:rPr>
        <w:t>～</w:t>
      </w:r>
      <w:r>
        <w:rPr>
          <w:rFonts w:ascii="Arial" w:eastAsia="仿宋" w:hAnsi="Arial" w:cs="Arial"/>
          <w:sz w:val="28"/>
          <w:szCs w:val="28"/>
        </w:rPr>
        <w:t>3</w:t>
      </w:r>
      <w:r>
        <w:rPr>
          <w:rFonts w:ascii="Arial" w:eastAsia="仿宋" w:hAnsi="Arial" w:cs="Arial"/>
          <w:sz w:val="28"/>
          <w:szCs w:val="28"/>
        </w:rPr>
        <w:t>年期固定资产贷款年利息率</w:t>
      </w:r>
      <w:r>
        <w:rPr>
          <w:rFonts w:ascii="Arial" w:eastAsia="仿宋" w:hAnsi="Arial" w:cs="Arial"/>
          <w:sz w:val="28"/>
          <w:szCs w:val="28"/>
        </w:rPr>
        <w:t>4.75%</w:t>
      </w:r>
      <w:r>
        <w:rPr>
          <w:rFonts w:ascii="Arial" w:eastAsia="仿宋" w:hAnsi="Arial" w:cs="Arial"/>
          <w:sz w:val="28"/>
          <w:szCs w:val="28"/>
        </w:rPr>
        <w:t>，以复利计息。则有：</w:t>
      </w:r>
    </w:p>
    <w:p w14:paraId="353AD209"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贷款利息</w:t>
      </w:r>
    </w:p>
    <w:p w14:paraId="2C987218"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 P</w:t>
      </w:r>
      <w:r>
        <w:rPr>
          <w:rFonts w:ascii="Arial" w:eastAsia="仿宋" w:hAnsi="Arial" w:cs="Arial"/>
          <w:sz w:val="28"/>
          <w:szCs w:val="28"/>
          <w:vertAlign w:val="subscript"/>
        </w:rPr>
        <w:t>土</w:t>
      </w:r>
      <w:r>
        <w:rPr>
          <w:rFonts w:ascii="Arial" w:eastAsia="仿宋" w:hAnsi="Arial" w:cs="Arial"/>
          <w:sz w:val="28"/>
          <w:szCs w:val="28"/>
        </w:rPr>
        <w:t>+P</w:t>
      </w:r>
      <w:r>
        <w:rPr>
          <w:rFonts w:ascii="Arial" w:eastAsia="仿宋" w:hAnsi="Arial" w:cs="Arial"/>
          <w:sz w:val="28"/>
          <w:szCs w:val="28"/>
          <w:vertAlign w:val="subscript"/>
        </w:rPr>
        <w:t>土</w:t>
      </w:r>
      <w:r>
        <w:rPr>
          <w:rFonts w:ascii="Arial" w:eastAsia="仿宋" w:hAnsi="Arial" w:cs="Arial"/>
          <w:sz w:val="28"/>
          <w:szCs w:val="28"/>
        </w:rPr>
        <w:t>×0.0305)×[(1+4.75%)</w:t>
      </w:r>
      <w:r>
        <w:rPr>
          <w:rFonts w:ascii="Arial" w:eastAsia="仿宋" w:hAnsi="Arial" w:cs="Arial"/>
          <w:sz w:val="28"/>
          <w:szCs w:val="28"/>
          <w:vertAlign w:val="superscript"/>
        </w:rPr>
        <w:t>2.5</w:t>
      </w:r>
      <w:r>
        <w:rPr>
          <w:rFonts w:ascii="Arial" w:eastAsia="仿宋" w:hAnsi="Arial" w:cs="Arial"/>
          <w:sz w:val="28"/>
          <w:szCs w:val="28"/>
        </w:rPr>
        <w:t xml:space="preserve">-1]+( 383.9745 </w:t>
      </w:r>
      <w:r>
        <w:rPr>
          <w:rFonts w:ascii="Arial" w:eastAsia="仿宋" w:hAnsi="Arial" w:cs="Arial"/>
          <w:sz w:val="28"/>
          <w:szCs w:val="28"/>
          <w:lang w:eastAsia="zh-Hans"/>
        </w:rPr>
        <w:t>+3.0160 +14.3260 +12.0395+35.0079)</w:t>
      </w:r>
      <w:r>
        <w:rPr>
          <w:rFonts w:ascii="Arial" w:eastAsia="仿宋" w:hAnsi="Arial" w:cs="Arial"/>
          <w:sz w:val="28"/>
          <w:szCs w:val="28"/>
        </w:rPr>
        <w:t>×[(1+4.75%)</w:t>
      </w:r>
      <w:r>
        <w:rPr>
          <w:rFonts w:ascii="Arial" w:eastAsia="仿宋" w:hAnsi="Arial" w:cs="Arial"/>
          <w:sz w:val="28"/>
          <w:szCs w:val="28"/>
          <w:vertAlign w:val="superscript"/>
        </w:rPr>
        <w:t>（</w:t>
      </w:r>
      <w:r>
        <w:rPr>
          <w:rFonts w:ascii="Arial" w:eastAsia="仿宋" w:hAnsi="Arial" w:cs="Arial"/>
          <w:sz w:val="28"/>
          <w:szCs w:val="28"/>
          <w:vertAlign w:val="superscript"/>
        </w:rPr>
        <w:t>2.5÷2</w:t>
      </w:r>
      <w:r>
        <w:rPr>
          <w:rFonts w:ascii="Arial" w:eastAsia="仿宋" w:hAnsi="Arial" w:cs="Arial"/>
          <w:sz w:val="28"/>
          <w:szCs w:val="28"/>
          <w:vertAlign w:val="superscript"/>
        </w:rPr>
        <w:t>）</w:t>
      </w:r>
      <w:r>
        <w:rPr>
          <w:rFonts w:ascii="Arial" w:eastAsia="仿宋" w:hAnsi="Arial" w:cs="Arial"/>
          <w:sz w:val="28"/>
          <w:szCs w:val="28"/>
        </w:rPr>
        <w:t xml:space="preserve">-1] </w:t>
      </w:r>
    </w:p>
    <w:p w14:paraId="6F5DDFDA" w14:textId="77777777" w:rsidR="0062768B" w:rsidRDefault="00136729">
      <w:pPr>
        <w:spacing w:before="50" w:after="50" w:line="300" w:lineRule="auto"/>
        <w:ind w:firstLineChars="200" w:firstLine="560"/>
        <w:rPr>
          <w:rFonts w:ascii="Arial" w:eastAsia="仿宋" w:hAnsi="Arial" w:cs="Arial"/>
          <w:sz w:val="28"/>
          <w:szCs w:val="28"/>
        </w:rPr>
      </w:pPr>
      <w:bookmarkStart w:id="414" w:name="_Toc531701614"/>
      <w:r>
        <w:rPr>
          <w:rFonts w:ascii="Arial" w:eastAsia="仿宋" w:hAnsi="Arial" w:cs="Arial"/>
          <w:sz w:val="28"/>
          <w:szCs w:val="28"/>
        </w:rPr>
        <w:t>＝</w:t>
      </w:r>
      <w:r>
        <w:rPr>
          <w:rFonts w:ascii="Arial" w:eastAsia="仿宋" w:hAnsi="Arial" w:cs="Arial"/>
          <w:sz w:val="28"/>
          <w:szCs w:val="28"/>
        </w:rPr>
        <w:t>26.7778+0.1268×P</w:t>
      </w:r>
      <w:r>
        <w:rPr>
          <w:rFonts w:ascii="Arial" w:eastAsia="仿宋" w:hAnsi="Arial" w:cs="Arial"/>
          <w:sz w:val="28"/>
          <w:szCs w:val="28"/>
          <w:vertAlign w:val="subscript"/>
        </w:rPr>
        <w:t>土</w:t>
      </w:r>
      <w:r>
        <w:rPr>
          <w:rFonts w:ascii="Arial" w:eastAsia="仿宋" w:hAnsi="Arial" w:cs="Arial"/>
          <w:sz w:val="28"/>
          <w:szCs w:val="28"/>
        </w:rPr>
        <w:t>(</w:t>
      </w:r>
      <w:r>
        <w:rPr>
          <w:rFonts w:ascii="Arial" w:eastAsia="仿宋" w:hAnsi="Arial" w:cs="Arial"/>
          <w:sz w:val="28"/>
          <w:szCs w:val="28"/>
        </w:rPr>
        <w:t>万元</w:t>
      </w:r>
      <w:r>
        <w:rPr>
          <w:rFonts w:ascii="Arial" w:eastAsia="仿宋" w:hAnsi="Arial" w:cs="Arial"/>
          <w:sz w:val="28"/>
          <w:szCs w:val="28"/>
        </w:rPr>
        <w:t>)</w:t>
      </w:r>
      <w:bookmarkEnd w:id="414"/>
    </w:p>
    <w:p w14:paraId="7F61A5ED" w14:textId="77777777" w:rsidR="0062768B" w:rsidRDefault="00136729">
      <w:pPr>
        <w:spacing w:line="300" w:lineRule="auto"/>
        <w:ind w:firstLineChars="200" w:firstLine="560"/>
        <w:jc w:val="both"/>
        <w:rPr>
          <w:rFonts w:ascii="Arial" w:eastAsia="仿宋" w:hAnsi="Arial" w:cs="Arial"/>
          <w:sz w:val="28"/>
          <w:szCs w:val="28"/>
        </w:rPr>
      </w:pPr>
      <w:bookmarkStart w:id="415" w:name="_Toc531701615"/>
      <w:r>
        <w:rPr>
          <w:rFonts w:ascii="Arial" w:eastAsia="仿宋" w:hAnsi="Arial" w:cs="Arial"/>
          <w:sz w:val="28"/>
          <w:szCs w:val="28"/>
        </w:rPr>
        <w:t>H</w:t>
      </w:r>
      <w:r>
        <w:rPr>
          <w:rFonts w:ascii="Arial" w:eastAsia="仿宋" w:hAnsi="Arial" w:cs="Arial"/>
          <w:sz w:val="28"/>
          <w:szCs w:val="28"/>
        </w:rPr>
        <w:t>销售税费</w:t>
      </w:r>
      <w:bookmarkEnd w:id="415"/>
      <w:r>
        <w:rPr>
          <w:rFonts w:ascii="Arial" w:eastAsia="仿宋" w:hAnsi="Arial" w:cs="Arial"/>
          <w:sz w:val="28"/>
          <w:szCs w:val="28"/>
        </w:rPr>
        <w:tab/>
      </w:r>
    </w:p>
    <w:p w14:paraId="60277F7D"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本处所指销售费用指预售或销售开发完成后的房地产的必要支出，包括广告费、销售资料制作费、样板房或样板间建设费、售楼处建设费、销售人员费或者销售代理费等。销售费用通常按照开发完成后的不动产总价的一定比例来测算。估价对象公共服务用房为全出让年期的</w:t>
      </w:r>
      <w:proofErr w:type="gramStart"/>
      <w:r>
        <w:rPr>
          <w:rFonts w:ascii="Arial" w:eastAsia="仿宋" w:hAnsi="Arial" w:cs="Arial"/>
          <w:sz w:val="28"/>
          <w:szCs w:val="28"/>
        </w:rPr>
        <w:t>自持</w:t>
      </w:r>
      <w:proofErr w:type="gramEnd"/>
      <w:r>
        <w:rPr>
          <w:rFonts w:ascii="Arial" w:eastAsia="仿宋" w:hAnsi="Arial" w:cs="Arial"/>
          <w:sz w:val="28"/>
          <w:szCs w:val="28"/>
        </w:rPr>
        <w:t>物业，故不计取。</w:t>
      </w:r>
    </w:p>
    <w:p w14:paraId="6652CB21"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I</w:t>
      </w:r>
      <w:r>
        <w:rPr>
          <w:rFonts w:ascii="Arial" w:eastAsia="仿宋" w:hAnsi="Arial" w:cs="Arial"/>
          <w:sz w:val="28"/>
          <w:szCs w:val="28"/>
        </w:rPr>
        <w:t>开发成本</w:t>
      </w:r>
    </w:p>
    <w:p w14:paraId="1147A056"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开发成本为上述</w:t>
      </w:r>
      <w:r>
        <w:rPr>
          <w:rFonts w:ascii="Arial" w:eastAsia="仿宋" w:hAnsi="Arial" w:cs="Arial"/>
          <w:sz w:val="28"/>
          <w:szCs w:val="28"/>
        </w:rPr>
        <w:t>8</w:t>
      </w:r>
      <w:r>
        <w:rPr>
          <w:rFonts w:ascii="Arial" w:eastAsia="仿宋" w:hAnsi="Arial" w:cs="Arial"/>
          <w:sz w:val="28"/>
          <w:szCs w:val="28"/>
        </w:rPr>
        <w:t>项合计，则有：</w:t>
      </w:r>
    </w:p>
    <w:p w14:paraId="03DEB393"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开发成本＝</w:t>
      </w:r>
      <w:r>
        <w:rPr>
          <w:rFonts w:ascii="Arial" w:eastAsia="仿宋" w:hAnsi="Arial" w:cs="Arial"/>
          <w:sz w:val="28"/>
          <w:szCs w:val="28"/>
        </w:rPr>
        <w:t>383.9745</w:t>
      </w:r>
      <w:r>
        <w:rPr>
          <w:rFonts w:ascii="Arial" w:eastAsia="仿宋" w:hAnsi="Arial" w:cs="Arial"/>
          <w:sz w:val="28"/>
          <w:szCs w:val="28"/>
          <w:lang w:eastAsia="zh-Hans"/>
        </w:rPr>
        <w:t>+3.0160+14.3260+12.0395+35.0079</w:t>
      </w:r>
      <w:r>
        <w:rPr>
          <w:rFonts w:ascii="Arial" w:eastAsia="仿宋" w:hAnsi="Arial" w:cs="Arial"/>
          <w:sz w:val="28"/>
          <w:szCs w:val="28"/>
        </w:rPr>
        <w:t>+P</w:t>
      </w:r>
      <w:r>
        <w:rPr>
          <w:rFonts w:ascii="Arial" w:eastAsia="仿宋" w:hAnsi="Arial" w:cs="Arial"/>
          <w:sz w:val="28"/>
          <w:szCs w:val="28"/>
          <w:vertAlign w:val="subscript"/>
        </w:rPr>
        <w:t>土</w:t>
      </w:r>
      <w:r>
        <w:rPr>
          <w:rFonts w:ascii="Arial" w:eastAsia="仿宋" w:hAnsi="Arial" w:cs="Arial"/>
          <w:sz w:val="28"/>
          <w:szCs w:val="28"/>
        </w:rPr>
        <w:t>×0.0305+26.7778+0.1268×P</w:t>
      </w:r>
      <w:r>
        <w:rPr>
          <w:rFonts w:ascii="Arial" w:eastAsia="仿宋" w:hAnsi="Arial" w:cs="Arial"/>
          <w:sz w:val="28"/>
          <w:szCs w:val="28"/>
          <w:vertAlign w:val="subscript"/>
        </w:rPr>
        <w:t>土</w:t>
      </w:r>
      <w:r>
        <w:rPr>
          <w:rFonts w:ascii="Arial" w:eastAsia="仿宋" w:hAnsi="Arial" w:cs="Arial"/>
          <w:sz w:val="28"/>
          <w:szCs w:val="28"/>
        </w:rPr>
        <w:t>+0</w:t>
      </w:r>
      <w:r>
        <w:rPr>
          <w:rFonts w:ascii="Arial" w:eastAsia="仿宋" w:hAnsi="Arial" w:cs="Arial"/>
          <w:sz w:val="28"/>
          <w:szCs w:val="28"/>
        </w:rPr>
        <w:t>＝</w:t>
      </w:r>
      <w:r>
        <w:rPr>
          <w:rFonts w:ascii="Arial" w:eastAsia="仿宋" w:hAnsi="Arial" w:cs="Arial"/>
          <w:sz w:val="28"/>
          <w:szCs w:val="28"/>
        </w:rPr>
        <w:t>475.1417+0.1573×P</w:t>
      </w:r>
      <w:r>
        <w:rPr>
          <w:rFonts w:ascii="Arial" w:eastAsia="仿宋" w:hAnsi="Arial" w:cs="Arial"/>
          <w:sz w:val="28"/>
          <w:szCs w:val="28"/>
          <w:vertAlign w:val="subscript"/>
        </w:rPr>
        <w:t>土</w:t>
      </w:r>
      <w:r>
        <w:rPr>
          <w:rFonts w:ascii="Arial" w:eastAsia="仿宋" w:hAnsi="Arial" w:cs="Arial"/>
          <w:sz w:val="28"/>
          <w:szCs w:val="28"/>
        </w:rPr>
        <w:t>（万元）</w:t>
      </w:r>
    </w:p>
    <w:p w14:paraId="119BC7F3"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4</w:t>
      </w:r>
      <w:r>
        <w:rPr>
          <w:rFonts w:ascii="Arial" w:eastAsia="仿宋" w:hAnsi="Arial" w:cs="Arial"/>
          <w:sz w:val="28"/>
          <w:szCs w:val="28"/>
        </w:rPr>
        <w:t>）开发利润（投资利润）</w:t>
      </w:r>
    </w:p>
    <w:p w14:paraId="20527BF0"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14:paraId="176964AE"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估价对象为</w:t>
      </w:r>
      <w:r>
        <w:rPr>
          <w:rFonts w:ascii="Arial" w:eastAsia="仿宋" w:hAnsi="Arial" w:cs="Arial"/>
          <w:sz w:val="28"/>
          <w:szCs w:val="28"/>
          <w:lang w:eastAsia="zh-Hans"/>
        </w:rPr>
        <w:t>公共服务</w:t>
      </w:r>
      <w:r>
        <w:rPr>
          <w:rFonts w:ascii="Arial" w:eastAsia="仿宋" w:hAnsi="Arial" w:cs="Arial"/>
          <w:sz w:val="28"/>
          <w:szCs w:val="28"/>
        </w:rPr>
        <w:t>用途，位于北京市</w:t>
      </w:r>
      <w:r>
        <w:rPr>
          <w:rFonts w:ascii="Arial" w:eastAsia="仿宋" w:hAnsi="Arial" w:cs="Arial"/>
          <w:sz w:val="28"/>
          <w:szCs w:val="28"/>
          <w:lang w:eastAsia="zh-Hans"/>
        </w:rPr>
        <w:t>顺义</w:t>
      </w:r>
      <w:r>
        <w:rPr>
          <w:rFonts w:ascii="Arial" w:eastAsia="仿宋" w:hAnsi="Arial" w:cs="Arial"/>
          <w:sz w:val="28"/>
          <w:szCs w:val="28"/>
        </w:rPr>
        <w:t>区，根据估价对象的实际情况，本次</w:t>
      </w:r>
      <w:proofErr w:type="gramStart"/>
      <w:r>
        <w:rPr>
          <w:rFonts w:ascii="Arial" w:eastAsia="仿宋" w:hAnsi="Arial" w:cs="Arial"/>
          <w:sz w:val="28"/>
          <w:szCs w:val="28"/>
        </w:rPr>
        <w:t>取项目</w:t>
      </w:r>
      <w:proofErr w:type="gramEnd"/>
      <w:r>
        <w:rPr>
          <w:rFonts w:ascii="Arial" w:eastAsia="仿宋" w:hAnsi="Arial" w:cs="Arial"/>
          <w:sz w:val="28"/>
          <w:szCs w:val="28"/>
          <w:lang w:eastAsia="zh-Hans"/>
        </w:rPr>
        <w:t>公共服务用途综合利润率为</w:t>
      </w:r>
      <w:r>
        <w:rPr>
          <w:rFonts w:ascii="Arial" w:eastAsia="仿宋" w:hAnsi="Arial" w:cs="Arial"/>
          <w:sz w:val="28"/>
          <w:szCs w:val="28"/>
          <w:lang w:eastAsia="zh-Hans"/>
        </w:rPr>
        <w:t>10%</w:t>
      </w:r>
      <w:r>
        <w:rPr>
          <w:rFonts w:ascii="Arial" w:eastAsia="仿宋" w:hAnsi="Arial" w:cs="Arial"/>
          <w:sz w:val="28"/>
          <w:szCs w:val="28"/>
        </w:rPr>
        <w:t>。计算基数为全部预付资本即：土地购买价格、开发费用（建造成本、土地开发费、城市基础设</w:t>
      </w:r>
      <w:r>
        <w:rPr>
          <w:rFonts w:ascii="Arial" w:eastAsia="仿宋" w:hAnsi="Arial" w:cs="Arial"/>
          <w:sz w:val="28"/>
          <w:szCs w:val="28"/>
        </w:rPr>
        <w:lastRenderedPageBreak/>
        <w:t>施建设费）、管理费用、销售费用和</w:t>
      </w:r>
      <w:proofErr w:type="gramStart"/>
      <w:r>
        <w:rPr>
          <w:rFonts w:ascii="Arial" w:eastAsia="仿宋" w:hAnsi="Arial" w:cs="Arial"/>
          <w:sz w:val="28"/>
          <w:szCs w:val="28"/>
        </w:rPr>
        <w:t>购地税</w:t>
      </w:r>
      <w:proofErr w:type="gramEnd"/>
      <w:r>
        <w:rPr>
          <w:rFonts w:ascii="Arial" w:eastAsia="仿宋" w:hAnsi="Arial" w:cs="Arial"/>
          <w:sz w:val="28"/>
          <w:szCs w:val="28"/>
        </w:rPr>
        <w:t>费。则有：</w:t>
      </w:r>
    </w:p>
    <w:p w14:paraId="41482D6B"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t>开发利润</w:t>
      </w:r>
    </w:p>
    <w:p w14:paraId="09034348"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 P</w:t>
      </w:r>
      <w:r>
        <w:rPr>
          <w:rFonts w:ascii="Arial" w:eastAsia="仿宋" w:hAnsi="Arial" w:cs="Arial"/>
          <w:sz w:val="28"/>
          <w:szCs w:val="28"/>
          <w:vertAlign w:val="subscript"/>
        </w:rPr>
        <w:t>土</w:t>
      </w:r>
      <w:r>
        <w:rPr>
          <w:rFonts w:ascii="Arial" w:eastAsia="仿宋" w:hAnsi="Arial" w:cs="Arial"/>
          <w:sz w:val="28"/>
          <w:szCs w:val="28"/>
        </w:rPr>
        <w:t>+ P</w:t>
      </w:r>
      <w:r>
        <w:rPr>
          <w:rFonts w:ascii="Arial" w:eastAsia="仿宋" w:hAnsi="Arial" w:cs="Arial"/>
          <w:sz w:val="28"/>
          <w:szCs w:val="28"/>
          <w:vertAlign w:val="subscript"/>
        </w:rPr>
        <w:t>土</w:t>
      </w:r>
      <w:r>
        <w:rPr>
          <w:rFonts w:ascii="Arial" w:eastAsia="仿宋" w:hAnsi="Arial" w:cs="Arial"/>
          <w:sz w:val="28"/>
          <w:szCs w:val="28"/>
        </w:rPr>
        <w:t>×0.0305)×10%+</w:t>
      </w:r>
      <w:r>
        <w:rPr>
          <w:rFonts w:ascii="Arial" w:eastAsia="仿宋" w:hAnsi="Arial" w:cs="Arial"/>
          <w:sz w:val="28"/>
          <w:szCs w:val="28"/>
        </w:rPr>
        <w:t>（</w:t>
      </w:r>
      <w:r>
        <w:rPr>
          <w:rFonts w:ascii="Arial" w:eastAsia="仿宋" w:hAnsi="Arial" w:cs="Arial"/>
          <w:sz w:val="28"/>
          <w:szCs w:val="28"/>
        </w:rPr>
        <w:t>383.9745</w:t>
      </w:r>
      <w:r>
        <w:rPr>
          <w:rFonts w:ascii="Arial" w:eastAsia="仿宋" w:hAnsi="Arial" w:cs="Arial"/>
          <w:sz w:val="28"/>
          <w:szCs w:val="28"/>
          <w:lang w:eastAsia="zh-Hans"/>
        </w:rPr>
        <w:t>+3.0160+14.3260+12.0395+35.0079</w:t>
      </w:r>
      <w:r>
        <w:rPr>
          <w:rFonts w:ascii="Arial" w:eastAsia="仿宋" w:hAnsi="Arial" w:cs="Arial"/>
          <w:sz w:val="28"/>
          <w:szCs w:val="28"/>
        </w:rPr>
        <w:t>）</w:t>
      </w:r>
      <w:r>
        <w:rPr>
          <w:rFonts w:ascii="Arial" w:eastAsia="仿宋" w:hAnsi="Arial" w:cs="Arial"/>
          <w:sz w:val="28"/>
          <w:szCs w:val="28"/>
        </w:rPr>
        <w:t>×10%</w:t>
      </w:r>
    </w:p>
    <w:p w14:paraId="5D38D9BA" w14:textId="77777777" w:rsidR="0062768B" w:rsidRDefault="00136729">
      <w:pPr>
        <w:spacing w:before="50" w:after="50" w:line="300" w:lineRule="auto"/>
        <w:ind w:firstLineChars="202" w:firstLine="566"/>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44.8364+0.1031×P</w:t>
      </w:r>
      <w:r>
        <w:rPr>
          <w:rFonts w:ascii="Arial" w:eastAsia="仿宋" w:hAnsi="Arial" w:cs="Arial"/>
          <w:sz w:val="28"/>
          <w:szCs w:val="28"/>
          <w:vertAlign w:val="subscript"/>
        </w:rPr>
        <w:t>土</w:t>
      </w:r>
      <w:r>
        <w:rPr>
          <w:rFonts w:ascii="Arial" w:eastAsia="仿宋" w:hAnsi="Arial" w:cs="Arial"/>
          <w:sz w:val="28"/>
          <w:szCs w:val="28"/>
        </w:rPr>
        <w:t>（万元）</w:t>
      </w:r>
    </w:p>
    <w:p w14:paraId="690593BA"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5</w:t>
      </w:r>
      <w:r>
        <w:rPr>
          <w:rFonts w:ascii="Arial" w:eastAsia="仿宋" w:hAnsi="Arial" w:cs="Arial"/>
          <w:sz w:val="28"/>
          <w:szCs w:val="28"/>
        </w:rPr>
        <w:t>）求取估价对象</w:t>
      </w:r>
      <w:r>
        <w:rPr>
          <w:rFonts w:ascii="Arial" w:eastAsia="仿宋" w:hAnsi="Arial" w:cs="Arial"/>
          <w:sz w:val="28"/>
          <w:szCs w:val="28"/>
          <w:lang w:eastAsia="zh-Hans"/>
        </w:rPr>
        <w:t>公共服务</w:t>
      </w:r>
      <w:r>
        <w:rPr>
          <w:rFonts w:ascii="Arial" w:eastAsia="仿宋" w:hAnsi="Arial" w:cs="Arial"/>
          <w:sz w:val="28"/>
          <w:szCs w:val="28"/>
        </w:rPr>
        <w:t>用途土地价格</w:t>
      </w:r>
    </w:p>
    <w:p w14:paraId="16013AA3" w14:textId="77777777" w:rsidR="0062768B" w:rsidRDefault="00136729">
      <w:pPr>
        <w:spacing w:before="50" w:after="50" w:line="300" w:lineRule="auto"/>
        <w:ind w:firstLineChars="200" w:firstLine="600"/>
        <w:rPr>
          <w:rFonts w:ascii="Arial" w:eastAsia="仿宋" w:hAnsi="Arial" w:cs="Arial"/>
          <w:spacing w:val="10"/>
          <w:sz w:val="28"/>
          <w:szCs w:val="28"/>
        </w:rPr>
      </w:pPr>
      <w:r>
        <w:rPr>
          <w:rFonts w:ascii="Arial" w:eastAsia="仿宋" w:hAnsi="Arial" w:cs="Arial"/>
          <w:spacing w:val="10"/>
          <w:sz w:val="28"/>
          <w:szCs w:val="28"/>
        </w:rPr>
        <w:t>土地价格（</w:t>
      </w:r>
      <w:r>
        <w:rPr>
          <w:rFonts w:ascii="Arial" w:eastAsia="仿宋" w:hAnsi="Arial" w:cs="Arial"/>
          <w:sz w:val="28"/>
          <w:szCs w:val="28"/>
        </w:rPr>
        <w:t>P</w:t>
      </w:r>
      <w:r>
        <w:rPr>
          <w:rFonts w:ascii="Arial" w:eastAsia="仿宋" w:hAnsi="Arial" w:cs="Arial"/>
          <w:sz w:val="28"/>
          <w:szCs w:val="28"/>
          <w:vertAlign w:val="subscript"/>
        </w:rPr>
        <w:t>土</w:t>
      </w:r>
      <w:r>
        <w:rPr>
          <w:rFonts w:ascii="Arial" w:eastAsia="仿宋" w:hAnsi="Arial" w:cs="Arial"/>
          <w:spacing w:val="10"/>
          <w:sz w:val="28"/>
          <w:szCs w:val="28"/>
        </w:rPr>
        <w:t>）</w:t>
      </w:r>
    </w:p>
    <w:p w14:paraId="4833408D"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＝开发完成后的不动产总价</w:t>
      </w:r>
      <w:r>
        <w:rPr>
          <w:rFonts w:ascii="Arial" w:eastAsia="仿宋" w:hAnsi="Arial" w:cs="Arial"/>
          <w:sz w:val="28"/>
          <w:szCs w:val="28"/>
        </w:rPr>
        <w:t>-</w:t>
      </w:r>
      <w:r>
        <w:rPr>
          <w:rFonts w:ascii="Arial" w:eastAsia="仿宋" w:hAnsi="Arial" w:cs="Arial"/>
          <w:sz w:val="28"/>
          <w:szCs w:val="28"/>
        </w:rPr>
        <w:t>开发成本</w:t>
      </w:r>
      <w:r>
        <w:rPr>
          <w:rFonts w:ascii="Arial" w:eastAsia="仿宋" w:hAnsi="Arial" w:cs="Arial"/>
          <w:sz w:val="28"/>
          <w:szCs w:val="28"/>
        </w:rPr>
        <w:t>-</w:t>
      </w:r>
      <w:r>
        <w:rPr>
          <w:rFonts w:ascii="Arial" w:eastAsia="仿宋" w:hAnsi="Arial" w:cs="Arial"/>
          <w:sz w:val="28"/>
          <w:szCs w:val="28"/>
        </w:rPr>
        <w:t>开发利润</w:t>
      </w:r>
    </w:p>
    <w:p w14:paraId="71404A0B"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875.1979 -(475.1417+0.1573×P</w:t>
      </w:r>
      <w:r>
        <w:rPr>
          <w:rFonts w:ascii="Arial" w:eastAsia="仿宋" w:hAnsi="Arial" w:cs="Arial"/>
          <w:sz w:val="28"/>
          <w:szCs w:val="28"/>
          <w:vertAlign w:val="subscript"/>
        </w:rPr>
        <w:t>土</w:t>
      </w:r>
      <w:r>
        <w:rPr>
          <w:rFonts w:ascii="Arial" w:eastAsia="仿宋" w:hAnsi="Arial" w:cs="Arial"/>
          <w:sz w:val="28"/>
          <w:szCs w:val="28"/>
        </w:rPr>
        <w:t>)-(</w:t>
      </w:r>
      <w:r>
        <w:t xml:space="preserve"> </w:t>
      </w:r>
      <w:r>
        <w:rPr>
          <w:rFonts w:ascii="Arial" w:eastAsia="仿宋" w:hAnsi="Arial" w:cs="Arial"/>
          <w:sz w:val="28"/>
          <w:szCs w:val="28"/>
        </w:rPr>
        <w:t>44.8364+0.1031×P</w:t>
      </w:r>
      <w:r>
        <w:rPr>
          <w:rFonts w:ascii="Arial" w:eastAsia="仿宋" w:hAnsi="Arial" w:cs="Arial"/>
          <w:sz w:val="28"/>
          <w:szCs w:val="28"/>
          <w:vertAlign w:val="subscript"/>
        </w:rPr>
        <w:t>土</w:t>
      </w:r>
      <w:r>
        <w:rPr>
          <w:rFonts w:ascii="Arial" w:eastAsia="仿宋" w:hAnsi="Arial" w:cs="Arial"/>
          <w:sz w:val="28"/>
          <w:szCs w:val="28"/>
        </w:rPr>
        <w:t>)</w:t>
      </w:r>
    </w:p>
    <w:p w14:paraId="4A658C9E"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281.8310</w:t>
      </w:r>
      <w:r>
        <w:rPr>
          <w:rFonts w:ascii="Arial" w:eastAsia="仿宋" w:hAnsi="Arial" w:cs="Arial"/>
          <w:sz w:val="28"/>
          <w:szCs w:val="28"/>
        </w:rPr>
        <w:t>（万元）</w:t>
      </w:r>
    </w:p>
    <w:p w14:paraId="34D076B8" w14:textId="77777777" w:rsidR="0062768B" w:rsidRDefault="00136729">
      <w:pPr>
        <w:spacing w:before="50" w:after="50" w:line="300" w:lineRule="auto"/>
        <w:ind w:firstLineChars="200" w:firstLine="560"/>
        <w:rPr>
          <w:rFonts w:ascii="Arial" w:eastAsia="仿宋" w:hAnsi="Arial" w:cs="Arial"/>
          <w:spacing w:val="10"/>
          <w:sz w:val="28"/>
          <w:szCs w:val="28"/>
        </w:rPr>
      </w:pPr>
      <w:r>
        <w:rPr>
          <w:rFonts w:ascii="Arial" w:eastAsia="仿宋" w:hAnsi="Arial" w:cs="Arial"/>
          <w:sz w:val="28"/>
          <w:szCs w:val="28"/>
          <w:lang w:eastAsia="zh-Hans"/>
        </w:rPr>
        <w:t>公共服务</w:t>
      </w:r>
      <w:r>
        <w:rPr>
          <w:rFonts w:ascii="Arial" w:eastAsia="仿宋" w:hAnsi="Arial" w:cs="Arial"/>
          <w:sz w:val="28"/>
          <w:szCs w:val="28"/>
        </w:rPr>
        <w:t>用房楼面熟地价</w:t>
      </w:r>
      <w:r>
        <w:rPr>
          <w:rFonts w:ascii="Arial" w:eastAsia="仿宋" w:hAnsi="Arial" w:cs="Arial"/>
          <w:sz w:val="28"/>
          <w:szCs w:val="28"/>
        </w:rPr>
        <w:t>=</w:t>
      </w:r>
      <w:r>
        <w:rPr>
          <w:rFonts w:ascii="Arial" w:eastAsia="仿宋" w:hAnsi="Arial" w:cs="Arial"/>
          <w:spacing w:val="10"/>
          <w:sz w:val="28"/>
          <w:szCs w:val="28"/>
        </w:rPr>
        <w:t>土地价格</w:t>
      </w:r>
      <w:r>
        <w:rPr>
          <w:rFonts w:ascii="Arial" w:eastAsia="仿宋" w:hAnsi="Arial" w:cs="Arial"/>
          <w:spacing w:val="10"/>
          <w:sz w:val="28"/>
          <w:szCs w:val="28"/>
        </w:rPr>
        <w:t>÷</w:t>
      </w:r>
      <w:r>
        <w:rPr>
          <w:rFonts w:ascii="Arial" w:eastAsia="仿宋" w:hAnsi="Arial" w:cs="Arial"/>
          <w:spacing w:val="10"/>
          <w:sz w:val="28"/>
          <w:szCs w:val="28"/>
        </w:rPr>
        <w:t>建筑规模</w:t>
      </w:r>
      <w:r>
        <w:rPr>
          <w:rFonts w:ascii="Arial" w:eastAsia="仿宋" w:hAnsi="Arial" w:cs="Arial"/>
          <w:spacing w:val="10"/>
          <w:sz w:val="28"/>
          <w:szCs w:val="28"/>
        </w:rPr>
        <w:t>×10000</w:t>
      </w:r>
    </w:p>
    <w:p w14:paraId="3C674B35" w14:textId="77777777" w:rsidR="0062768B" w:rsidRDefault="00136729">
      <w:pPr>
        <w:spacing w:before="50" w:after="50" w:line="300" w:lineRule="auto"/>
        <w:ind w:firstLineChars="1150" w:firstLine="3220"/>
        <w:rPr>
          <w:rFonts w:ascii="Arial" w:eastAsia="仿宋" w:hAnsi="Arial" w:cs="Arial"/>
          <w:spacing w:val="10"/>
          <w:sz w:val="28"/>
          <w:szCs w:val="28"/>
        </w:rPr>
      </w:pPr>
      <w:r>
        <w:rPr>
          <w:rFonts w:ascii="Arial" w:eastAsia="仿宋" w:hAnsi="Arial" w:cs="Arial"/>
          <w:sz w:val="28"/>
          <w:szCs w:val="28"/>
        </w:rPr>
        <w:t>=281.8310÷</w:t>
      </w:r>
      <w:r>
        <w:rPr>
          <w:rFonts w:ascii="Arial" w:eastAsia="仿宋" w:hAnsi="Arial" w:cs="Arial"/>
          <w:spacing w:val="10"/>
          <w:sz w:val="28"/>
          <w:szCs w:val="28"/>
        </w:rPr>
        <w:t>754.00×10000</w:t>
      </w:r>
    </w:p>
    <w:p w14:paraId="3EBF988A" w14:textId="77777777" w:rsidR="004532BF" w:rsidRDefault="00136729">
      <w:pPr>
        <w:spacing w:before="50" w:after="50" w:line="300" w:lineRule="auto"/>
        <w:ind w:firstLineChars="1150" w:firstLine="3220"/>
        <w:rPr>
          <w:rFonts w:ascii="Arial" w:eastAsia="仿宋" w:hAnsi="Arial" w:cs="Arial"/>
          <w:sz w:val="28"/>
          <w:szCs w:val="28"/>
        </w:rPr>
        <w:sectPr w:rsidR="004532BF">
          <w:footerReference w:type="default" r:id="rId81"/>
          <w:pgSz w:w="11906" w:h="16838"/>
          <w:pgMar w:top="1418" w:right="1418" w:bottom="1134" w:left="1418" w:header="851" w:footer="992" w:gutter="0"/>
          <w:cols w:space="720"/>
          <w:docGrid w:linePitch="312"/>
        </w:sectPr>
      </w:pPr>
      <w:r>
        <w:rPr>
          <w:rFonts w:ascii="Arial" w:eastAsia="仿宋" w:hAnsi="Arial" w:cs="Arial"/>
          <w:sz w:val="28"/>
          <w:szCs w:val="28"/>
        </w:rPr>
        <w:t>=3738</w:t>
      </w:r>
      <w:r>
        <w:rPr>
          <w:rFonts w:ascii="Arial" w:eastAsia="仿宋" w:hAnsi="Arial" w:cs="Arial"/>
          <w:sz w:val="28"/>
          <w:szCs w:val="28"/>
        </w:rPr>
        <w:t>（元</w:t>
      </w:r>
      <w:r>
        <w:rPr>
          <w:rFonts w:ascii="Arial" w:eastAsia="仿宋" w:hAnsi="Arial" w:cs="Arial"/>
          <w:sz w:val="28"/>
          <w:szCs w:val="28"/>
        </w:rPr>
        <w:t>/</w:t>
      </w:r>
      <w:r>
        <w:rPr>
          <w:rFonts w:ascii="Arial" w:eastAsia="仿宋" w:hAnsi="Arial" w:cs="Arial"/>
          <w:sz w:val="28"/>
          <w:szCs w:val="28"/>
        </w:rPr>
        <w:t>平方米）</w:t>
      </w:r>
    </w:p>
    <w:p w14:paraId="2C8F4883" w14:textId="77777777" w:rsidR="0062768B" w:rsidRDefault="00136729">
      <w:pPr>
        <w:spacing w:before="50" w:after="50" w:line="300" w:lineRule="auto"/>
        <w:ind w:firstLineChars="200" w:firstLine="560"/>
        <w:jc w:val="center"/>
        <w:rPr>
          <w:rFonts w:ascii="Arial" w:eastAsia="仿宋" w:hAnsi="Arial" w:cs="Arial"/>
          <w:sz w:val="28"/>
          <w:szCs w:val="28"/>
        </w:rPr>
      </w:pPr>
      <w:r>
        <w:rPr>
          <w:rFonts w:ascii="Arial" w:eastAsia="仿宋" w:hAnsi="Arial" w:cs="Arial"/>
          <w:sz w:val="28"/>
          <w:szCs w:val="28"/>
        </w:rPr>
        <w:lastRenderedPageBreak/>
        <w:t>剩余法测算表（公共服务）</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606"/>
        <w:gridCol w:w="2595"/>
        <w:gridCol w:w="1144"/>
        <w:gridCol w:w="1157"/>
        <w:gridCol w:w="721"/>
        <w:gridCol w:w="1008"/>
        <w:gridCol w:w="1895"/>
      </w:tblGrid>
      <w:tr w:rsidR="0062768B" w14:paraId="323478A8" w14:textId="77777777">
        <w:trPr>
          <w:cantSplit/>
          <w:tblHeader/>
          <w:jc w:val="center"/>
        </w:trPr>
        <w:tc>
          <w:tcPr>
            <w:tcW w:w="332" w:type="pct"/>
            <w:shd w:val="clear" w:color="auto" w:fill="auto"/>
            <w:noWrap/>
            <w:vAlign w:val="center"/>
          </w:tcPr>
          <w:p w14:paraId="0FDD9A71"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序号</w:t>
            </w:r>
          </w:p>
        </w:tc>
        <w:tc>
          <w:tcPr>
            <w:tcW w:w="1422" w:type="pct"/>
            <w:shd w:val="clear" w:color="auto" w:fill="auto"/>
            <w:noWrap/>
            <w:vAlign w:val="center"/>
          </w:tcPr>
          <w:p w14:paraId="437A9427"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项目名称</w:t>
            </w:r>
          </w:p>
        </w:tc>
        <w:tc>
          <w:tcPr>
            <w:tcW w:w="627" w:type="pct"/>
            <w:shd w:val="clear" w:color="auto" w:fill="auto"/>
            <w:noWrap/>
            <w:vAlign w:val="center"/>
          </w:tcPr>
          <w:p w14:paraId="5092715C"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总额</w:t>
            </w:r>
          </w:p>
        </w:tc>
        <w:tc>
          <w:tcPr>
            <w:tcW w:w="634" w:type="pct"/>
            <w:shd w:val="clear" w:color="auto" w:fill="auto"/>
            <w:noWrap/>
            <w:vAlign w:val="center"/>
          </w:tcPr>
          <w:p w14:paraId="1D13C46B"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面积</w:t>
            </w:r>
          </w:p>
        </w:tc>
        <w:tc>
          <w:tcPr>
            <w:tcW w:w="395" w:type="pct"/>
            <w:shd w:val="clear" w:color="auto" w:fill="auto"/>
            <w:noWrap/>
            <w:vAlign w:val="center"/>
          </w:tcPr>
          <w:p w14:paraId="1A63093A"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单价</w:t>
            </w:r>
          </w:p>
        </w:tc>
        <w:tc>
          <w:tcPr>
            <w:tcW w:w="552" w:type="pct"/>
            <w:shd w:val="clear" w:color="auto" w:fill="auto"/>
            <w:noWrap/>
            <w:vAlign w:val="center"/>
          </w:tcPr>
          <w:p w14:paraId="6465AD11"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相关系数</w:t>
            </w:r>
          </w:p>
        </w:tc>
        <w:tc>
          <w:tcPr>
            <w:tcW w:w="1038" w:type="pct"/>
          </w:tcPr>
          <w:p w14:paraId="2BAD4B74"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备注</w:t>
            </w:r>
          </w:p>
        </w:tc>
      </w:tr>
      <w:tr w:rsidR="0062768B" w14:paraId="7BD8D049" w14:textId="77777777">
        <w:trPr>
          <w:cantSplit/>
          <w:jc w:val="center"/>
        </w:trPr>
        <w:tc>
          <w:tcPr>
            <w:tcW w:w="332" w:type="pct"/>
            <w:shd w:val="clear" w:color="auto" w:fill="auto"/>
            <w:noWrap/>
            <w:vAlign w:val="center"/>
          </w:tcPr>
          <w:p w14:paraId="2205A4DE"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1</w:t>
            </w:r>
          </w:p>
        </w:tc>
        <w:tc>
          <w:tcPr>
            <w:tcW w:w="1422" w:type="pct"/>
            <w:shd w:val="clear" w:color="auto" w:fill="auto"/>
            <w:noWrap/>
            <w:vAlign w:val="center"/>
          </w:tcPr>
          <w:p w14:paraId="4D92985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开发完成后不动产总价</w:t>
            </w:r>
          </w:p>
        </w:tc>
        <w:tc>
          <w:tcPr>
            <w:tcW w:w="627" w:type="pct"/>
            <w:shd w:val="clear" w:color="auto" w:fill="auto"/>
            <w:noWrap/>
            <w:vAlign w:val="center"/>
          </w:tcPr>
          <w:p w14:paraId="0BEB0438"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875.1979</w:t>
            </w:r>
          </w:p>
        </w:tc>
        <w:tc>
          <w:tcPr>
            <w:tcW w:w="634" w:type="pct"/>
            <w:shd w:val="clear" w:color="auto" w:fill="auto"/>
            <w:noWrap/>
            <w:vAlign w:val="center"/>
          </w:tcPr>
          <w:p w14:paraId="520D9E2D"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754.00</w:t>
            </w:r>
          </w:p>
        </w:tc>
        <w:tc>
          <w:tcPr>
            <w:tcW w:w="395" w:type="pct"/>
            <w:shd w:val="clear" w:color="auto" w:fill="auto"/>
            <w:noWrap/>
            <w:vAlign w:val="center"/>
          </w:tcPr>
          <w:p w14:paraId="6F7A094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11607</w:t>
            </w:r>
          </w:p>
        </w:tc>
        <w:tc>
          <w:tcPr>
            <w:tcW w:w="552" w:type="pct"/>
            <w:shd w:val="clear" w:color="auto" w:fill="auto"/>
            <w:noWrap/>
            <w:vAlign w:val="center"/>
          </w:tcPr>
          <w:p w14:paraId="37C2B5F8" w14:textId="77777777" w:rsidR="0062768B" w:rsidRDefault="0062768B">
            <w:pPr>
              <w:widowControl/>
              <w:adjustRightInd/>
              <w:spacing w:line="240" w:lineRule="exact"/>
              <w:textAlignment w:val="auto"/>
              <w:rPr>
                <w:rFonts w:ascii="Arial" w:eastAsia="仿宋" w:hAnsi="Arial" w:cs="Arial"/>
                <w:bCs/>
                <w:sz w:val="21"/>
                <w:szCs w:val="21"/>
              </w:rPr>
            </w:pPr>
          </w:p>
        </w:tc>
        <w:tc>
          <w:tcPr>
            <w:tcW w:w="1038" w:type="pct"/>
          </w:tcPr>
          <w:p w14:paraId="43CBC888" w14:textId="77777777" w:rsidR="0062768B" w:rsidRDefault="0062768B">
            <w:pPr>
              <w:widowControl/>
              <w:adjustRightInd/>
              <w:spacing w:line="240" w:lineRule="exact"/>
              <w:textAlignment w:val="auto"/>
              <w:rPr>
                <w:rFonts w:ascii="Arial" w:eastAsia="仿宋" w:hAnsi="Arial" w:cs="Arial"/>
                <w:bCs/>
                <w:sz w:val="21"/>
                <w:szCs w:val="21"/>
              </w:rPr>
            </w:pPr>
          </w:p>
        </w:tc>
      </w:tr>
      <w:tr w:rsidR="0062768B" w14:paraId="5A5B7C59" w14:textId="77777777">
        <w:trPr>
          <w:cantSplit/>
          <w:jc w:val="center"/>
        </w:trPr>
        <w:tc>
          <w:tcPr>
            <w:tcW w:w="332" w:type="pct"/>
            <w:shd w:val="clear" w:color="auto" w:fill="auto"/>
            <w:vAlign w:val="center"/>
          </w:tcPr>
          <w:p w14:paraId="47BB7A47"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2</w:t>
            </w:r>
          </w:p>
        </w:tc>
        <w:tc>
          <w:tcPr>
            <w:tcW w:w="1422" w:type="pct"/>
            <w:shd w:val="clear" w:color="auto" w:fill="auto"/>
            <w:noWrap/>
            <w:vAlign w:val="center"/>
          </w:tcPr>
          <w:p w14:paraId="7E4ED613"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开发成本</w:t>
            </w:r>
          </w:p>
        </w:tc>
        <w:tc>
          <w:tcPr>
            <w:tcW w:w="627" w:type="pct"/>
            <w:shd w:val="clear" w:color="auto" w:fill="auto"/>
            <w:noWrap/>
            <w:vAlign w:val="center"/>
          </w:tcPr>
          <w:p w14:paraId="31778067"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475.1417 +0.1573P</w:t>
            </w:r>
            <w:r>
              <w:rPr>
                <w:rFonts w:ascii="Arial" w:eastAsia="仿宋" w:hAnsi="Arial" w:cs="Arial"/>
                <w:bCs/>
                <w:sz w:val="21"/>
                <w:szCs w:val="21"/>
                <w:vertAlign w:val="subscript"/>
              </w:rPr>
              <w:t>土</w:t>
            </w:r>
          </w:p>
        </w:tc>
        <w:tc>
          <w:tcPr>
            <w:tcW w:w="634" w:type="pct"/>
            <w:shd w:val="clear" w:color="auto" w:fill="auto"/>
            <w:noWrap/>
            <w:vAlign w:val="center"/>
          </w:tcPr>
          <w:p w14:paraId="5085BFAA"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3616CB34"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237E59B1" w14:textId="77777777" w:rsidR="0062768B" w:rsidRDefault="0062768B">
            <w:pPr>
              <w:widowControl/>
              <w:adjustRightInd/>
              <w:spacing w:line="240" w:lineRule="exact"/>
              <w:textAlignment w:val="auto"/>
              <w:rPr>
                <w:rFonts w:ascii="Arial" w:eastAsia="仿宋" w:hAnsi="Arial" w:cs="Arial"/>
                <w:bCs/>
                <w:sz w:val="21"/>
                <w:szCs w:val="21"/>
              </w:rPr>
            </w:pPr>
          </w:p>
        </w:tc>
        <w:tc>
          <w:tcPr>
            <w:tcW w:w="1038" w:type="pct"/>
          </w:tcPr>
          <w:p w14:paraId="41439FEF"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1</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8</w:t>
            </w:r>
            <w:r>
              <w:rPr>
                <w:rFonts w:ascii="Arial" w:eastAsia="仿宋" w:hAnsi="Arial" w:cs="Arial"/>
                <w:bCs/>
                <w:sz w:val="21"/>
                <w:szCs w:val="21"/>
              </w:rPr>
              <w:t>）之和</w:t>
            </w:r>
          </w:p>
        </w:tc>
      </w:tr>
      <w:tr w:rsidR="0062768B" w14:paraId="362E62FF" w14:textId="77777777">
        <w:trPr>
          <w:cantSplit/>
          <w:jc w:val="center"/>
        </w:trPr>
        <w:tc>
          <w:tcPr>
            <w:tcW w:w="332" w:type="pct"/>
            <w:shd w:val="clear" w:color="auto" w:fill="auto"/>
            <w:noWrap/>
            <w:vAlign w:val="center"/>
          </w:tcPr>
          <w:p w14:paraId="02BE4B1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1</w:t>
            </w:r>
            <w:r>
              <w:rPr>
                <w:rFonts w:ascii="Arial" w:eastAsia="仿宋" w:hAnsi="Arial" w:cs="Arial"/>
                <w:bCs/>
                <w:sz w:val="21"/>
                <w:szCs w:val="21"/>
              </w:rPr>
              <w:t>）</w:t>
            </w:r>
          </w:p>
        </w:tc>
        <w:tc>
          <w:tcPr>
            <w:tcW w:w="1422" w:type="pct"/>
            <w:shd w:val="clear" w:color="auto" w:fill="auto"/>
            <w:noWrap/>
            <w:vAlign w:val="center"/>
          </w:tcPr>
          <w:p w14:paraId="59533BEB"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房屋建造成本</w:t>
            </w:r>
          </w:p>
        </w:tc>
        <w:tc>
          <w:tcPr>
            <w:tcW w:w="627" w:type="pct"/>
            <w:shd w:val="clear" w:color="auto" w:fill="auto"/>
            <w:noWrap/>
            <w:vAlign w:val="center"/>
          </w:tcPr>
          <w:p w14:paraId="692E97AA"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383.9745</w:t>
            </w:r>
          </w:p>
        </w:tc>
        <w:tc>
          <w:tcPr>
            <w:tcW w:w="634" w:type="pct"/>
            <w:shd w:val="clear" w:color="auto" w:fill="auto"/>
            <w:noWrap/>
            <w:vAlign w:val="center"/>
          </w:tcPr>
          <w:p w14:paraId="3B7D37D0"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4DD30559"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3380F88E" w14:textId="77777777" w:rsidR="0062768B" w:rsidRDefault="0062768B">
            <w:pPr>
              <w:widowControl/>
              <w:adjustRightInd/>
              <w:spacing w:line="240" w:lineRule="exact"/>
              <w:textAlignment w:val="auto"/>
              <w:rPr>
                <w:rFonts w:ascii="Arial" w:eastAsia="仿宋" w:hAnsi="Arial" w:cs="Arial"/>
                <w:bCs/>
                <w:sz w:val="21"/>
                <w:szCs w:val="21"/>
              </w:rPr>
            </w:pPr>
          </w:p>
        </w:tc>
        <w:tc>
          <w:tcPr>
            <w:tcW w:w="1038" w:type="pct"/>
          </w:tcPr>
          <w:p w14:paraId="75CC358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下述</w:t>
            </w:r>
            <w:r>
              <w:rPr>
                <w:rFonts w:ascii="Arial" w:eastAsia="仿宋" w:hAnsi="Arial" w:cs="Arial"/>
                <w:sz w:val="21"/>
                <w:szCs w:val="21"/>
              </w:rPr>
              <w:t>5</w:t>
            </w:r>
            <w:r>
              <w:rPr>
                <w:rFonts w:ascii="Arial" w:eastAsia="仿宋" w:hAnsi="Arial" w:cs="Arial"/>
                <w:sz w:val="21"/>
                <w:szCs w:val="21"/>
              </w:rPr>
              <w:t>项之和</w:t>
            </w:r>
          </w:p>
        </w:tc>
      </w:tr>
      <w:tr w:rsidR="0062768B" w14:paraId="1778BF8C" w14:textId="77777777">
        <w:trPr>
          <w:cantSplit/>
          <w:jc w:val="center"/>
        </w:trPr>
        <w:tc>
          <w:tcPr>
            <w:tcW w:w="332" w:type="pct"/>
            <w:shd w:val="clear" w:color="auto" w:fill="auto"/>
            <w:noWrap/>
            <w:vAlign w:val="center"/>
          </w:tcPr>
          <w:p w14:paraId="2C989A4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w:t>
            </w:r>
          </w:p>
        </w:tc>
        <w:tc>
          <w:tcPr>
            <w:tcW w:w="1422" w:type="pct"/>
            <w:shd w:val="clear" w:color="auto" w:fill="auto"/>
            <w:noWrap/>
            <w:vAlign w:val="center"/>
          </w:tcPr>
          <w:p w14:paraId="7563F7E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建安费用</w:t>
            </w:r>
          </w:p>
        </w:tc>
        <w:tc>
          <w:tcPr>
            <w:tcW w:w="627" w:type="pct"/>
            <w:shd w:val="clear" w:color="auto" w:fill="auto"/>
            <w:noWrap/>
            <w:vAlign w:val="center"/>
          </w:tcPr>
          <w:p w14:paraId="172B2048"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 xml:space="preserve">339.3000 </w:t>
            </w:r>
          </w:p>
        </w:tc>
        <w:tc>
          <w:tcPr>
            <w:tcW w:w="634" w:type="pct"/>
            <w:shd w:val="clear" w:color="auto" w:fill="auto"/>
            <w:noWrap/>
            <w:vAlign w:val="center"/>
          </w:tcPr>
          <w:p w14:paraId="6C82344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bCs/>
                <w:sz w:val="21"/>
                <w:szCs w:val="21"/>
              </w:rPr>
              <w:t>754.00</w:t>
            </w:r>
          </w:p>
        </w:tc>
        <w:tc>
          <w:tcPr>
            <w:tcW w:w="395" w:type="pct"/>
            <w:shd w:val="clear" w:color="auto" w:fill="auto"/>
            <w:noWrap/>
            <w:vAlign w:val="center"/>
          </w:tcPr>
          <w:p w14:paraId="5A1BBA77"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4500</w:t>
            </w:r>
          </w:p>
        </w:tc>
        <w:tc>
          <w:tcPr>
            <w:tcW w:w="552" w:type="pct"/>
            <w:shd w:val="clear" w:color="auto" w:fill="auto"/>
            <w:noWrap/>
            <w:vAlign w:val="center"/>
          </w:tcPr>
          <w:p w14:paraId="74CD560C" w14:textId="77777777" w:rsidR="0062768B" w:rsidRDefault="0062768B">
            <w:pPr>
              <w:widowControl/>
              <w:adjustRightInd/>
              <w:spacing w:line="240" w:lineRule="exact"/>
              <w:textAlignment w:val="auto"/>
              <w:rPr>
                <w:rFonts w:ascii="Arial" w:eastAsia="仿宋" w:hAnsi="Arial" w:cs="Arial"/>
                <w:sz w:val="21"/>
                <w:szCs w:val="21"/>
              </w:rPr>
            </w:pPr>
          </w:p>
        </w:tc>
        <w:tc>
          <w:tcPr>
            <w:tcW w:w="1038" w:type="pct"/>
          </w:tcPr>
          <w:p w14:paraId="046AFD01" w14:textId="77777777" w:rsidR="0062768B" w:rsidRDefault="0062768B">
            <w:pPr>
              <w:widowControl/>
              <w:adjustRightInd/>
              <w:spacing w:line="240" w:lineRule="exact"/>
              <w:textAlignment w:val="auto"/>
              <w:rPr>
                <w:rFonts w:ascii="Arial" w:eastAsia="仿宋" w:hAnsi="Arial" w:cs="Arial"/>
                <w:bCs/>
                <w:sz w:val="21"/>
                <w:szCs w:val="21"/>
              </w:rPr>
            </w:pPr>
          </w:p>
        </w:tc>
      </w:tr>
      <w:tr w:rsidR="0062768B" w14:paraId="2B2A3689" w14:textId="77777777">
        <w:trPr>
          <w:cantSplit/>
          <w:jc w:val="center"/>
        </w:trPr>
        <w:tc>
          <w:tcPr>
            <w:tcW w:w="332" w:type="pct"/>
            <w:shd w:val="clear" w:color="auto" w:fill="auto"/>
            <w:noWrap/>
            <w:vAlign w:val="center"/>
          </w:tcPr>
          <w:p w14:paraId="0E59097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w:t>
            </w:r>
          </w:p>
        </w:tc>
        <w:tc>
          <w:tcPr>
            <w:tcW w:w="1422" w:type="pct"/>
            <w:shd w:val="clear" w:color="auto" w:fill="auto"/>
            <w:noWrap/>
            <w:vAlign w:val="center"/>
          </w:tcPr>
          <w:p w14:paraId="08CD0F7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勘察设计和前期工程费</w:t>
            </w:r>
          </w:p>
        </w:tc>
        <w:tc>
          <w:tcPr>
            <w:tcW w:w="627" w:type="pct"/>
            <w:shd w:val="clear" w:color="auto" w:fill="auto"/>
            <w:noWrap/>
            <w:vAlign w:val="center"/>
          </w:tcPr>
          <w:p w14:paraId="3DD838E1"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 xml:space="preserve">16.9650 </w:t>
            </w:r>
          </w:p>
        </w:tc>
        <w:tc>
          <w:tcPr>
            <w:tcW w:w="634" w:type="pct"/>
            <w:shd w:val="clear" w:color="auto" w:fill="auto"/>
            <w:noWrap/>
            <w:vAlign w:val="center"/>
          </w:tcPr>
          <w:p w14:paraId="2B0ADCFE"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5ACCBA2A"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7B0EB87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038" w:type="pct"/>
          </w:tcPr>
          <w:p w14:paraId="7EC6C96C"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以建安费用为基数计取</w:t>
            </w:r>
          </w:p>
        </w:tc>
      </w:tr>
      <w:tr w:rsidR="0062768B" w14:paraId="6FFD0E1F" w14:textId="77777777">
        <w:trPr>
          <w:cantSplit/>
          <w:jc w:val="center"/>
        </w:trPr>
        <w:tc>
          <w:tcPr>
            <w:tcW w:w="332" w:type="pct"/>
            <w:shd w:val="clear" w:color="auto" w:fill="auto"/>
            <w:noWrap/>
            <w:vAlign w:val="center"/>
          </w:tcPr>
          <w:p w14:paraId="0D7AFAD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3</w:t>
            </w:r>
            <w:r>
              <w:rPr>
                <w:rFonts w:ascii="Arial" w:eastAsia="仿宋" w:hAnsi="Arial" w:cs="Arial"/>
                <w:sz w:val="21"/>
                <w:szCs w:val="21"/>
              </w:rPr>
              <w:t>）</w:t>
            </w:r>
          </w:p>
        </w:tc>
        <w:tc>
          <w:tcPr>
            <w:tcW w:w="1422" w:type="pct"/>
            <w:shd w:val="clear" w:color="auto" w:fill="auto"/>
            <w:noWrap/>
            <w:vAlign w:val="center"/>
          </w:tcPr>
          <w:p w14:paraId="41F4DD9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公共配套设施费用</w:t>
            </w:r>
          </w:p>
        </w:tc>
        <w:tc>
          <w:tcPr>
            <w:tcW w:w="627" w:type="pct"/>
            <w:shd w:val="clear" w:color="auto" w:fill="auto"/>
            <w:noWrap/>
            <w:vAlign w:val="center"/>
          </w:tcPr>
          <w:p w14:paraId="69E6F15B"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 xml:space="preserve">0.0000 </w:t>
            </w:r>
          </w:p>
        </w:tc>
        <w:tc>
          <w:tcPr>
            <w:tcW w:w="634" w:type="pct"/>
            <w:shd w:val="clear" w:color="auto" w:fill="auto"/>
            <w:noWrap/>
            <w:vAlign w:val="center"/>
          </w:tcPr>
          <w:p w14:paraId="5BC60CAB"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57E0E971"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6A686E6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不计取</w:t>
            </w:r>
          </w:p>
        </w:tc>
        <w:tc>
          <w:tcPr>
            <w:tcW w:w="1038" w:type="pct"/>
          </w:tcPr>
          <w:p w14:paraId="4360B498"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以住宅用房建安费用为基数计取</w:t>
            </w:r>
          </w:p>
        </w:tc>
      </w:tr>
      <w:tr w:rsidR="0062768B" w14:paraId="6AA3F8B2" w14:textId="77777777">
        <w:trPr>
          <w:cantSplit/>
          <w:jc w:val="center"/>
        </w:trPr>
        <w:tc>
          <w:tcPr>
            <w:tcW w:w="332" w:type="pct"/>
            <w:shd w:val="clear" w:color="auto" w:fill="auto"/>
            <w:noWrap/>
            <w:vAlign w:val="center"/>
          </w:tcPr>
          <w:p w14:paraId="5A13B27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4</w:t>
            </w:r>
            <w:r>
              <w:rPr>
                <w:rFonts w:ascii="Arial" w:eastAsia="仿宋" w:hAnsi="Arial" w:cs="Arial"/>
                <w:sz w:val="21"/>
                <w:szCs w:val="21"/>
              </w:rPr>
              <w:t>）</w:t>
            </w:r>
          </w:p>
        </w:tc>
        <w:tc>
          <w:tcPr>
            <w:tcW w:w="1422" w:type="pct"/>
            <w:shd w:val="clear" w:color="auto" w:fill="auto"/>
            <w:noWrap/>
            <w:vAlign w:val="center"/>
          </w:tcPr>
          <w:p w14:paraId="40B2A57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红线内市政费用</w:t>
            </w:r>
          </w:p>
        </w:tc>
        <w:tc>
          <w:tcPr>
            <w:tcW w:w="627" w:type="pct"/>
            <w:shd w:val="clear" w:color="auto" w:fill="auto"/>
            <w:noWrap/>
            <w:vAlign w:val="center"/>
          </w:tcPr>
          <w:p w14:paraId="2083D54D"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 xml:space="preserve">22.6200 </w:t>
            </w:r>
          </w:p>
        </w:tc>
        <w:tc>
          <w:tcPr>
            <w:tcW w:w="634" w:type="pct"/>
            <w:shd w:val="clear" w:color="auto" w:fill="auto"/>
            <w:noWrap/>
            <w:vAlign w:val="center"/>
          </w:tcPr>
          <w:p w14:paraId="7C9AAE7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bCs/>
                <w:sz w:val="21"/>
                <w:szCs w:val="21"/>
              </w:rPr>
              <w:t>754.00</w:t>
            </w:r>
          </w:p>
        </w:tc>
        <w:tc>
          <w:tcPr>
            <w:tcW w:w="395" w:type="pct"/>
            <w:shd w:val="clear" w:color="auto" w:fill="auto"/>
            <w:noWrap/>
            <w:vAlign w:val="center"/>
          </w:tcPr>
          <w:p w14:paraId="552497C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300</w:t>
            </w:r>
          </w:p>
        </w:tc>
        <w:tc>
          <w:tcPr>
            <w:tcW w:w="552" w:type="pct"/>
            <w:shd w:val="clear" w:color="auto" w:fill="auto"/>
            <w:noWrap/>
            <w:vAlign w:val="center"/>
          </w:tcPr>
          <w:p w14:paraId="77DF60C4" w14:textId="77777777" w:rsidR="0062768B" w:rsidRDefault="0062768B">
            <w:pPr>
              <w:widowControl/>
              <w:adjustRightInd/>
              <w:spacing w:line="240" w:lineRule="exact"/>
              <w:textAlignment w:val="auto"/>
              <w:rPr>
                <w:rFonts w:ascii="Arial" w:eastAsia="仿宋" w:hAnsi="Arial" w:cs="Arial"/>
                <w:sz w:val="21"/>
                <w:szCs w:val="21"/>
              </w:rPr>
            </w:pPr>
          </w:p>
        </w:tc>
        <w:tc>
          <w:tcPr>
            <w:tcW w:w="1038" w:type="pct"/>
          </w:tcPr>
          <w:p w14:paraId="4F90373D" w14:textId="77777777" w:rsidR="0062768B" w:rsidRDefault="0062768B">
            <w:pPr>
              <w:widowControl/>
              <w:adjustRightInd/>
              <w:spacing w:line="240" w:lineRule="exact"/>
              <w:textAlignment w:val="auto"/>
              <w:rPr>
                <w:rFonts w:ascii="Arial" w:eastAsia="仿宋" w:hAnsi="Arial" w:cs="Arial"/>
                <w:bCs/>
                <w:sz w:val="21"/>
                <w:szCs w:val="21"/>
              </w:rPr>
            </w:pPr>
          </w:p>
        </w:tc>
      </w:tr>
      <w:tr w:rsidR="0062768B" w14:paraId="08CEC63D" w14:textId="77777777">
        <w:trPr>
          <w:cantSplit/>
          <w:jc w:val="center"/>
        </w:trPr>
        <w:tc>
          <w:tcPr>
            <w:tcW w:w="332" w:type="pct"/>
            <w:shd w:val="clear" w:color="auto" w:fill="auto"/>
            <w:noWrap/>
            <w:vAlign w:val="center"/>
          </w:tcPr>
          <w:p w14:paraId="2F88C73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r>
              <w:rPr>
                <w:rFonts w:ascii="Arial" w:eastAsia="仿宋" w:hAnsi="Arial" w:cs="Arial"/>
                <w:sz w:val="21"/>
                <w:szCs w:val="21"/>
              </w:rPr>
              <w:t>）</w:t>
            </w:r>
          </w:p>
        </w:tc>
        <w:tc>
          <w:tcPr>
            <w:tcW w:w="1422" w:type="pct"/>
            <w:shd w:val="clear" w:color="auto" w:fill="auto"/>
            <w:noWrap/>
            <w:vAlign w:val="center"/>
          </w:tcPr>
          <w:p w14:paraId="2D4E665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相关税费</w:t>
            </w:r>
          </w:p>
        </w:tc>
        <w:tc>
          <w:tcPr>
            <w:tcW w:w="627" w:type="pct"/>
            <w:shd w:val="clear" w:color="auto" w:fill="auto"/>
            <w:noWrap/>
            <w:vAlign w:val="center"/>
          </w:tcPr>
          <w:p w14:paraId="33B7D7CA"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 xml:space="preserve">2.5447 </w:t>
            </w:r>
          </w:p>
        </w:tc>
        <w:tc>
          <w:tcPr>
            <w:tcW w:w="634" w:type="pct"/>
            <w:shd w:val="clear" w:color="auto" w:fill="auto"/>
            <w:noWrap/>
            <w:vAlign w:val="center"/>
          </w:tcPr>
          <w:p w14:paraId="2EDE3A39"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1E6C6E62"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40D358A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1.5%</w:t>
            </w:r>
          </w:p>
        </w:tc>
        <w:tc>
          <w:tcPr>
            <w:tcW w:w="1038" w:type="pct"/>
            <w:vAlign w:val="center"/>
          </w:tcPr>
          <w:p w14:paraId="06FBE6B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以建安费用为基数计取</w:t>
            </w:r>
          </w:p>
        </w:tc>
      </w:tr>
      <w:tr w:rsidR="0062768B" w14:paraId="2493D448" w14:textId="77777777">
        <w:trPr>
          <w:cantSplit/>
          <w:jc w:val="center"/>
        </w:trPr>
        <w:tc>
          <w:tcPr>
            <w:tcW w:w="332" w:type="pct"/>
            <w:shd w:val="clear" w:color="auto" w:fill="auto"/>
            <w:noWrap/>
            <w:vAlign w:val="center"/>
          </w:tcPr>
          <w:p w14:paraId="7F97B7C5"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2</w:t>
            </w:r>
            <w:r>
              <w:rPr>
                <w:rFonts w:ascii="Arial" w:eastAsia="仿宋" w:hAnsi="Arial" w:cs="Arial"/>
                <w:bCs/>
                <w:sz w:val="21"/>
                <w:szCs w:val="21"/>
              </w:rPr>
              <w:t>）</w:t>
            </w:r>
          </w:p>
        </w:tc>
        <w:tc>
          <w:tcPr>
            <w:tcW w:w="1422" w:type="pct"/>
            <w:shd w:val="clear" w:color="auto" w:fill="auto"/>
            <w:noWrap/>
            <w:vAlign w:val="center"/>
          </w:tcPr>
          <w:p w14:paraId="7A7207CF"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红线外市政费用（土地开发费用）</w:t>
            </w:r>
          </w:p>
        </w:tc>
        <w:tc>
          <w:tcPr>
            <w:tcW w:w="627" w:type="pct"/>
            <w:shd w:val="clear" w:color="auto" w:fill="auto"/>
            <w:noWrap/>
            <w:vAlign w:val="center"/>
          </w:tcPr>
          <w:p w14:paraId="03A28B2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3.0160</w:t>
            </w:r>
          </w:p>
        </w:tc>
        <w:tc>
          <w:tcPr>
            <w:tcW w:w="634" w:type="pct"/>
            <w:shd w:val="clear" w:color="auto" w:fill="auto"/>
            <w:noWrap/>
            <w:vAlign w:val="center"/>
          </w:tcPr>
          <w:p w14:paraId="0DC15A3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754.00</w:t>
            </w:r>
          </w:p>
        </w:tc>
        <w:tc>
          <w:tcPr>
            <w:tcW w:w="395" w:type="pct"/>
            <w:shd w:val="clear" w:color="auto" w:fill="auto"/>
            <w:noWrap/>
            <w:vAlign w:val="center"/>
          </w:tcPr>
          <w:p w14:paraId="4DAEE445"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40</w:t>
            </w:r>
          </w:p>
        </w:tc>
        <w:tc>
          <w:tcPr>
            <w:tcW w:w="552" w:type="pct"/>
            <w:shd w:val="clear" w:color="auto" w:fill="auto"/>
            <w:noWrap/>
            <w:vAlign w:val="center"/>
          </w:tcPr>
          <w:p w14:paraId="4978014F" w14:textId="77777777" w:rsidR="0062768B" w:rsidRDefault="0062768B">
            <w:pPr>
              <w:widowControl/>
              <w:adjustRightInd/>
              <w:spacing w:line="240" w:lineRule="exact"/>
              <w:textAlignment w:val="auto"/>
              <w:rPr>
                <w:rFonts w:ascii="Arial" w:eastAsia="仿宋" w:hAnsi="Arial" w:cs="Arial"/>
                <w:bCs/>
                <w:sz w:val="21"/>
                <w:szCs w:val="21"/>
              </w:rPr>
            </w:pPr>
          </w:p>
        </w:tc>
        <w:tc>
          <w:tcPr>
            <w:tcW w:w="1038" w:type="pct"/>
          </w:tcPr>
          <w:p w14:paraId="1BD7102A" w14:textId="77777777" w:rsidR="0062768B" w:rsidRDefault="0062768B">
            <w:pPr>
              <w:widowControl/>
              <w:adjustRightInd/>
              <w:spacing w:line="240" w:lineRule="exact"/>
              <w:textAlignment w:val="auto"/>
              <w:rPr>
                <w:rFonts w:ascii="Arial" w:eastAsia="仿宋" w:hAnsi="Arial" w:cs="Arial"/>
                <w:bCs/>
                <w:sz w:val="21"/>
                <w:szCs w:val="21"/>
              </w:rPr>
            </w:pPr>
          </w:p>
        </w:tc>
      </w:tr>
      <w:tr w:rsidR="0062768B" w14:paraId="60E96461" w14:textId="77777777">
        <w:trPr>
          <w:cantSplit/>
          <w:jc w:val="center"/>
        </w:trPr>
        <w:tc>
          <w:tcPr>
            <w:tcW w:w="332" w:type="pct"/>
            <w:shd w:val="clear" w:color="auto" w:fill="auto"/>
            <w:noWrap/>
            <w:vAlign w:val="center"/>
          </w:tcPr>
          <w:p w14:paraId="56438A6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3</w:t>
            </w:r>
            <w:r>
              <w:rPr>
                <w:rFonts w:ascii="Arial" w:eastAsia="仿宋" w:hAnsi="Arial" w:cs="Arial"/>
                <w:bCs/>
                <w:sz w:val="21"/>
                <w:szCs w:val="21"/>
              </w:rPr>
              <w:t>）</w:t>
            </w:r>
          </w:p>
        </w:tc>
        <w:tc>
          <w:tcPr>
            <w:tcW w:w="1422" w:type="pct"/>
            <w:shd w:val="clear" w:color="auto" w:fill="auto"/>
            <w:noWrap/>
            <w:vAlign w:val="center"/>
          </w:tcPr>
          <w:p w14:paraId="78214664"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城市基础设施建设费</w:t>
            </w:r>
          </w:p>
        </w:tc>
        <w:tc>
          <w:tcPr>
            <w:tcW w:w="627" w:type="pct"/>
            <w:shd w:val="clear" w:color="auto" w:fill="auto"/>
            <w:noWrap/>
            <w:vAlign w:val="center"/>
          </w:tcPr>
          <w:p w14:paraId="2F965447"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 xml:space="preserve">14.3260 </w:t>
            </w:r>
          </w:p>
        </w:tc>
        <w:tc>
          <w:tcPr>
            <w:tcW w:w="634" w:type="pct"/>
            <w:shd w:val="clear" w:color="auto" w:fill="auto"/>
            <w:noWrap/>
            <w:vAlign w:val="center"/>
          </w:tcPr>
          <w:p w14:paraId="352BFBA4"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73617FDE"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7E7357D0" w14:textId="77777777" w:rsidR="0062768B" w:rsidRDefault="0062768B">
            <w:pPr>
              <w:widowControl/>
              <w:adjustRightInd/>
              <w:spacing w:line="240" w:lineRule="exact"/>
              <w:textAlignment w:val="auto"/>
              <w:rPr>
                <w:rFonts w:ascii="Arial" w:eastAsia="仿宋" w:hAnsi="Arial" w:cs="Arial"/>
                <w:bCs/>
                <w:sz w:val="21"/>
                <w:szCs w:val="21"/>
              </w:rPr>
            </w:pPr>
          </w:p>
        </w:tc>
        <w:tc>
          <w:tcPr>
            <w:tcW w:w="1038" w:type="pct"/>
          </w:tcPr>
          <w:p w14:paraId="29FCC39F" w14:textId="77777777" w:rsidR="0062768B" w:rsidRDefault="0062768B">
            <w:pPr>
              <w:widowControl/>
              <w:adjustRightInd/>
              <w:spacing w:line="240" w:lineRule="exact"/>
              <w:textAlignment w:val="auto"/>
              <w:rPr>
                <w:rFonts w:ascii="Arial" w:eastAsia="仿宋" w:hAnsi="Arial" w:cs="Arial"/>
                <w:bCs/>
                <w:sz w:val="21"/>
                <w:szCs w:val="21"/>
              </w:rPr>
            </w:pPr>
          </w:p>
        </w:tc>
      </w:tr>
      <w:tr w:rsidR="0062768B" w14:paraId="04AF5F1F" w14:textId="77777777">
        <w:trPr>
          <w:cantSplit/>
          <w:jc w:val="center"/>
        </w:trPr>
        <w:tc>
          <w:tcPr>
            <w:tcW w:w="332" w:type="pct"/>
            <w:shd w:val="clear" w:color="auto" w:fill="auto"/>
            <w:noWrap/>
            <w:vAlign w:val="center"/>
          </w:tcPr>
          <w:p w14:paraId="74BCD13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4</w:t>
            </w:r>
            <w:r>
              <w:rPr>
                <w:rFonts w:ascii="Arial" w:eastAsia="仿宋" w:hAnsi="Arial" w:cs="Arial"/>
                <w:bCs/>
                <w:sz w:val="21"/>
                <w:szCs w:val="21"/>
              </w:rPr>
              <w:t>）</w:t>
            </w:r>
          </w:p>
        </w:tc>
        <w:tc>
          <w:tcPr>
            <w:tcW w:w="1422" w:type="pct"/>
            <w:shd w:val="clear" w:color="auto" w:fill="auto"/>
            <w:noWrap/>
            <w:vAlign w:val="center"/>
          </w:tcPr>
          <w:p w14:paraId="0AB37ECE"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管理费用</w:t>
            </w:r>
          </w:p>
        </w:tc>
        <w:tc>
          <w:tcPr>
            <w:tcW w:w="627" w:type="pct"/>
            <w:shd w:val="clear" w:color="auto" w:fill="auto"/>
            <w:noWrap/>
            <w:vAlign w:val="center"/>
          </w:tcPr>
          <w:p w14:paraId="23146B7F"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 xml:space="preserve">12.0395 </w:t>
            </w:r>
          </w:p>
        </w:tc>
        <w:tc>
          <w:tcPr>
            <w:tcW w:w="634" w:type="pct"/>
            <w:shd w:val="clear" w:color="auto" w:fill="auto"/>
            <w:noWrap/>
            <w:vAlign w:val="center"/>
          </w:tcPr>
          <w:p w14:paraId="616CA5A0"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201AD7B3"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40D1A912"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w:t>
            </w:r>
          </w:p>
        </w:tc>
        <w:tc>
          <w:tcPr>
            <w:tcW w:w="1038" w:type="pct"/>
          </w:tcPr>
          <w:p w14:paraId="464FF67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以</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1</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3</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为基数计算</w:t>
            </w:r>
          </w:p>
        </w:tc>
      </w:tr>
      <w:tr w:rsidR="0062768B" w14:paraId="01C61972" w14:textId="77777777">
        <w:trPr>
          <w:cantSplit/>
          <w:jc w:val="center"/>
        </w:trPr>
        <w:tc>
          <w:tcPr>
            <w:tcW w:w="332" w:type="pct"/>
            <w:shd w:val="clear" w:color="auto" w:fill="auto"/>
            <w:noWrap/>
            <w:vAlign w:val="center"/>
          </w:tcPr>
          <w:p w14:paraId="56E0CF9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5</w:t>
            </w:r>
            <w:r>
              <w:rPr>
                <w:rFonts w:ascii="Arial" w:eastAsia="仿宋" w:hAnsi="Arial" w:cs="Arial"/>
                <w:bCs/>
                <w:sz w:val="21"/>
                <w:szCs w:val="21"/>
              </w:rPr>
              <w:t>）</w:t>
            </w:r>
          </w:p>
        </w:tc>
        <w:tc>
          <w:tcPr>
            <w:tcW w:w="1422" w:type="pct"/>
            <w:shd w:val="clear" w:color="auto" w:fill="auto"/>
            <w:noWrap/>
            <w:vAlign w:val="center"/>
          </w:tcPr>
          <w:p w14:paraId="0989084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销售费用</w:t>
            </w:r>
          </w:p>
        </w:tc>
        <w:tc>
          <w:tcPr>
            <w:tcW w:w="627" w:type="pct"/>
            <w:shd w:val="clear" w:color="auto" w:fill="auto"/>
            <w:noWrap/>
            <w:vAlign w:val="center"/>
          </w:tcPr>
          <w:p w14:paraId="690F9AFB"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 xml:space="preserve">35.0079 </w:t>
            </w:r>
          </w:p>
        </w:tc>
        <w:tc>
          <w:tcPr>
            <w:tcW w:w="634" w:type="pct"/>
            <w:shd w:val="clear" w:color="auto" w:fill="auto"/>
            <w:noWrap/>
            <w:vAlign w:val="center"/>
          </w:tcPr>
          <w:p w14:paraId="16B96D72"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62A87538"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73A5D822"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w:t>
            </w:r>
          </w:p>
        </w:tc>
        <w:tc>
          <w:tcPr>
            <w:tcW w:w="1038" w:type="pct"/>
          </w:tcPr>
          <w:p w14:paraId="3C6174A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以</w:t>
            </w:r>
            <w:r>
              <w:rPr>
                <w:rFonts w:ascii="Arial" w:eastAsia="仿宋" w:hAnsi="Arial" w:cs="Arial"/>
                <w:sz w:val="21"/>
                <w:szCs w:val="21"/>
              </w:rPr>
              <w:t>1</w:t>
            </w:r>
            <w:r>
              <w:rPr>
                <w:rFonts w:ascii="Arial" w:eastAsia="仿宋" w:hAnsi="Arial" w:cs="Arial"/>
                <w:sz w:val="21"/>
                <w:szCs w:val="21"/>
              </w:rPr>
              <w:t>为基数计取</w:t>
            </w:r>
          </w:p>
        </w:tc>
      </w:tr>
      <w:tr w:rsidR="0062768B" w14:paraId="25CA3B3C" w14:textId="77777777">
        <w:trPr>
          <w:cantSplit/>
          <w:jc w:val="center"/>
        </w:trPr>
        <w:tc>
          <w:tcPr>
            <w:tcW w:w="332" w:type="pct"/>
            <w:shd w:val="clear" w:color="auto" w:fill="auto"/>
            <w:noWrap/>
            <w:vAlign w:val="center"/>
          </w:tcPr>
          <w:p w14:paraId="27CAE2E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6</w:t>
            </w:r>
            <w:r>
              <w:rPr>
                <w:rFonts w:ascii="Arial" w:eastAsia="仿宋" w:hAnsi="Arial" w:cs="Arial"/>
                <w:bCs/>
                <w:sz w:val="21"/>
                <w:szCs w:val="21"/>
              </w:rPr>
              <w:t>）</w:t>
            </w:r>
          </w:p>
        </w:tc>
        <w:tc>
          <w:tcPr>
            <w:tcW w:w="1422" w:type="pct"/>
            <w:shd w:val="clear" w:color="auto" w:fill="auto"/>
            <w:noWrap/>
            <w:vAlign w:val="center"/>
          </w:tcPr>
          <w:p w14:paraId="2D6FDCD7"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购地税费</w:t>
            </w:r>
          </w:p>
        </w:tc>
        <w:tc>
          <w:tcPr>
            <w:tcW w:w="627" w:type="pct"/>
            <w:shd w:val="clear" w:color="auto" w:fill="auto"/>
            <w:noWrap/>
            <w:vAlign w:val="center"/>
          </w:tcPr>
          <w:p w14:paraId="3777E691"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0.0305</w:t>
            </w:r>
            <w:r>
              <w:rPr>
                <w:rFonts w:ascii="Arial" w:eastAsia="仿宋" w:hAnsi="Arial" w:cs="Arial"/>
                <w:sz w:val="21"/>
                <w:szCs w:val="21"/>
              </w:rPr>
              <w:t xml:space="preserve"> </w:t>
            </w:r>
            <w:r>
              <w:rPr>
                <w:rFonts w:ascii="Arial" w:eastAsia="仿宋" w:hAnsi="Arial" w:cs="Arial"/>
                <w:bCs/>
                <w:sz w:val="21"/>
                <w:szCs w:val="21"/>
              </w:rPr>
              <w:t>P</w:t>
            </w:r>
            <w:r>
              <w:rPr>
                <w:rFonts w:ascii="Arial" w:eastAsia="仿宋" w:hAnsi="Arial" w:cs="Arial"/>
                <w:bCs/>
                <w:sz w:val="21"/>
                <w:szCs w:val="21"/>
                <w:vertAlign w:val="subscript"/>
              </w:rPr>
              <w:t>土</w:t>
            </w:r>
          </w:p>
        </w:tc>
        <w:tc>
          <w:tcPr>
            <w:tcW w:w="634" w:type="pct"/>
            <w:shd w:val="clear" w:color="auto" w:fill="auto"/>
            <w:noWrap/>
            <w:vAlign w:val="bottom"/>
          </w:tcPr>
          <w:p w14:paraId="0DD526F0"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45438BFF"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4B5E8210"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3.05%</w:t>
            </w:r>
          </w:p>
        </w:tc>
        <w:tc>
          <w:tcPr>
            <w:tcW w:w="1038" w:type="pct"/>
          </w:tcPr>
          <w:p w14:paraId="03B08425"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以估价对象土地价格为基数记取</w:t>
            </w:r>
          </w:p>
        </w:tc>
      </w:tr>
      <w:tr w:rsidR="0062768B" w14:paraId="0CBE6D30" w14:textId="77777777">
        <w:trPr>
          <w:cantSplit/>
          <w:jc w:val="center"/>
        </w:trPr>
        <w:tc>
          <w:tcPr>
            <w:tcW w:w="332" w:type="pct"/>
            <w:shd w:val="clear" w:color="auto" w:fill="auto"/>
            <w:noWrap/>
            <w:vAlign w:val="center"/>
          </w:tcPr>
          <w:p w14:paraId="5A4F44B0"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7</w:t>
            </w:r>
            <w:r>
              <w:rPr>
                <w:rFonts w:ascii="Arial" w:eastAsia="仿宋" w:hAnsi="Arial" w:cs="Arial"/>
                <w:bCs/>
                <w:sz w:val="21"/>
                <w:szCs w:val="21"/>
              </w:rPr>
              <w:t>）</w:t>
            </w:r>
          </w:p>
        </w:tc>
        <w:tc>
          <w:tcPr>
            <w:tcW w:w="1422" w:type="pct"/>
            <w:shd w:val="clear" w:color="auto" w:fill="auto"/>
            <w:noWrap/>
            <w:vAlign w:val="center"/>
          </w:tcPr>
          <w:p w14:paraId="2E0AF040"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投资利息</w:t>
            </w:r>
          </w:p>
        </w:tc>
        <w:tc>
          <w:tcPr>
            <w:tcW w:w="627" w:type="pct"/>
            <w:shd w:val="clear" w:color="auto" w:fill="auto"/>
            <w:noWrap/>
            <w:vAlign w:val="center"/>
          </w:tcPr>
          <w:p w14:paraId="74AF98B2" w14:textId="77777777" w:rsidR="0062768B" w:rsidRDefault="0062768B">
            <w:pPr>
              <w:widowControl/>
              <w:adjustRightInd/>
              <w:spacing w:line="240" w:lineRule="exact"/>
              <w:textAlignment w:val="auto"/>
              <w:rPr>
                <w:rFonts w:ascii="Arial" w:eastAsia="仿宋" w:hAnsi="Arial" w:cs="Arial"/>
                <w:bCs/>
                <w:sz w:val="21"/>
                <w:szCs w:val="21"/>
              </w:rPr>
            </w:pPr>
          </w:p>
        </w:tc>
        <w:tc>
          <w:tcPr>
            <w:tcW w:w="634" w:type="pct"/>
            <w:shd w:val="clear" w:color="auto" w:fill="auto"/>
            <w:noWrap/>
            <w:vAlign w:val="center"/>
          </w:tcPr>
          <w:p w14:paraId="0F81CF84"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0202AF55"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3C0D0215"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4.75%</w:t>
            </w:r>
          </w:p>
        </w:tc>
        <w:tc>
          <w:tcPr>
            <w:tcW w:w="1038" w:type="pct"/>
          </w:tcPr>
          <w:p w14:paraId="5A15ADE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复利计息。后续开发成本、管理费用及销售费用产生的利息</w:t>
            </w:r>
          </w:p>
        </w:tc>
      </w:tr>
      <w:tr w:rsidR="0062768B" w14:paraId="76506E71" w14:textId="77777777">
        <w:trPr>
          <w:cantSplit/>
          <w:jc w:val="center"/>
        </w:trPr>
        <w:tc>
          <w:tcPr>
            <w:tcW w:w="332" w:type="pct"/>
            <w:shd w:val="clear" w:color="auto" w:fill="auto"/>
            <w:noWrap/>
            <w:vAlign w:val="center"/>
          </w:tcPr>
          <w:p w14:paraId="006F893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w:t>
            </w:r>
          </w:p>
        </w:tc>
        <w:tc>
          <w:tcPr>
            <w:tcW w:w="1422" w:type="pct"/>
            <w:shd w:val="clear" w:color="auto" w:fill="auto"/>
            <w:noWrap/>
            <w:vAlign w:val="center"/>
          </w:tcPr>
          <w:p w14:paraId="51F0582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土地购买价格及购地税</w:t>
            </w:r>
            <w:proofErr w:type="gramStart"/>
            <w:r>
              <w:rPr>
                <w:rFonts w:ascii="Arial" w:eastAsia="仿宋" w:hAnsi="Arial" w:cs="Arial"/>
                <w:sz w:val="21"/>
                <w:szCs w:val="21"/>
              </w:rPr>
              <w:t>费产生</w:t>
            </w:r>
            <w:proofErr w:type="gramEnd"/>
            <w:r>
              <w:rPr>
                <w:rFonts w:ascii="Arial" w:eastAsia="仿宋" w:hAnsi="Arial" w:cs="Arial"/>
                <w:sz w:val="21"/>
                <w:szCs w:val="21"/>
              </w:rPr>
              <w:t>的利息</w:t>
            </w:r>
          </w:p>
        </w:tc>
        <w:tc>
          <w:tcPr>
            <w:tcW w:w="627" w:type="pct"/>
            <w:shd w:val="clear" w:color="auto" w:fill="auto"/>
            <w:noWrap/>
            <w:vAlign w:val="center"/>
          </w:tcPr>
          <w:p w14:paraId="0C72A11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0.1268</w:t>
            </w:r>
            <w:r>
              <w:rPr>
                <w:rFonts w:ascii="Arial" w:eastAsia="仿宋" w:hAnsi="Arial" w:cs="Arial"/>
                <w:bCs/>
                <w:sz w:val="21"/>
                <w:szCs w:val="21"/>
              </w:rPr>
              <w:t>P</w:t>
            </w:r>
            <w:r>
              <w:rPr>
                <w:rFonts w:ascii="Arial" w:eastAsia="仿宋" w:hAnsi="Arial" w:cs="Arial"/>
                <w:bCs/>
                <w:sz w:val="21"/>
                <w:szCs w:val="21"/>
                <w:vertAlign w:val="subscript"/>
              </w:rPr>
              <w:t>土</w:t>
            </w:r>
          </w:p>
        </w:tc>
        <w:tc>
          <w:tcPr>
            <w:tcW w:w="634" w:type="pct"/>
            <w:shd w:val="clear" w:color="auto" w:fill="auto"/>
            <w:noWrap/>
            <w:vAlign w:val="center"/>
          </w:tcPr>
          <w:p w14:paraId="249ADB41"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63DA15AB"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407E1EC8" w14:textId="77777777" w:rsidR="0062768B" w:rsidRDefault="0062768B">
            <w:pPr>
              <w:widowControl/>
              <w:adjustRightInd/>
              <w:spacing w:line="240" w:lineRule="exact"/>
              <w:textAlignment w:val="auto"/>
              <w:rPr>
                <w:rFonts w:ascii="Arial" w:eastAsia="仿宋" w:hAnsi="Arial" w:cs="Arial"/>
                <w:sz w:val="21"/>
                <w:szCs w:val="21"/>
              </w:rPr>
            </w:pPr>
          </w:p>
        </w:tc>
        <w:tc>
          <w:tcPr>
            <w:tcW w:w="1038" w:type="pct"/>
          </w:tcPr>
          <w:p w14:paraId="416FBA7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取得税费率</w:t>
            </w:r>
            <w:r>
              <w:rPr>
                <w:rFonts w:ascii="Arial" w:eastAsia="仿宋" w:hAnsi="Arial" w:cs="Arial"/>
                <w:sz w:val="21"/>
                <w:szCs w:val="21"/>
              </w:rPr>
              <w:t>/(1+5%)</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年利率</w:t>
            </w:r>
            <w:r>
              <w:rPr>
                <w:rFonts w:ascii="Arial" w:eastAsia="仿宋" w:hAnsi="Arial" w:cs="Arial"/>
                <w:sz w:val="21"/>
                <w:szCs w:val="21"/>
              </w:rPr>
              <w:t>×</w:t>
            </w:r>
            <w:r>
              <w:rPr>
                <w:rFonts w:ascii="Arial" w:eastAsia="仿宋" w:hAnsi="Arial" w:cs="Arial"/>
                <w:sz w:val="21"/>
                <w:szCs w:val="21"/>
              </w:rPr>
              <w:t>建设期</w:t>
            </w:r>
          </w:p>
        </w:tc>
      </w:tr>
      <w:tr w:rsidR="0062768B" w14:paraId="2A53575B" w14:textId="77777777">
        <w:trPr>
          <w:cantSplit/>
          <w:jc w:val="center"/>
        </w:trPr>
        <w:tc>
          <w:tcPr>
            <w:tcW w:w="332" w:type="pct"/>
            <w:shd w:val="clear" w:color="auto" w:fill="auto"/>
            <w:noWrap/>
            <w:vAlign w:val="center"/>
          </w:tcPr>
          <w:p w14:paraId="06A9ECC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w:t>
            </w:r>
          </w:p>
        </w:tc>
        <w:tc>
          <w:tcPr>
            <w:tcW w:w="1422" w:type="pct"/>
            <w:shd w:val="clear" w:color="auto" w:fill="auto"/>
            <w:noWrap/>
            <w:vAlign w:val="center"/>
          </w:tcPr>
          <w:p w14:paraId="3FEC336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5</w:t>
            </w:r>
            <w:r>
              <w:rPr>
                <w:rFonts w:ascii="Arial" w:eastAsia="仿宋" w:hAnsi="Arial" w:cs="Arial"/>
                <w:sz w:val="21"/>
                <w:szCs w:val="21"/>
              </w:rPr>
              <w:t>）</w:t>
            </w:r>
            <w:proofErr w:type="gramStart"/>
            <w:r>
              <w:rPr>
                <w:rFonts w:ascii="Arial" w:eastAsia="仿宋" w:hAnsi="Arial" w:cs="Arial"/>
                <w:sz w:val="21"/>
                <w:szCs w:val="21"/>
              </w:rPr>
              <w:t>项产生</w:t>
            </w:r>
            <w:proofErr w:type="gramEnd"/>
            <w:r>
              <w:rPr>
                <w:rFonts w:ascii="Arial" w:eastAsia="仿宋" w:hAnsi="Arial" w:cs="Arial"/>
                <w:sz w:val="21"/>
                <w:szCs w:val="21"/>
              </w:rPr>
              <w:t>的利息</w:t>
            </w:r>
          </w:p>
        </w:tc>
        <w:tc>
          <w:tcPr>
            <w:tcW w:w="627" w:type="pct"/>
            <w:shd w:val="clear" w:color="auto" w:fill="auto"/>
            <w:noWrap/>
            <w:vAlign w:val="center"/>
          </w:tcPr>
          <w:p w14:paraId="637DC6D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26.7778</w:t>
            </w:r>
          </w:p>
        </w:tc>
        <w:tc>
          <w:tcPr>
            <w:tcW w:w="634" w:type="pct"/>
            <w:shd w:val="clear" w:color="auto" w:fill="auto"/>
            <w:noWrap/>
            <w:vAlign w:val="center"/>
          </w:tcPr>
          <w:p w14:paraId="6B423C09"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670610DD"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6EC1E831" w14:textId="77777777" w:rsidR="0062768B" w:rsidRDefault="0062768B">
            <w:pPr>
              <w:widowControl/>
              <w:adjustRightInd/>
              <w:spacing w:line="240" w:lineRule="exact"/>
              <w:textAlignment w:val="auto"/>
              <w:rPr>
                <w:rFonts w:ascii="Arial" w:eastAsia="仿宋" w:hAnsi="Arial" w:cs="Arial"/>
                <w:sz w:val="21"/>
                <w:szCs w:val="21"/>
              </w:rPr>
            </w:pPr>
          </w:p>
        </w:tc>
        <w:tc>
          <w:tcPr>
            <w:tcW w:w="1038" w:type="pct"/>
          </w:tcPr>
          <w:p w14:paraId="1FF58DF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3</w:t>
            </w:r>
            <w:r>
              <w:rPr>
                <w:rFonts w:ascii="Arial" w:eastAsia="仿宋" w:hAnsi="Arial" w:cs="Arial"/>
                <w:sz w:val="21"/>
                <w:szCs w:val="21"/>
              </w:rPr>
              <w:t>）项</w:t>
            </w:r>
            <w:r>
              <w:rPr>
                <w:rFonts w:ascii="Arial" w:eastAsia="仿宋" w:hAnsi="Arial" w:cs="Arial"/>
                <w:sz w:val="21"/>
                <w:szCs w:val="21"/>
              </w:rPr>
              <w:t>×</w:t>
            </w:r>
            <w:r>
              <w:rPr>
                <w:rFonts w:ascii="Arial" w:eastAsia="仿宋" w:hAnsi="Arial" w:cs="Arial"/>
                <w:sz w:val="21"/>
                <w:szCs w:val="21"/>
              </w:rPr>
              <w:t>年利率</w:t>
            </w:r>
            <w:r>
              <w:rPr>
                <w:rFonts w:ascii="Arial" w:eastAsia="仿宋" w:hAnsi="Arial" w:cs="Arial"/>
                <w:sz w:val="21"/>
                <w:szCs w:val="21"/>
              </w:rPr>
              <w:t>×</w:t>
            </w:r>
            <w:r>
              <w:rPr>
                <w:rFonts w:ascii="Arial" w:eastAsia="仿宋" w:hAnsi="Arial" w:cs="Arial"/>
                <w:sz w:val="21"/>
                <w:szCs w:val="21"/>
              </w:rPr>
              <w:t>建设期</w:t>
            </w:r>
            <w:r>
              <w:rPr>
                <w:rFonts w:ascii="Arial" w:eastAsia="仿宋" w:hAnsi="Arial" w:cs="Arial"/>
                <w:sz w:val="21"/>
                <w:szCs w:val="21"/>
              </w:rPr>
              <w:t>÷2</w:t>
            </w:r>
          </w:p>
        </w:tc>
      </w:tr>
      <w:tr w:rsidR="0062768B" w14:paraId="2BF96A22" w14:textId="77777777">
        <w:trPr>
          <w:cantSplit/>
          <w:jc w:val="center"/>
        </w:trPr>
        <w:tc>
          <w:tcPr>
            <w:tcW w:w="332" w:type="pct"/>
            <w:shd w:val="clear" w:color="auto" w:fill="auto"/>
            <w:noWrap/>
            <w:vAlign w:val="center"/>
          </w:tcPr>
          <w:p w14:paraId="5A4AFAC0"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8</w:t>
            </w:r>
            <w:r>
              <w:rPr>
                <w:rFonts w:ascii="Arial" w:eastAsia="仿宋" w:hAnsi="Arial" w:cs="Arial"/>
                <w:bCs/>
                <w:sz w:val="21"/>
                <w:szCs w:val="21"/>
              </w:rPr>
              <w:t>）</w:t>
            </w:r>
          </w:p>
        </w:tc>
        <w:tc>
          <w:tcPr>
            <w:tcW w:w="1422" w:type="pct"/>
            <w:shd w:val="clear" w:color="auto" w:fill="auto"/>
            <w:noWrap/>
            <w:vAlign w:val="center"/>
          </w:tcPr>
          <w:p w14:paraId="0982768A"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销售税费</w:t>
            </w:r>
          </w:p>
        </w:tc>
        <w:tc>
          <w:tcPr>
            <w:tcW w:w="627" w:type="pct"/>
            <w:shd w:val="clear" w:color="auto" w:fill="auto"/>
            <w:noWrap/>
            <w:vAlign w:val="center"/>
          </w:tcPr>
          <w:p w14:paraId="6D0A36FD"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0</w:t>
            </w:r>
          </w:p>
        </w:tc>
        <w:tc>
          <w:tcPr>
            <w:tcW w:w="634" w:type="pct"/>
            <w:shd w:val="clear" w:color="auto" w:fill="auto"/>
            <w:noWrap/>
            <w:vAlign w:val="center"/>
          </w:tcPr>
          <w:p w14:paraId="3BEC8437"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7B991901"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3B613233"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不计取</w:t>
            </w:r>
          </w:p>
        </w:tc>
        <w:tc>
          <w:tcPr>
            <w:tcW w:w="1038" w:type="pct"/>
          </w:tcPr>
          <w:p w14:paraId="1ACFABA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以</w:t>
            </w:r>
            <w:r>
              <w:rPr>
                <w:rFonts w:ascii="Arial" w:eastAsia="仿宋" w:hAnsi="Arial" w:cs="Arial"/>
                <w:sz w:val="21"/>
                <w:szCs w:val="21"/>
              </w:rPr>
              <w:t>“</w:t>
            </w:r>
            <w:r>
              <w:rPr>
                <w:rFonts w:ascii="Arial" w:eastAsia="仿宋" w:hAnsi="Arial" w:cs="Arial"/>
                <w:sz w:val="21"/>
                <w:szCs w:val="21"/>
              </w:rPr>
              <w:t>开发完成后不动产总价</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1+5%</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为基数计取</w:t>
            </w:r>
          </w:p>
        </w:tc>
      </w:tr>
      <w:tr w:rsidR="0062768B" w14:paraId="1A12E963" w14:textId="77777777">
        <w:trPr>
          <w:cantSplit/>
          <w:jc w:val="center"/>
        </w:trPr>
        <w:tc>
          <w:tcPr>
            <w:tcW w:w="332" w:type="pct"/>
            <w:shd w:val="clear" w:color="auto" w:fill="auto"/>
            <w:vAlign w:val="center"/>
          </w:tcPr>
          <w:p w14:paraId="1A6957DF"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w:t>
            </w:r>
          </w:p>
        </w:tc>
        <w:tc>
          <w:tcPr>
            <w:tcW w:w="1422" w:type="pct"/>
            <w:shd w:val="clear" w:color="auto" w:fill="auto"/>
            <w:vAlign w:val="center"/>
          </w:tcPr>
          <w:p w14:paraId="565CBE5B"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投资利润</w:t>
            </w:r>
          </w:p>
        </w:tc>
        <w:tc>
          <w:tcPr>
            <w:tcW w:w="627" w:type="pct"/>
            <w:shd w:val="clear" w:color="auto" w:fill="auto"/>
            <w:vAlign w:val="center"/>
          </w:tcPr>
          <w:p w14:paraId="3EFF99AD" w14:textId="77777777" w:rsidR="0062768B" w:rsidRDefault="0062768B">
            <w:pPr>
              <w:widowControl/>
              <w:adjustRightInd/>
              <w:spacing w:line="240" w:lineRule="exact"/>
              <w:textAlignment w:val="auto"/>
              <w:rPr>
                <w:rFonts w:ascii="Arial" w:eastAsia="仿宋" w:hAnsi="Arial" w:cs="Arial"/>
                <w:bCs/>
                <w:sz w:val="21"/>
                <w:szCs w:val="21"/>
              </w:rPr>
            </w:pPr>
          </w:p>
        </w:tc>
        <w:tc>
          <w:tcPr>
            <w:tcW w:w="634" w:type="pct"/>
            <w:shd w:val="clear" w:color="auto" w:fill="auto"/>
            <w:noWrap/>
            <w:vAlign w:val="center"/>
          </w:tcPr>
          <w:p w14:paraId="6EB75BE9"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0B4DE03A"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vAlign w:val="center"/>
          </w:tcPr>
          <w:p w14:paraId="459FB7CF"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sz w:val="21"/>
                <w:szCs w:val="21"/>
              </w:rPr>
              <w:t>10%</w:t>
            </w:r>
          </w:p>
        </w:tc>
        <w:tc>
          <w:tcPr>
            <w:tcW w:w="1038" w:type="pct"/>
          </w:tcPr>
          <w:p w14:paraId="1B5B5685" w14:textId="77777777" w:rsidR="0062768B" w:rsidRDefault="0062768B">
            <w:pPr>
              <w:widowControl/>
              <w:adjustRightInd/>
              <w:spacing w:line="240" w:lineRule="exact"/>
              <w:textAlignment w:val="auto"/>
              <w:rPr>
                <w:rFonts w:ascii="Arial" w:eastAsia="仿宋" w:hAnsi="Arial" w:cs="Arial"/>
                <w:sz w:val="21"/>
                <w:szCs w:val="21"/>
              </w:rPr>
            </w:pPr>
          </w:p>
        </w:tc>
      </w:tr>
      <w:tr w:rsidR="0062768B" w14:paraId="51C2B137" w14:textId="77777777">
        <w:trPr>
          <w:cantSplit/>
          <w:jc w:val="center"/>
        </w:trPr>
        <w:tc>
          <w:tcPr>
            <w:tcW w:w="332" w:type="pct"/>
            <w:shd w:val="clear" w:color="auto" w:fill="auto"/>
            <w:vAlign w:val="center"/>
          </w:tcPr>
          <w:p w14:paraId="62902FD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w:t>
            </w:r>
          </w:p>
        </w:tc>
        <w:tc>
          <w:tcPr>
            <w:tcW w:w="1422" w:type="pct"/>
            <w:shd w:val="clear" w:color="auto" w:fill="auto"/>
            <w:noWrap/>
            <w:vAlign w:val="center"/>
          </w:tcPr>
          <w:p w14:paraId="5089144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土地购买价格及购地税费应计的利润</w:t>
            </w:r>
          </w:p>
        </w:tc>
        <w:tc>
          <w:tcPr>
            <w:tcW w:w="627" w:type="pct"/>
            <w:shd w:val="clear" w:color="auto" w:fill="auto"/>
            <w:noWrap/>
            <w:vAlign w:val="center"/>
          </w:tcPr>
          <w:p w14:paraId="35DB4C8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bCs/>
                <w:sz w:val="21"/>
                <w:szCs w:val="21"/>
              </w:rPr>
              <w:t>0.1031P</w:t>
            </w:r>
            <w:r>
              <w:rPr>
                <w:rFonts w:ascii="Arial" w:eastAsia="仿宋" w:hAnsi="Arial" w:cs="Arial"/>
                <w:bCs/>
                <w:sz w:val="21"/>
                <w:szCs w:val="21"/>
                <w:vertAlign w:val="subscript"/>
              </w:rPr>
              <w:t>土</w:t>
            </w:r>
          </w:p>
        </w:tc>
        <w:tc>
          <w:tcPr>
            <w:tcW w:w="634" w:type="pct"/>
            <w:shd w:val="clear" w:color="auto" w:fill="auto"/>
            <w:noWrap/>
            <w:vAlign w:val="center"/>
          </w:tcPr>
          <w:p w14:paraId="39135FA9"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3749ABF7"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vAlign w:val="center"/>
          </w:tcPr>
          <w:p w14:paraId="2056E6D8" w14:textId="77777777" w:rsidR="0062768B" w:rsidRDefault="0062768B">
            <w:pPr>
              <w:widowControl/>
              <w:adjustRightInd/>
              <w:spacing w:line="240" w:lineRule="exact"/>
              <w:textAlignment w:val="auto"/>
              <w:rPr>
                <w:rFonts w:ascii="Arial" w:eastAsia="仿宋" w:hAnsi="Arial" w:cs="Arial"/>
                <w:sz w:val="21"/>
                <w:szCs w:val="21"/>
              </w:rPr>
            </w:pPr>
          </w:p>
        </w:tc>
        <w:tc>
          <w:tcPr>
            <w:tcW w:w="1038" w:type="pct"/>
          </w:tcPr>
          <w:p w14:paraId="40E2A43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P+P*</w:t>
            </w:r>
            <w:r>
              <w:rPr>
                <w:rFonts w:ascii="Arial" w:eastAsia="仿宋" w:hAnsi="Arial" w:cs="Arial"/>
                <w:sz w:val="21"/>
                <w:szCs w:val="21"/>
              </w:rPr>
              <w:t>取得税费</w:t>
            </w:r>
            <w:commentRangeStart w:id="416"/>
            <w:r>
              <w:rPr>
                <w:rFonts w:ascii="Arial" w:eastAsia="仿宋" w:hAnsi="Arial" w:cs="Arial"/>
                <w:sz w:val="21"/>
                <w:szCs w:val="21"/>
              </w:rPr>
              <w:t>/(1+5%)</w:t>
            </w:r>
            <w:commentRangeEnd w:id="416"/>
            <w:r w:rsidR="00343FA8">
              <w:rPr>
                <w:rStyle w:val="af6"/>
                <w:lang w:val="zh-CN"/>
              </w:rPr>
              <w:commentReference w:id="416"/>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利润率</w:t>
            </w:r>
          </w:p>
        </w:tc>
      </w:tr>
      <w:tr w:rsidR="0062768B" w14:paraId="1E9784D0" w14:textId="77777777">
        <w:trPr>
          <w:cantSplit/>
          <w:jc w:val="center"/>
        </w:trPr>
        <w:tc>
          <w:tcPr>
            <w:tcW w:w="332" w:type="pct"/>
            <w:shd w:val="clear" w:color="auto" w:fill="auto"/>
            <w:vAlign w:val="center"/>
          </w:tcPr>
          <w:p w14:paraId="35155FA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w:t>
            </w:r>
          </w:p>
        </w:tc>
        <w:tc>
          <w:tcPr>
            <w:tcW w:w="1422" w:type="pct"/>
            <w:shd w:val="clear" w:color="auto" w:fill="auto"/>
            <w:noWrap/>
            <w:vAlign w:val="center"/>
          </w:tcPr>
          <w:p w14:paraId="100346E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5</w:t>
            </w:r>
            <w:r>
              <w:rPr>
                <w:rFonts w:ascii="Arial" w:eastAsia="仿宋" w:hAnsi="Arial" w:cs="Arial"/>
                <w:sz w:val="21"/>
                <w:szCs w:val="21"/>
              </w:rPr>
              <w:t>）项及销售费用产生的利息</w:t>
            </w:r>
          </w:p>
        </w:tc>
        <w:tc>
          <w:tcPr>
            <w:tcW w:w="627" w:type="pct"/>
            <w:shd w:val="clear" w:color="auto" w:fill="auto"/>
            <w:vAlign w:val="center"/>
          </w:tcPr>
          <w:p w14:paraId="68C3354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44.8364</w:t>
            </w:r>
          </w:p>
        </w:tc>
        <w:tc>
          <w:tcPr>
            <w:tcW w:w="634" w:type="pct"/>
            <w:shd w:val="clear" w:color="auto" w:fill="auto"/>
            <w:noWrap/>
            <w:vAlign w:val="center"/>
          </w:tcPr>
          <w:p w14:paraId="23E0A5B6"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7C420FAE"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vAlign w:val="center"/>
          </w:tcPr>
          <w:p w14:paraId="0D607AE1" w14:textId="77777777" w:rsidR="0062768B" w:rsidRDefault="0062768B">
            <w:pPr>
              <w:widowControl/>
              <w:adjustRightInd/>
              <w:spacing w:line="240" w:lineRule="exact"/>
              <w:textAlignment w:val="auto"/>
              <w:rPr>
                <w:rFonts w:ascii="Arial" w:eastAsia="仿宋" w:hAnsi="Arial" w:cs="Arial"/>
                <w:sz w:val="21"/>
                <w:szCs w:val="21"/>
              </w:rPr>
            </w:pPr>
          </w:p>
        </w:tc>
        <w:tc>
          <w:tcPr>
            <w:tcW w:w="1038" w:type="pct"/>
          </w:tcPr>
          <w:p w14:paraId="4956B62C" w14:textId="77777777" w:rsidR="0062768B" w:rsidRDefault="0062768B">
            <w:pPr>
              <w:widowControl/>
              <w:adjustRightInd/>
              <w:spacing w:line="240" w:lineRule="exact"/>
              <w:textAlignment w:val="auto"/>
              <w:rPr>
                <w:rFonts w:ascii="Arial" w:eastAsia="仿宋" w:hAnsi="Arial" w:cs="Arial"/>
                <w:sz w:val="21"/>
                <w:szCs w:val="21"/>
              </w:rPr>
            </w:pPr>
          </w:p>
        </w:tc>
      </w:tr>
      <w:tr w:rsidR="0062768B" w14:paraId="3C43AAE4" w14:textId="77777777">
        <w:trPr>
          <w:cantSplit/>
          <w:jc w:val="center"/>
        </w:trPr>
        <w:tc>
          <w:tcPr>
            <w:tcW w:w="1754" w:type="pct"/>
            <w:gridSpan w:val="2"/>
            <w:shd w:val="clear" w:color="auto" w:fill="auto"/>
            <w:noWrap/>
            <w:vAlign w:val="center"/>
          </w:tcPr>
          <w:p w14:paraId="35CED65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4 .</w:t>
            </w:r>
            <w:r>
              <w:rPr>
                <w:rFonts w:ascii="Arial" w:eastAsia="仿宋" w:hAnsi="Arial" w:cs="Arial"/>
                <w:bCs/>
                <w:sz w:val="21"/>
                <w:szCs w:val="21"/>
              </w:rPr>
              <w:t>土地价格</w:t>
            </w:r>
          </w:p>
        </w:tc>
        <w:tc>
          <w:tcPr>
            <w:tcW w:w="627" w:type="pct"/>
            <w:shd w:val="clear" w:color="auto" w:fill="auto"/>
            <w:noWrap/>
            <w:vAlign w:val="center"/>
          </w:tcPr>
          <w:p w14:paraId="5B01729D"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281.8310</w:t>
            </w:r>
          </w:p>
        </w:tc>
        <w:tc>
          <w:tcPr>
            <w:tcW w:w="634" w:type="pct"/>
            <w:shd w:val="clear" w:color="auto" w:fill="auto"/>
            <w:noWrap/>
            <w:vAlign w:val="center"/>
          </w:tcPr>
          <w:p w14:paraId="6196D4EA"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7272F3B7"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3EFCA419" w14:textId="77777777" w:rsidR="0062768B" w:rsidRDefault="0062768B">
            <w:pPr>
              <w:widowControl/>
              <w:adjustRightInd/>
              <w:spacing w:line="240" w:lineRule="exact"/>
              <w:textAlignment w:val="auto"/>
              <w:rPr>
                <w:rFonts w:ascii="Arial" w:eastAsia="仿宋" w:hAnsi="Arial" w:cs="Arial"/>
                <w:bCs/>
                <w:sz w:val="21"/>
                <w:szCs w:val="21"/>
              </w:rPr>
            </w:pPr>
          </w:p>
        </w:tc>
        <w:tc>
          <w:tcPr>
            <w:tcW w:w="1038" w:type="pct"/>
          </w:tcPr>
          <w:p w14:paraId="7D302D38"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1-2-3</w:t>
            </w:r>
          </w:p>
        </w:tc>
      </w:tr>
      <w:tr w:rsidR="0062768B" w14:paraId="58E73C58" w14:textId="77777777">
        <w:trPr>
          <w:cantSplit/>
          <w:jc w:val="center"/>
        </w:trPr>
        <w:tc>
          <w:tcPr>
            <w:tcW w:w="1754" w:type="pct"/>
            <w:gridSpan w:val="2"/>
            <w:shd w:val="clear" w:color="auto" w:fill="auto"/>
            <w:noWrap/>
            <w:vAlign w:val="center"/>
          </w:tcPr>
          <w:p w14:paraId="0AFFB5E3"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5 .</w:t>
            </w:r>
            <w:r>
              <w:rPr>
                <w:rFonts w:ascii="Arial" w:eastAsia="仿宋" w:hAnsi="Arial" w:cs="Arial"/>
                <w:bCs/>
                <w:sz w:val="21"/>
                <w:szCs w:val="21"/>
              </w:rPr>
              <w:t>楼面价</w:t>
            </w:r>
          </w:p>
        </w:tc>
        <w:tc>
          <w:tcPr>
            <w:tcW w:w="627" w:type="pct"/>
            <w:shd w:val="clear" w:color="auto" w:fill="auto"/>
            <w:noWrap/>
            <w:vAlign w:val="center"/>
          </w:tcPr>
          <w:p w14:paraId="0EF17CC4"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3738</w:t>
            </w:r>
          </w:p>
        </w:tc>
        <w:tc>
          <w:tcPr>
            <w:tcW w:w="634" w:type="pct"/>
            <w:shd w:val="clear" w:color="auto" w:fill="auto"/>
            <w:noWrap/>
            <w:vAlign w:val="center"/>
          </w:tcPr>
          <w:p w14:paraId="614C20A0"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408C8785"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6A37DAA5" w14:textId="77777777" w:rsidR="0062768B" w:rsidRDefault="0062768B">
            <w:pPr>
              <w:widowControl/>
              <w:adjustRightInd/>
              <w:spacing w:line="240" w:lineRule="exact"/>
              <w:textAlignment w:val="auto"/>
              <w:rPr>
                <w:rFonts w:ascii="Arial" w:eastAsia="仿宋" w:hAnsi="Arial" w:cs="Arial"/>
                <w:bCs/>
                <w:sz w:val="21"/>
                <w:szCs w:val="21"/>
              </w:rPr>
            </w:pPr>
          </w:p>
        </w:tc>
        <w:tc>
          <w:tcPr>
            <w:tcW w:w="1038" w:type="pct"/>
          </w:tcPr>
          <w:p w14:paraId="7BCBEA44"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土地价格</w:t>
            </w:r>
            <w:r>
              <w:rPr>
                <w:rFonts w:ascii="Arial" w:eastAsia="仿宋" w:hAnsi="Arial" w:cs="Arial"/>
                <w:sz w:val="21"/>
                <w:szCs w:val="21"/>
              </w:rPr>
              <w:t>÷</w:t>
            </w:r>
            <w:r>
              <w:rPr>
                <w:rFonts w:ascii="Arial" w:eastAsia="仿宋" w:hAnsi="Arial" w:cs="Arial"/>
                <w:sz w:val="21"/>
                <w:szCs w:val="21"/>
              </w:rPr>
              <w:t>建筑规模</w:t>
            </w:r>
          </w:p>
        </w:tc>
      </w:tr>
    </w:tbl>
    <w:p w14:paraId="3A02EFBC" w14:textId="77777777" w:rsidR="0062768B" w:rsidRDefault="00136729">
      <w:pPr>
        <w:spacing w:before="50" w:after="50" w:line="300" w:lineRule="auto"/>
        <w:rPr>
          <w:rFonts w:ascii="Arial" w:eastAsia="仿宋_GB2312" w:hAnsi="Arial" w:cs="Arial"/>
          <w:sz w:val="28"/>
        </w:rPr>
      </w:pPr>
      <w:r>
        <w:rPr>
          <w:rFonts w:ascii="Arial" w:eastAsia="仿宋" w:hAnsi="Arial" w:cs="Arial"/>
          <w:sz w:val="21"/>
          <w:szCs w:val="21"/>
        </w:rPr>
        <w:t>单位：万元、平方米、元</w:t>
      </w:r>
      <w:r>
        <w:rPr>
          <w:rFonts w:ascii="Arial" w:eastAsia="仿宋" w:hAnsi="Arial" w:cs="Arial"/>
          <w:sz w:val="21"/>
          <w:szCs w:val="21"/>
        </w:rPr>
        <w:t>/</w:t>
      </w:r>
      <w:r>
        <w:rPr>
          <w:rFonts w:ascii="Arial" w:eastAsia="仿宋" w:hAnsi="Arial" w:cs="Arial"/>
          <w:sz w:val="21"/>
          <w:szCs w:val="21"/>
        </w:rPr>
        <w:t>平方米</w:t>
      </w:r>
    </w:p>
    <w:p w14:paraId="1DB3CB20" w14:textId="77777777" w:rsidR="0062768B" w:rsidRDefault="0062768B">
      <w:pPr>
        <w:spacing w:line="300" w:lineRule="auto"/>
        <w:ind w:right="14"/>
        <w:rPr>
          <w:rFonts w:ascii="Arial" w:eastAsia="仿宋" w:hAnsi="Arial" w:cs="Arial"/>
          <w:sz w:val="21"/>
          <w:szCs w:val="21"/>
        </w:rPr>
      </w:pPr>
    </w:p>
    <w:p w14:paraId="15845D93" w14:textId="77777777" w:rsidR="0062768B" w:rsidRDefault="00136729">
      <w:pPr>
        <w:spacing w:line="300" w:lineRule="auto"/>
        <w:jc w:val="both"/>
        <w:outlineLvl w:val="1"/>
        <w:rPr>
          <w:rFonts w:ascii="Arial" w:eastAsia="仿宋_GB2312" w:hAnsi="Arial" w:cs="Arial"/>
          <w:b/>
          <w:sz w:val="28"/>
        </w:rPr>
      </w:pPr>
      <w:bookmarkStart w:id="417" w:name="_Toc138063039"/>
      <w:bookmarkStart w:id="418" w:name="_Toc132016758"/>
      <w:bookmarkStart w:id="419" w:name="_Toc132016641"/>
      <w:r>
        <w:rPr>
          <w:rFonts w:ascii="Arial" w:eastAsia="仿宋_GB2312" w:hAnsi="Arial" w:cs="Arial" w:hint="eastAsia"/>
          <w:b/>
          <w:sz w:val="28"/>
        </w:rPr>
        <w:t>三</w:t>
      </w:r>
      <w:r>
        <w:rPr>
          <w:rFonts w:ascii="Arial" w:eastAsia="仿宋_GB2312" w:hAnsi="Arial" w:cs="Arial"/>
          <w:b/>
          <w:sz w:val="28"/>
        </w:rPr>
        <w:t>、求取估价对象各</w:t>
      </w:r>
      <w:proofErr w:type="gramStart"/>
      <w:r>
        <w:rPr>
          <w:rFonts w:ascii="Arial" w:eastAsia="仿宋_GB2312" w:hAnsi="Arial" w:cs="Arial"/>
          <w:b/>
          <w:sz w:val="28"/>
        </w:rPr>
        <w:t>用途楼</w:t>
      </w:r>
      <w:proofErr w:type="gramEnd"/>
      <w:r>
        <w:rPr>
          <w:rFonts w:ascii="Arial" w:eastAsia="仿宋_GB2312" w:hAnsi="Arial" w:cs="Arial"/>
          <w:b/>
          <w:sz w:val="28"/>
        </w:rPr>
        <w:t>面熟地价</w:t>
      </w:r>
      <w:bookmarkEnd w:id="417"/>
      <w:bookmarkEnd w:id="418"/>
      <w:bookmarkEnd w:id="419"/>
    </w:p>
    <w:p w14:paraId="120686CE" w14:textId="77777777" w:rsidR="0062768B" w:rsidRDefault="00136729">
      <w:pPr>
        <w:spacing w:line="300" w:lineRule="auto"/>
        <w:ind w:firstLine="556"/>
        <w:jc w:val="both"/>
        <w:rPr>
          <w:rFonts w:ascii="Arial" w:eastAsia="仿宋_GB2312" w:hAnsi="Arial" w:cs="Arial"/>
          <w:sz w:val="28"/>
          <w:szCs w:val="28"/>
        </w:rPr>
      </w:pPr>
      <w:r>
        <w:rPr>
          <w:rFonts w:ascii="Arial" w:eastAsia="仿宋_GB2312" w:hAnsi="Arial" w:cs="Arial"/>
          <w:sz w:val="28"/>
          <w:szCs w:val="28"/>
        </w:rPr>
        <w:t>根据区域土地市场情况，并结合估价对象的具体特点及估价目的等，此次评估采用了基准地价系数修正法和剩余法确定估价对象住宅</w:t>
      </w:r>
      <w:r>
        <w:rPr>
          <w:rFonts w:ascii="Arial" w:eastAsia="仿宋_GB2312" w:hAnsi="Arial" w:cs="Arial" w:hint="eastAsia"/>
          <w:sz w:val="28"/>
          <w:szCs w:val="28"/>
        </w:rPr>
        <w:t>、商业及公共服务</w:t>
      </w:r>
      <w:proofErr w:type="gramStart"/>
      <w:r>
        <w:rPr>
          <w:rFonts w:ascii="Arial" w:eastAsia="仿宋_GB2312" w:hAnsi="Arial" w:cs="Arial"/>
          <w:sz w:val="28"/>
          <w:szCs w:val="28"/>
        </w:rPr>
        <w:t>用途楼</w:t>
      </w:r>
      <w:proofErr w:type="gramEnd"/>
      <w:r>
        <w:rPr>
          <w:rFonts w:ascii="Arial" w:eastAsia="仿宋_GB2312" w:hAnsi="Arial" w:cs="Arial"/>
          <w:sz w:val="28"/>
          <w:szCs w:val="28"/>
        </w:rPr>
        <w:t>面熟地价水平，由于目前北京市以基准地价作为重要参考</w:t>
      </w:r>
      <w:r>
        <w:rPr>
          <w:rFonts w:ascii="Arial" w:eastAsia="仿宋_GB2312" w:hAnsi="Arial" w:cs="Arial"/>
          <w:sz w:val="28"/>
          <w:szCs w:val="28"/>
        </w:rPr>
        <w:lastRenderedPageBreak/>
        <w:t>依据，要求地价评估必须采用基准地价系数修正法，故基准地价系数修正法是确定政府土地出让收益的重要依据之一；剩余法是从房地产的角度反应土地价格水平，属于对设定开发条件下的</w:t>
      </w:r>
      <w:proofErr w:type="gramStart"/>
      <w:r>
        <w:rPr>
          <w:rFonts w:ascii="Arial" w:eastAsia="仿宋_GB2312" w:hAnsi="Arial" w:cs="Arial"/>
          <w:sz w:val="28"/>
          <w:szCs w:val="28"/>
        </w:rPr>
        <w:t>的</w:t>
      </w:r>
      <w:proofErr w:type="gramEnd"/>
      <w:r>
        <w:rPr>
          <w:rFonts w:ascii="Arial" w:eastAsia="仿宋_GB2312" w:hAnsi="Arial" w:cs="Arial"/>
          <w:sz w:val="28"/>
          <w:szCs w:val="28"/>
        </w:rPr>
        <w:t>地价单独评估的情况，能够体现土地的价格，故剩余法也是判断政府土地出让收益水平的重要依据；</w:t>
      </w:r>
      <w:r>
        <w:rPr>
          <w:rFonts w:ascii="Arial" w:eastAsia="仿宋_GB2312" w:hAnsi="Arial" w:cs="Arial" w:hint="eastAsia"/>
          <w:sz w:val="28"/>
          <w:szCs w:val="28"/>
        </w:rPr>
        <w:t>二</w:t>
      </w:r>
      <w:r>
        <w:rPr>
          <w:rFonts w:ascii="Arial" w:eastAsia="仿宋_GB2312" w:hAnsi="Arial" w:cs="Arial"/>
          <w:sz w:val="28"/>
          <w:szCs w:val="28"/>
        </w:rPr>
        <w:t>种评估方法各有其侧重，从不同的角度反映了估价对象的地价水平，定量分析如下：</w:t>
      </w:r>
    </w:p>
    <w:p w14:paraId="1F6E3B5E" w14:textId="77777777" w:rsidR="0062768B" w:rsidRDefault="00136729">
      <w:pPr>
        <w:spacing w:line="300" w:lineRule="auto"/>
        <w:ind w:firstLine="556"/>
        <w:jc w:val="center"/>
        <w:rPr>
          <w:rFonts w:ascii="Arial" w:eastAsia="仿宋_GB2312" w:hAnsi="Arial" w:cs="Arial"/>
          <w:sz w:val="28"/>
          <w:szCs w:val="28"/>
        </w:rPr>
      </w:pPr>
      <w:r>
        <w:rPr>
          <w:rFonts w:ascii="Arial" w:eastAsia="仿宋_GB2312" w:hAnsi="Arial" w:cs="Arial"/>
          <w:sz w:val="28"/>
          <w:szCs w:val="28"/>
        </w:rPr>
        <w:t>住宅</w:t>
      </w:r>
      <w:r>
        <w:rPr>
          <w:rFonts w:ascii="Arial" w:eastAsia="仿宋_GB2312" w:hAnsi="Arial" w:cs="Arial" w:hint="eastAsia"/>
          <w:sz w:val="28"/>
          <w:szCs w:val="28"/>
        </w:rPr>
        <w:t>、商业（其他</w:t>
      </w:r>
      <w:r>
        <w:rPr>
          <w:rFonts w:ascii="Arial" w:eastAsia="仿宋_GB2312" w:hAnsi="Arial" w:cs="Arial"/>
          <w:sz w:val="28"/>
          <w:szCs w:val="28"/>
        </w:rPr>
        <w:t>商服</w:t>
      </w:r>
      <w:r>
        <w:rPr>
          <w:rFonts w:ascii="Arial" w:eastAsia="仿宋_GB2312" w:hAnsi="Arial" w:cs="Arial" w:hint="eastAsia"/>
          <w:sz w:val="28"/>
          <w:szCs w:val="28"/>
        </w:rPr>
        <w:t>）</w:t>
      </w:r>
      <w:r>
        <w:rPr>
          <w:rFonts w:ascii="Arial" w:eastAsia="仿宋_GB2312" w:hAnsi="Arial" w:cs="Arial"/>
          <w:sz w:val="28"/>
          <w:szCs w:val="28"/>
        </w:rPr>
        <w:t>用途权重确定打分评价体系</w:t>
      </w:r>
    </w:p>
    <w:tbl>
      <w:tblPr>
        <w:tblW w:w="907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35"/>
        <w:gridCol w:w="567"/>
        <w:gridCol w:w="5529"/>
        <w:gridCol w:w="992"/>
        <w:gridCol w:w="849"/>
      </w:tblGrid>
      <w:tr w:rsidR="0062768B" w14:paraId="49AAFF51" w14:textId="77777777">
        <w:trPr>
          <w:cantSplit/>
          <w:jc w:val="center"/>
        </w:trPr>
        <w:tc>
          <w:tcPr>
            <w:tcW w:w="1135" w:type="dxa"/>
            <w:vMerge w:val="restart"/>
            <w:shd w:val="clear" w:color="auto" w:fill="auto"/>
            <w:noWrap/>
            <w:vAlign w:val="center"/>
          </w:tcPr>
          <w:p w14:paraId="62E85745"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评价因素</w:t>
            </w:r>
          </w:p>
        </w:tc>
        <w:tc>
          <w:tcPr>
            <w:tcW w:w="567" w:type="dxa"/>
            <w:vMerge w:val="restart"/>
            <w:shd w:val="clear" w:color="auto" w:fill="auto"/>
            <w:noWrap/>
            <w:vAlign w:val="center"/>
          </w:tcPr>
          <w:p w14:paraId="0668CEE8"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标准分值</w:t>
            </w:r>
          </w:p>
        </w:tc>
        <w:tc>
          <w:tcPr>
            <w:tcW w:w="5529" w:type="dxa"/>
            <w:vMerge w:val="restart"/>
            <w:shd w:val="clear" w:color="auto" w:fill="auto"/>
            <w:noWrap/>
            <w:vAlign w:val="center"/>
          </w:tcPr>
          <w:p w14:paraId="7DD64FC7"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打分考虑因素</w:t>
            </w:r>
          </w:p>
        </w:tc>
        <w:tc>
          <w:tcPr>
            <w:tcW w:w="1841" w:type="dxa"/>
            <w:gridSpan w:val="2"/>
            <w:shd w:val="clear" w:color="auto" w:fill="auto"/>
            <w:noWrap/>
            <w:vAlign w:val="center"/>
          </w:tcPr>
          <w:p w14:paraId="21BF79A9"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估价对象</w:t>
            </w:r>
          </w:p>
        </w:tc>
      </w:tr>
      <w:tr w:rsidR="0062768B" w14:paraId="78CE6075" w14:textId="77777777">
        <w:trPr>
          <w:cantSplit/>
          <w:jc w:val="center"/>
        </w:trPr>
        <w:tc>
          <w:tcPr>
            <w:tcW w:w="1135" w:type="dxa"/>
            <w:vMerge/>
            <w:vAlign w:val="center"/>
          </w:tcPr>
          <w:p w14:paraId="4011A5BC" w14:textId="77777777" w:rsidR="0062768B" w:rsidRDefault="0062768B">
            <w:pPr>
              <w:widowControl/>
              <w:adjustRightInd/>
              <w:spacing w:line="240" w:lineRule="atLeast"/>
              <w:textAlignment w:val="auto"/>
              <w:rPr>
                <w:rFonts w:ascii="Arial" w:eastAsia="仿宋_GB2312" w:hAnsi="Arial" w:cs="Arial"/>
                <w:szCs w:val="24"/>
              </w:rPr>
            </w:pPr>
          </w:p>
        </w:tc>
        <w:tc>
          <w:tcPr>
            <w:tcW w:w="567" w:type="dxa"/>
            <w:vMerge/>
            <w:vAlign w:val="center"/>
          </w:tcPr>
          <w:p w14:paraId="000FF8F0"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vMerge/>
            <w:vAlign w:val="center"/>
          </w:tcPr>
          <w:p w14:paraId="7FCDC847" w14:textId="77777777" w:rsidR="0062768B" w:rsidRDefault="0062768B">
            <w:pPr>
              <w:widowControl/>
              <w:adjustRightInd/>
              <w:spacing w:line="240" w:lineRule="atLeast"/>
              <w:textAlignment w:val="auto"/>
              <w:rPr>
                <w:rFonts w:ascii="Arial" w:eastAsia="仿宋_GB2312" w:hAnsi="Arial" w:cs="Arial"/>
                <w:szCs w:val="24"/>
              </w:rPr>
            </w:pPr>
          </w:p>
        </w:tc>
        <w:tc>
          <w:tcPr>
            <w:tcW w:w="992" w:type="dxa"/>
            <w:shd w:val="clear" w:color="auto" w:fill="auto"/>
            <w:noWrap/>
            <w:vAlign w:val="center"/>
          </w:tcPr>
          <w:p w14:paraId="14895BBC"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基准地价系数修正法</w:t>
            </w:r>
          </w:p>
        </w:tc>
        <w:tc>
          <w:tcPr>
            <w:tcW w:w="849" w:type="dxa"/>
            <w:shd w:val="clear" w:color="auto" w:fill="auto"/>
            <w:noWrap/>
            <w:vAlign w:val="center"/>
          </w:tcPr>
          <w:p w14:paraId="7490F9DC"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剩余法</w:t>
            </w:r>
          </w:p>
        </w:tc>
      </w:tr>
      <w:tr w:rsidR="0062768B" w14:paraId="39003373" w14:textId="77777777">
        <w:trPr>
          <w:cantSplit/>
          <w:jc w:val="center"/>
        </w:trPr>
        <w:tc>
          <w:tcPr>
            <w:tcW w:w="1135" w:type="dxa"/>
            <w:vMerge w:val="restart"/>
            <w:shd w:val="clear" w:color="auto" w:fill="auto"/>
            <w:vAlign w:val="center"/>
          </w:tcPr>
          <w:p w14:paraId="20576C4E"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估价方法的代表性</w:t>
            </w:r>
          </w:p>
        </w:tc>
        <w:tc>
          <w:tcPr>
            <w:tcW w:w="567" w:type="dxa"/>
            <w:vMerge w:val="restart"/>
            <w:shd w:val="clear" w:color="auto" w:fill="auto"/>
            <w:noWrap/>
            <w:vAlign w:val="center"/>
          </w:tcPr>
          <w:p w14:paraId="54E2B34B"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25</w:t>
            </w:r>
          </w:p>
        </w:tc>
        <w:tc>
          <w:tcPr>
            <w:tcW w:w="5529" w:type="dxa"/>
            <w:shd w:val="clear" w:color="auto" w:fill="auto"/>
            <w:noWrap/>
            <w:vAlign w:val="center"/>
          </w:tcPr>
          <w:p w14:paraId="18051E9D"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1.</w:t>
            </w:r>
            <w:r>
              <w:rPr>
                <w:rFonts w:ascii="Arial" w:eastAsia="仿宋_GB2312" w:hAnsi="Arial" w:cs="Arial"/>
                <w:szCs w:val="24"/>
              </w:rPr>
              <w:t>估价方法选取分析充分、合理，取</w:t>
            </w:r>
            <w:r>
              <w:rPr>
                <w:rFonts w:ascii="Arial" w:eastAsia="仿宋_GB2312" w:hAnsi="Arial" w:cs="Arial"/>
                <w:szCs w:val="24"/>
              </w:rPr>
              <w:t>20</w:t>
            </w:r>
            <w:r>
              <w:rPr>
                <w:rFonts w:ascii="Arial" w:eastAsia="仿宋_GB2312" w:hAnsi="Arial" w:cs="Arial"/>
                <w:szCs w:val="24"/>
              </w:rPr>
              <w:t>～</w:t>
            </w:r>
            <w:r>
              <w:rPr>
                <w:rFonts w:ascii="Arial" w:eastAsia="仿宋_GB2312" w:hAnsi="Arial" w:cs="Arial"/>
                <w:szCs w:val="24"/>
              </w:rPr>
              <w:t>25</w:t>
            </w:r>
            <w:r>
              <w:rPr>
                <w:rFonts w:ascii="Arial" w:eastAsia="仿宋_GB2312" w:hAnsi="Arial" w:cs="Arial"/>
                <w:szCs w:val="24"/>
              </w:rPr>
              <w:t>分；</w:t>
            </w:r>
          </w:p>
        </w:tc>
        <w:tc>
          <w:tcPr>
            <w:tcW w:w="992" w:type="dxa"/>
            <w:vMerge w:val="restart"/>
            <w:shd w:val="clear" w:color="auto" w:fill="auto"/>
            <w:noWrap/>
            <w:vAlign w:val="center"/>
          </w:tcPr>
          <w:p w14:paraId="177422C3"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11</w:t>
            </w:r>
          </w:p>
        </w:tc>
        <w:tc>
          <w:tcPr>
            <w:tcW w:w="849" w:type="dxa"/>
            <w:vMerge w:val="restart"/>
            <w:shd w:val="clear" w:color="auto" w:fill="auto"/>
            <w:noWrap/>
            <w:vAlign w:val="center"/>
          </w:tcPr>
          <w:p w14:paraId="5D664F61"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20</w:t>
            </w:r>
          </w:p>
        </w:tc>
      </w:tr>
      <w:tr w:rsidR="0062768B" w14:paraId="2EEFACBF" w14:textId="77777777">
        <w:trPr>
          <w:cantSplit/>
          <w:jc w:val="center"/>
        </w:trPr>
        <w:tc>
          <w:tcPr>
            <w:tcW w:w="1135" w:type="dxa"/>
            <w:vMerge/>
            <w:vAlign w:val="center"/>
          </w:tcPr>
          <w:p w14:paraId="57C29C3E" w14:textId="77777777" w:rsidR="0062768B" w:rsidRDefault="0062768B">
            <w:pPr>
              <w:widowControl/>
              <w:adjustRightInd/>
              <w:spacing w:line="240" w:lineRule="atLeast"/>
              <w:textAlignment w:val="auto"/>
              <w:rPr>
                <w:rFonts w:ascii="Arial" w:eastAsia="仿宋_GB2312" w:hAnsi="Arial" w:cs="Arial"/>
                <w:szCs w:val="24"/>
              </w:rPr>
            </w:pPr>
          </w:p>
        </w:tc>
        <w:tc>
          <w:tcPr>
            <w:tcW w:w="567" w:type="dxa"/>
            <w:vMerge/>
            <w:vAlign w:val="center"/>
          </w:tcPr>
          <w:p w14:paraId="5FF0CBB7"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shd w:val="clear" w:color="auto" w:fill="auto"/>
            <w:noWrap/>
            <w:vAlign w:val="center"/>
          </w:tcPr>
          <w:p w14:paraId="33C4197A"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2.</w:t>
            </w:r>
            <w:r>
              <w:rPr>
                <w:rFonts w:ascii="Arial" w:eastAsia="仿宋_GB2312" w:hAnsi="Arial" w:cs="Arial"/>
                <w:szCs w:val="24"/>
              </w:rPr>
              <w:t>估价方法选取分析较充分、合理，取</w:t>
            </w:r>
            <w:r>
              <w:rPr>
                <w:rFonts w:ascii="Arial" w:eastAsia="仿宋_GB2312" w:hAnsi="Arial" w:cs="Arial"/>
                <w:szCs w:val="24"/>
              </w:rPr>
              <w:t>10</w:t>
            </w:r>
            <w:r>
              <w:rPr>
                <w:rFonts w:ascii="Arial" w:eastAsia="仿宋_GB2312" w:hAnsi="Arial" w:cs="Arial"/>
                <w:szCs w:val="24"/>
              </w:rPr>
              <w:t>～</w:t>
            </w:r>
            <w:r>
              <w:rPr>
                <w:rFonts w:ascii="Arial" w:eastAsia="仿宋_GB2312" w:hAnsi="Arial" w:cs="Arial"/>
                <w:szCs w:val="24"/>
              </w:rPr>
              <w:t>19</w:t>
            </w:r>
            <w:r>
              <w:rPr>
                <w:rFonts w:ascii="Arial" w:eastAsia="仿宋_GB2312" w:hAnsi="Arial" w:cs="Arial"/>
                <w:szCs w:val="24"/>
              </w:rPr>
              <w:t>分；</w:t>
            </w:r>
          </w:p>
        </w:tc>
        <w:tc>
          <w:tcPr>
            <w:tcW w:w="992" w:type="dxa"/>
            <w:vMerge/>
            <w:vAlign w:val="center"/>
          </w:tcPr>
          <w:p w14:paraId="051229AD" w14:textId="77777777" w:rsidR="0062768B" w:rsidRDefault="0062768B">
            <w:pPr>
              <w:widowControl/>
              <w:adjustRightInd/>
              <w:spacing w:line="240" w:lineRule="atLeast"/>
              <w:textAlignment w:val="auto"/>
              <w:rPr>
                <w:rFonts w:ascii="Arial" w:eastAsia="仿宋_GB2312" w:hAnsi="Arial" w:cs="Arial"/>
                <w:szCs w:val="24"/>
              </w:rPr>
            </w:pPr>
          </w:p>
        </w:tc>
        <w:tc>
          <w:tcPr>
            <w:tcW w:w="849" w:type="dxa"/>
            <w:vMerge/>
            <w:vAlign w:val="center"/>
          </w:tcPr>
          <w:p w14:paraId="24D588D9" w14:textId="77777777" w:rsidR="0062768B" w:rsidRDefault="0062768B">
            <w:pPr>
              <w:widowControl/>
              <w:adjustRightInd/>
              <w:spacing w:line="240" w:lineRule="atLeast"/>
              <w:textAlignment w:val="auto"/>
              <w:rPr>
                <w:rFonts w:ascii="Arial" w:eastAsia="仿宋_GB2312" w:hAnsi="Arial" w:cs="Arial"/>
                <w:szCs w:val="24"/>
              </w:rPr>
            </w:pPr>
          </w:p>
        </w:tc>
      </w:tr>
      <w:tr w:rsidR="0062768B" w14:paraId="7FFC5978" w14:textId="77777777">
        <w:trPr>
          <w:cantSplit/>
          <w:jc w:val="center"/>
        </w:trPr>
        <w:tc>
          <w:tcPr>
            <w:tcW w:w="1135" w:type="dxa"/>
            <w:vMerge/>
            <w:vAlign w:val="center"/>
          </w:tcPr>
          <w:p w14:paraId="3BC2F2E7" w14:textId="77777777" w:rsidR="0062768B" w:rsidRDefault="0062768B">
            <w:pPr>
              <w:widowControl/>
              <w:adjustRightInd/>
              <w:spacing w:line="240" w:lineRule="atLeast"/>
              <w:textAlignment w:val="auto"/>
              <w:rPr>
                <w:rFonts w:ascii="Arial" w:eastAsia="仿宋_GB2312" w:hAnsi="Arial" w:cs="Arial"/>
                <w:szCs w:val="24"/>
              </w:rPr>
            </w:pPr>
          </w:p>
        </w:tc>
        <w:tc>
          <w:tcPr>
            <w:tcW w:w="567" w:type="dxa"/>
            <w:vMerge/>
            <w:vAlign w:val="center"/>
          </w:tcPr>
          <w:p w14:paraId="40ED67C0"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shd w:val="clear" w:color="auto" w:fill="auto"/>
            <w:noWrap/>
            <w:vAlign w:val="center"/>
          </w:tcPr>
          <w:p w14:paraId="6EB216CD"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3.</w:t>
            </w:r>
            <w:r>
              <w:rPr>
                <w:rFonts w:ascii="Arial" w:eastAsia="仿宋_GB2312" w:hAnsi="Arial" w:cs="Arial"/>
                <w:szCs w:val="24"/>
              </w:rPr>
              <w:t>估价方法选取分析较不充分，取</w:t>
            </w:r>
            <w:r>
              <w:rPr>
                <w:rFonts w:ascii="Arial" w:eastAsia="仿宋_GB2312" w:hAnsi="Arial" w:cs="Arial"/>
                <w:szCs w:val="24"/>
              </w:rPr>
              <w:t>0</w:t>
            </w:r>
            <w:r>
              <w:rPr>
                <w:rFonts w:ascii="Arial" w:eastAsia="仿宋_GB2312" w:hAnsi="Arial" w:cs="Arial"/>
                <w:szCs w:val="24"/>
              </w:rPr>
              <w:t>～</w:t>
            </w:r>
            <w:r>
              <w:rPr>
                <w:rFonts w:ascii="Arial" w:eastAsia="仿宋_GB2312" w:hAnsi="Arial" w:cs="Arial"/>
                <w:szCs w:val="24"/>
              </w:rPr>
              <w:t>9</w:t>
            </w:r>
            <w:r>
              <w:rPr>
                <w:rFonts w:ascii="Arial" w:eastAsia="仿宋_GB2312" w:hAnsi="Arial" w:cs="Arial"/>
                <w:szCs w:val="24"/>
              </w:rPr>
              <w:t>分；</w:t>
            </w:r>
          </w:p>
        </w:tc>
        <w:tc>
          <w:tcPr>
            <w:tcW w:w="992" w:type="dxa"/>
            <w:vMerge/>
            <w:vAlign w:val="center"/>
          </w:tcPr>
          <w:p w14:paraId="41219F73" w14:textId="77777777" w:rsidR="0062768B" w:rsidRDefault="0062768B">
            <w:pPr>
              <w:widowControl/>
              <w:adjustRightInd/>
              <w:spacing w:line="240" w:lineRule="atLeast"/>
              <w:textAlignment w:val="auto"/>
              <w:rPr>
                <w:rFonts w:ascii="Arial" w:eastAsia="仿宋_GB2312" w:hAnsi="Arial" w:cs="Arial"/>
                <w:szCs w:val="24"/>
              </w:rPr>
            </w:pPr>
          </w:p>
        </w:tc>
        <w:tc>
          <w:tcPr>
            <w:tcW w:w="849" w:type="dxa"/>
            <w:vMerge/>
            <w:vAlign w:val="center"/>
          </w:tcPr>
          <w:p w14:paraId="41EEC4B0" w14:textId="77777777" w:rsidR="0062768B" w:rsidRDefault="0062768B">
            <w:pPr>
              <w:widowControl/>
              <w:adjustRightInd/>
              <w:spacing w:line="240" w:lineRule="atLeast"/>
              <w:textAlignment w:val="auto"/>
              <w:rPr>
                <w:rFonts w:ascii="Arial" w:eastAsia="仿宋_GB2312" w:hAnsi="Arial" w:cs="Arial"/>
                <w:szCs w:val="24"/>
              </w:rPr>
            </w:pPr>
          </w:p>
        </w:tc>
      </w:tr>
      <w:tr w:rsidR="0062768B" w14:paraId="1CB7DE31" w14:textId="77777777">
        <w:trPr>
          <w:cantSplit/>
          <w:jc w:val="center"/>
        </w:trPr>
        <w:tc>
          <w:tcPr>
            <w:tcW w:w="1135" w:type="dxa"/>
            <w:vMerge w:val="restart"/>
            <w:shd w:val="clear" w:color="auto" w:fill="auto"/>
            <w:vAlign w:val="center"/>
          </w:tcPr>
          <w:p w14:paraId="0F014004"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估价方法所要求的估价资料的完整性</w:t>
            </w:r>
          </w:p>
        </w:tc>
        <w:tc>
          <w:tcPr>
            <w:tcW w:w="567" w:type="dxa"/>
            <w:vMerge w:val="restart"/>
            <w:shd w:val="clear" w:color="auto" w:fill="auto"/>
            <w:vAlign w:val="center"/>
          </w:tcPr>
          <w:p w14:paraId="3E0190D3"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15</w:t>
            </w:r>
          </w:p>
        </w:tc>
        <w:tc>
          <w:tcPr>
            <w:tcW w:w="5529" w:type="dxa"/>
            <w:shd w:val="clear" w:color="auto" w:fill="auto"/>
            <w:noWrap/>
            <w:vAlign w:val="center"/>
          </w:tcPr>
          <w:p w14:paraId="5D1DD168"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1.</w:t>
            </w:r>
            <w:r>
              <w:rPr>
                <w:rFonts w:ascii="Arial" w:eastAsia="仿宋_GB2312" w:hAnsi="Arial" w:cs="Arial"/>
                <w:szCs w:val="24"/>
              </w:rPr>
              <w:t>估价资料完整，来源依据充分，取</w:t>
            </w:r>
            <w:r>
              <w:rPr>
                <w:rFonts w:ascii="Arial" w:eastAsia="仿宋_GB2312" w:hAnsi="Arial" w:cs="Arial"/>
                <w:szCs w:val="24"/>
              </w:rPr>
              <w:t>10</w:t>
            </w:r>
            <w:r>
              <w:rPr>
                <w:rFonts w:ascii="Arial" w:eastAsia="仿宋_GB2312" w:hAnsi="Arial" w:cs="Arial"/>
                <w:szCs w:val="24"/>
              </w:rPr>
              <w:t>～</w:t>
            </w:r>
            <w:r>
              <w:rPr>
                <w:rFonts w:ascii="Arial" w:eastAsia="仿宋_GB2312" w:hAnsi="Arial" w:cs="Arial"/>
                <w:szCs w:val="24"/>
              </w:rPr>
              <w:t>15</w:t>
            </w:r>
            <w:r>
              <w:rPr>
                <w:rFonts w:ascii="Arial" w:eastAsia="仿宋_GB2312" w:hAnsi="Arial" w:cs="Arial"/>
                <w:szCs w:val="24"/>
              </w:rPr>
              <w:t>分；</w:t>
            </w:r>
          </w:p>
        </w:tc>
        <w:tc>
          <w:tcPr>
            <w:tcW w:w="992" w:type="dxa"/>
            <w:vMerge w:val="restart"/>
            <w:shd w:val="clear" w:color="auto" w:fill="auto"/>
            <w:noWrap/>
            <w:vAlign w:val="center"/>
          </w:tcPr>
          <w:p w14:paraId="5BF76C0E"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7</w:t>
            </w:r>
          </w:p>
        </w:tc>
        <w:tc>
          <w:tcPr>
            <w:tcW w:w="849" w:type="dxa"/>
            <w:vMerge w:val="restart"/>
            <w:shd w:val="clear" w:color="auto" w:fill="auto"/>
            <w:noWrap/>
            <w:vAlign w:val="center"/>
          </w:tcPr>
          <w:p w14:paraId="3DF936CB"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15</w:t>
            </w:r>
          </w:p>
        </w:tc>
      </w:tr>
      <w:tr w:rsidR="0062768B" w14:paraId="09CA16ED" w14:textId="77777777">
        <w:trPr>
          <w:cantSplit/>
          <w:jc w:val="center"/>
        </w:trPr>
        <w:tc>
          <w:tcPr>
            <w:tcW w:w="1135" w:type="dxa"/>
            <w:vMerge/>
            <w:vAlign w:val="center"/>
          </w:tcPr>
          <w:p w14:paraId="54D3CC79" w14:textId="77777777" w:rsidR="0062768B" w:rsidRDefault="0062768B">
            <w:pPr>
              <w:widowControl/>
              <w:adjustRightInd/>
              <w:spacing w:line="240" w:lineRule="atLeast"/>
              <w:textAlignment w:val="auto"/>
              <w:rPr>
                <w:rFonts w:ascii="Arial" w:eastAsia="仿宋_GB2312" w:hAnsi="Arial" w:cs="Arial"/>
                <w:szCs w:val="24"/>
              </w:rPr>
            </w:pPr>
          </w:p>
        </w:tc>
        <w:tc>
          <w:tcPr>
            <w:tcW w:w="567" w:type="dxa"/>
            <w:vMerge/>
            <w:vAlign w:val="center"/>
          </w:tcPr>
          <w:p w14:paraId="5C583385"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shd w:val="clear" w:color="auto" w:fill="auto"/>
            <w:noWrap/>
            <w:vAlign w:val="center"/>
          </w:tcPr>
          <w:p w14:paraId="3EBD4EEE"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2.</w:t>
            </w:r>
            <w:r>
              <w:rPr>
                <w:rFonts w:ascii="Arial" w:eastAsia="仿宋_GB2312" w:hAnsi="Arial" w:cs="Arial"/>
                <w:szCs w:val="24"/>
              </w:rPr>
              <w:t>估价资料有欠缺，来源依据较不充分，取</w:t>
            </w:r>
            <w:r>
              <w:rPr>
                <w:rFonts w:ascii="Arial" w:eastAsia="仿宋_GB2312" w:hAnsi="Arial" w:cs="Arial"/>
                <w:szCs w:val="24"/>
              </w:rPr>
              <w:t>0</w:t>
            </w:r>
            <w:r>
              <w:rPr>
                <w:rFonts w:ascii="Arial" w:eastAsia="仿宋_GB2312" w:hAnsi="Arial" w:cs="Arial"/>
                <w:szCs w:val="24"/>
              </w:rPr>
              <w:t>～</w:t>
            </w:r>
            <w:r>
              <w:rPr>
                <w:rFonts w:ascii="Arial" w:eastAsia="仿宋_GB2312" w:hAnsi="Arial" w:cs="Arial"/>
                <w:szCs w:val="24"/>
              </w:rPr>
              <w:t>9</w:t>
            </w:r>
            <w:r>
              <w:rPr>
                <w:rFonts w:ascii="Arial" w:eastAsia="仿宋_GB2312" w:hAnsi="Arial" w:cs="Arial"/>
                <w:szCs w:val="24"/>
              </w:rPr>
              <w:t>分；</w:t>
            </w:r>
          </w:p>
        </w:tc>
        <w:tc>
          <w:tcPr>
            <w:tcW w:w="992" w:type="dxa"/>
            <w:vMerge/>
            <w:vAlign w:val="center"/>
          </w:tcPr>
          <w:p w14:paraId="7F89E396" w14:textId="77777777" w:rsidR="0062768B" w:rsidRDefault="0062768B">
            <w:pPr>
              <w:widowControl/>
              <w:adjustRightInd/>
              <w:spacing w:line="240" w:lineRule="atLeast"/>
              <w:textAlignment w:val="auto"/>
              <w:rPr>
                <w:rFonts w:ascii="Arial" w:eastAsia="仿宋_GB2312" w:hAnsi="Arial" w:cs="Arial"/>
                <w:szCs w:val="24"/>
              </w:rPr>
            </w:pPr>
          </w:p>
        </w:tc>
        <w:tc>
          <w:tcPr>
            <w:tcW w:w="849" w:type="dxa"/>
            <w:vMerge/>
            <w:vAlign w:val="center"/>
          </w:tcPr>
          <w:p w14:paraId="67ECFD9B" w14:textId="77777777" w:rsidR="0062768B" w:rsidRDefault="0062768B">
            <w:pPr>
              <w:widowControl/>
              <w:adjustRightInd/>
              <w:spacing w:line="240" w:lineRule="atLeast"/>
              <w:textAlignment w:val="auto"/>
              <w:rPr>
                <w:rFonts w:ascii="Arial" w:eastAsia="仿宋_GB2312" w:hAnsi="Arial" w:cs="Arial"/>
                <w:szCs w:val="24"/>
              </w:rPr>
            </w:pPr>
          </w:p>
        </w:tc>
      </w:tr>
      <w:tr w:rsidR="0062768B" w14:paraId="6EDBD616" w14:textId="77777777">
        <w:trPr>
          <w:cantSplit/>
          <w:jc w:val="center"/>
        </w:trPr>
        <w:tc>
          <w:tcPr>
            <w:tcW w:w="1135" w:type="dxa"/>
            <w:vMerge w:val="restart"/>
            <w:shd w:val="clear" w:color="auto" w:fill="auto"/>
            <w:vAlign w:val="center"/>
          </w:tcPr>
          <w:p w14:paraId="28DE3FFD"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参数选取的客观性</w:t>
            </w:r>
          </w:p>
        </w:tc>
        <w:tc>
          <w:tcPr>
            <w:tcW w:w="567" w:type="dxa"/>
            <w:vMerge w:val="restart"/>
            <w:shd w:val="clear" w:color="auto" w:fill="auto"/>
            <w:vAlign w:val="center"/>
          </w:tcPr>
          <w:p w14:paraId="7149A818"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15</w:t>
            </w:r>
          </w:p>
        </w:tc>
        <w:tc>
          <w:tcPr>
            <w:tcW w:w="5529" w:type="dxa"/>
            <w:shd w:val="clear" w:color="auto" w:fill="auto"/>
            <w:noWrap/>
            <w:vAlign w:val="center"/>
          </w:tcPr>
          <w:p w14:paraId="31C2A318"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1.</w:t>
            </w:r>
            <w:r>
              <w:rPr>
                <w:rFonts w:ascii="Arial" w:eastAsia="仿宋_GB2312" w:hAnsi="Arial" w:cs="Arial"/>
                <w:szCs w:val="24"/>
              </w:rPr>
              <w:t>参数从市场上获取，或从权威机构发布的信息上获取，取</w:t>
            </w:r>
            <w:r>
              <w:rPr>
                <w:rFonts w:ascii="Arial" w:eastAsia="仿宋_GB2312" w:hAnsi="Arial" w:cs="Arial"/>
                <w:szCs w:val="24"/>
              </w:rPr>
              <w:t>10</w:t>
            </w:r>
            <w:r>
              <w:rPr>
                <w:rFonts w:ascii="Arial" w:eastAsia="仿宋_GB2312" w:hAnsi="Arial" w:cs="Arial"/>
                <w:szCs w:val="24"/>
              </w:rPr>
              <w:t>～</w:t>
            </w:r>
            <w:r>
              <w:rPr>
                <w:rFonts w:ascii="Arial" w:eastAsia="仿宋_GB2312" w:hAnsi="Arial" w:cs="Arial"/>
                <w:szCs w:val="24"/>
              </w:rPr>
              <w:t>15</w:t>
            </w:r>
            <w:r>
              <w:rPr>
                <w:rFonts w:ascii="Arial" w:eastAsia="仿宋_GB2312" w:hAnsi="Arial" w:cs="Arial"/>
                <w:szCs w:val="24"/>
              </w:rPr>
              <w:t>分；</w:t>
            </w:r>
          </w:p>
        </w:tc>
        <w:tc>
          <w:tcPr>
            <w:tcW w:w="992" w:type="dxa"/>
            <w:vMerge w:val="restart"/>
            <w:shd w:val="clear" w:color="auto" w:fill="auto"/>
            <w:noWrap/>
            <w:vAlign w:val="center"/>
          </w:tcPr>
          <w:p w14:paraId="12F7ABA9"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8</w:t>
            </w:r>
          </w:p>
        </w:tc>
        <w:tc>
          <w:tcPr>
            <w:tcW w:w="849" w:type="dxa"/>
            <w:vMerge w:val="restart"/>
            <w:shd w:val="clear" w:color="auto" w:fill="auto"/>
            <w:noWrap/>
            <w:vAlign w:val="center"/>
          </w:tcPr>
          <w:p w14:paraId="42812100"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15</w:t>
            </w:r>
          </w:p>
        </w:tc>
      </w:tr>
      <w:tr w:rsidR="0062768B" w14:paraId="7F2E2E21" w14:textId="77777777">
        <w:trPr>
          <w:cantSplit/>
          <w:jc w:val="center"/>
        </w:trPr>
        <w:tc>
          <w:tcPr>
            <w:tcW w:w="1135" w:type="dxa"/>
            <w:vMerge/>
            <w:vAlign w:val="center"/>
          </w:tcPr>
          <w:p w14:paraId="02B10913" w14:textId="77777777" w:rsidR="0062768B" w:rsidRDefault="0062768B">
            <w:pPr>
              <w:widowControl/>
              <w:adjustRightInd/>
              <w:spacing w:line="240" w:lineRule="atLeast"/>
              <w:textAlignment w:val="auto"/>
              <w:rPr>
                <w:rFonts w:ascii="Arial" w:eastAsia="仿宋_GB2312" w:hAnsi="Arial" w:cs="Arial"/>
                <w:szCs w:val="24"/>
              </w:rPr>
            </w:pPr>
          </w:p>
        </w:tc>
        <w:tc>
          <w:tcPr>
            <w:tcW w:w="567" w:type="dxa"/>
            <w:vMerge/>
            <w:vAlign w:val="center"/>
          </w:tcPr>
          <w:p w14:paraId="5CB5D3C6"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shd w:val="clear" w:color="auto" w:fill="auto"/>
            <w:noWrap/>
            <w:vAlign w:val="center"/>
          </w:tcPr>
          <w:p w14:paraId="468A43C6"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2.</w:t>
            </w:r>
            <w:r>
              <w:rPr>
                <w:rFonts w:ascii="Arial" w:eastAsia="仿宋_GB2312" w:hAnsi="Arial" w:cs="Arial"/>
                <w:szCs w:val="24"/>
              </w:rPr>
              <w:t>部分参数为自行分析取得，理由较充分，取</w:t>
            </w:r>
            <w:r>
              <w:rPr>
                <w:rFonts w:ascii="Arial" w:eastAsia="仿宋_GB2312" w:hAnsi="Arial" w:cs="Arial"/>
                <w:szCs w:val="24"/>
              </w:rPr>
              <w:t>0</w:t>
            </w:r>
            <w:r>
              <w:rPr>
                <w:rFonts w:ascii="Arial" w:eastAsia="仿宋_GB2312" w:hAnsi="Arial" w:cs="Arial"/>
                <w:szCs w:val="24"/>
              </w:rPr>
              <w:t>～</w:t>
            </w:r>
            <w:r>
              <w:rPr>
                <w:rFonts w:ascii="Arial" w:eastAsia="仿宋_GB2312" w:hAnsi="Arial" w:cs="Arial"/>
                <w:szCs w:val="24"/>
              </w:rPr>
              <w:t>9</w:t>
            </w:r>
            <w:r>
              <w:rPr>
                <w:rFonts w:ascii="Arial" w:eastAsia="仿宋_GB2312" w:hAnsi="Arial" w:cs="Arial"/>
                <w:szCs w:val="24"/>
              </w:rPr>
              <w:t>分；</w:t>
            </w:r>
          </w:p>
        </w:tc>
        <w:tc>
          <w:tcPr>
            <w:tcW w:w="992" w:type="dxa"/>
            <w:vMerge/>
            <w:vAlign w:val="center"/>
          </w:tcPr>
          <w:p w14:paraId="4156E28A" w14:textId="77777777" w:rsidR="0062768B" w:rsidRDefault="0062768B">
            <w:pPr>
              <w:widowControl/>
              <w:adjustRightInd/>
              <w:spacing w:line="240" w:lineRule="atLeast"/>
              <w:textAlignment w:val="auto"/>
              <w:rPr>
                <w:rFonts w:ascii="Arial" w:eastAsia="仿宋_GB2312" w:hAnsi="Arial" w:cs="Arial"/>
                <w:szCs w:val="24"/>
              </w:rPr>
            </w:pPr>
          </w:p>
        </w:tc>
        <w:tc>
          <w:tcPr>
            <w:tcW w:w="849" w:type="dxa"/>
            <w:vMerge/>
            <w:vAlign w:val="center"/>
          </w:tcPr>
          <w:p w14:paraId="3D3D9948" w14:textId="77777777" w:rsidR="0062768B" w:rsidRDefault="0062768B">
            <w:pPr>
              <w:widowControl/>
              <w:adjustRightInd/>
              <w:spacing w:line="240" w:lineRule="atLeast"/>
              <w:textAlignment w:val="auto"/>
              <w:rPr>
                <w:rFonts w:ascii="Arial" w:eastAsia="仿宋_GB2312" w:hAnsi="Arial" w:cs="Arial"/>
                <w:szCs w:val="24"/>
              </w:rPr>
            </w:pPr>
          </w:p>
        </w:tc>
      </w:tr>
      <w:tr w:rsidR="0062768B" w14:paraId="4603A9FE" w14:textId="77777777">
        <w:trPr>
          <w:cantSplit/>
          <w:jc w:val="center"/>
        </w:trPr>
        <w:tc>
          <w:tcPr>
            <w:tcW w:w="1135" w:type="dxa"/>
            <w:vMerge w:val="restart"/>
            <w:shd w:val="clear" w:color="auto" w:fill="auto"/>
            <w:vAlign w:val="center"/>
          </w:tcPr>
          <w:p w14:paraId="29AC9310"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参数确定的时效性</w:t>
            </w:r>
          </w:p>
        </w:tc>
        <w:tc>
          <w:tcPr>
            <w:tcW w:w="567" w:type="dxa"/>
            <w:vMerge w:val="restart"/>
            <w:shd w:val="clear" w:color="auto" w:fill="auto"/>
            <w:vAlign w:val="center"/>
          </w:tcPr>
          <w:p w14:paraId="5C929604"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15</w:t>
            </w:r>
          </w:p>
        </w:tc>
        <w:tc>
          <w:tcPr>
            <w:tcW w:w="5529" w:type="dxa"/>
            <w:shd w:val="clear" w:color="auto" w:fill="auto"/>
            <w:noWrap/>
            <w:vAlign w:val="center"/>
          </w:tcPr>
          <w:p w14:paraId="7E92030C"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1.</w:t>
            </w:r>
            <w:r>
              <w:rPr>
                <w:rFonts w:ascii="Arial" w:eastAsia="仿宋_GB2312" w:hAnsi="Arial" w:cs="Arial"/>
                <w:szCs w:val="24"/>
              </w:rPr>
              <w:t>参数在规定的时效范围内，且距估价期日未超过</w:t>
            </w:r>
            <w:r>
              <w:rPr>
                <w:rFonts w:ascii="Arial" w:eastAsia="仿宋_GB2312" w:hAnsi="Arial" w:cs="Arial"/>
                <w:szCs w:val="24"/>
              </w:rPr>
              <w:t>1</w:t>
            </w:r>
            <w:r>
              <w:rPr>
                <w:rFonts w:ascii="Arial" w:eastAsia="仿宋_GB2312" w:hAnsi="Arial" w:cs="Arial"/>
                <w:szCs w:val="24"/>
              </w:rPr>
              <w:t>年，取</w:t>
            </w:r>
            <w:r>
              <w:rPr>
                <w:rFonts w:ascii="Arial" w:eastAsia="仿宋_GB2312" w:hAnsi="Arial" w:cs="Arial"/>
                <w:szCs w:val="24"/>
              </w:rPr>
              <w:t>10</w:t>
            </w:r>
            <w:r>
              <w:rPr>
                <w:rFonts w:ascii="Arial" w:eastAsia="仿宋_GB2312" w:hAnsi="Arial" w:cs="Arial"/>
                <w:szCs w:val="24"/>
              </w:rPr>
              <w:t>～</w:t>
            </w:r>
            <w:r>
              <w:rPr>
                <w:rFonts w:ascii="Arial" w:eastAsia="仿宋_GB2312" w:hAnsi="Arial" w:cs="Arial"/>
                <w:szCs w:val="24"/>
              </w:rPr>
              <w:t>15</w:t>
            </w:r>
            <w:r>
              <w:rPr>
                <w:rFonts w:ascii="Arial" w:eastAsia="仿宋_GB2312" w:hAnsi="Arial" w:cs="Arial"/>
                <w:szCs w:val="24"/>
              </w:rPr>
              <w:t>分；</w:t>
            </w:r>
          </w:p>
        </w:tc>
        <w:tc>
          <w:tcPr>
            <w:tcW w:w="992" w:type="dxa"/>
            <w:vMerge w:val="restart"/>
            <w:shd w:val="clear" w:color="auto" w:fill="auto"/>
            <w:noWrap/>
            <w:vAlign w:val="center"/>
          </w:tcPr>
          <w:p w14:paraId="428BDD45"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8</w:t>
            </w:r>
          </w:p>
        </w:tc>
        <w:tc>
          <w:tcPr>
            <w:tcW w:w="849" w:type="dxa"/>
            <w:vMerge w:val="restart"/>
            <w:shd w:val="clear" w:color="auto" w:fill="auto"/>
            <w:noWrap/>
            <w:vAlign w:val="center"/>
          </w:tcPr>
          <w:p w14:paraId="0AB467ED"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15</w:t>
            </w:r>
          </w:p>
        </w:tc>
      </w:tr>
      <w:tr w:rsidR="0062768B" w14:paraId="29AAA7E5" w14:textId="77777777">
        <w:trPr>
          <w:cantSplit/>
          <w:jc w:val="center"/>
        </w:trPr>
        <w:tc>
          <w:tcPr>
            <w:tcW w:w="1135" w:type="dxa"/>
            <w:vMerge/>
            <w:vAlign w:val="center"/>
          </w:tcPr>
          <w:p w14:paraId="159D4646" w14:textId="77777777" w:rsidR="0062768B" w:rsidRDefault="0062768B">
            <w:pPr>
              <w:widowControl/>
              <w:adjustRightInd/>
              <w:spacing w:line="240" w:lineRule="atLeast"/>
              <w:textAlignment w:val="auto"/>
              <w:rPr>
                <w:rFonts w:ascii="Arial" w:eastAsia="仿宋_GB2312" w:hAnsi="Arial" w:cs="Arial"/>
                <w:szCs w:val="24"/>
              </w:rPr>
            </w:pPr>
          </w:p>
        </w:tc>
        <w:tc>
          <w:tcPr>
            <w:tcW w:w="567" w:type="dxa"/>
            <w:vMerge/>
            <w:vAlign w:val="center"/>
          </w:tcPr>
          <w:p w14:paraId="4D9DAC78"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shd w:val="clear" w:color="auto" w:fill="auto"/>
            <w:noWrap/>
            <w:vAlign w:val="center"/>
          </w:tcPr>
          <w:p w14:paraId="34EE448C"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2.</w:t>
            </w:r>
            <w:r>
              <w:rPr>
                <w:rFonts w:ascii="Arial" w:eastAsia="仿宋_GB2312" w:hAnsi="Arial" w:cs="Arial"/>
                <w:szCs w:val="24"/>
              </w:rPr>
              <w:t>参数在规定的时效范围内，但距估价期日超过</w:t>
            </w:r>
            <w:r>
              <w:rPr>
                <w:rFonts w:ascii="Arial" w:eastAsia="仿宋_GB2312" w:hAnsi="Arial" w:cs="Arial"/>
                <w:szCs w:val="24"/>
              </w:rPr>
              <w:t>1</w:t>
            </w:r>
            <w:r>
              <w:rPr>
                <w:rFonts w:ascii="Arial" w:eastAsia="仿宋_GB2312" w:hAnsi="Arial" w:cs="Arial"/>
                <w:szCs w:val="24"/>
              </w:rPr>
              <w:t>年，取</w:t>
            </w:r>
            <w:r>
              <w:rPr>
                <w:rFonts w:ascii="Arial" w:eastAsia="仿宋_GB2312" w:hAnsi="Arial" w:cs="Arial"/>
                <w:szCs w:val="24"/>
              </w:rPr>
              <w:t>0</w:t>
            </w:r>
            <w:r>
              <w:rPr>
                <w:rFonts w:ascii="Arial" w:eastAsia="仿宋_GB2312" w:hAnsi="Arial" w:cs="Arial"/>
                <w:szCs w:val="24"/>
              </w:rPr>
              <w:t>～</w:t>
            </w:r>
            <w:r>
              <w:rPr>
                <w:rFonts w:ascii="Arial" w:eastAsia="仿宋_GB2312" w:hAnsi="Arial" w:cs="Arial"/>
                <w:szCs w:val="24"/>
              </w:rPr>
              <w:t>9</w:t>
            </w:r>
            <w:r>
              <w:rPr>
                <w:rFonts w:ascii="Arial" w:eastAsia="仿宋_GB2312" w:hAnsi="Arial" w:cs="Arial"/>
                <w:szCs w:val="24"/>
              </w:rPr>
              <w:t>分；</w:t>
            </w:r>
          </w:p>
        </w:tc>
        <w:tc>
          <w:tcPr>
            <w:tcW w:w="992" w:type="dxa"/>
            <w:vMerge/>
            <w:vAlign w:val="center"/>
          </w:tcPr>
          <w:p w14:paraId="33C8773E" w14:textId="77777777" w:rsidR="0062768B" w:rsidRDefault="0062768B">
            <w:pPr>
              <w:widowControl/>
              <w:adjustRightInd/>
              <w:spacing w:line="240" w:lineRule="atLeast"/>
              <w:textAlignment w:val="auto"/>
              <w:rPr>
                <w:rFonts w:ascii="Arial" w:eastAsia="仿宋_GB2312" w:hAnsi="Arial" w:cs="Arial"/>
                <w:szCs w:val="24"/>
              </w:rPr>
            </w:pPr>
          </w:p>
        </w:tc>
        <w:tc>
          <w:tcPr>
            <w:tcW w:w="849" w:type="dxa"/>
            <w:vMerge/>
            <w:vAlign w:val="center"/>
          </w:tcPr>
          <w:p w14:paraId="2C934AD5" w14:textId="77777777" w:rsidR="0062768B" w:rsidRDefault="0062768B">
            <w:pPr>
              <w:widowControl/>
              <w:adjustRightInd/>
              <w:spacing w:line="240" w:lineRule="atLeast"/>
              <w:textAlignment w:val="auto"/>
              <w:rPr>
                <w:rFonts w:ascii="Arial" w:eastAsia="仿宋_GB2312" w:hAnsi="Arial" w:cs="Arial"/>
                <w:szCs w:val="24"/>
              </w:rPr>
            </w:pPr>
          </w:p>
        </w:tc>
      </w:tr>
      <w:tr w:rsidR="0062768B" w14:paraId="392D9E1B" w14:textId="77777777">
        <w:trPr>
          <w:cantSplit/>
          <w:jc w:val="center"/>
        </w:trPr>
        <w:tc>
          <w:tcPr>
            <w:tcW w:w="1135" w:type="dxa"/>
            <w:vMerge w:val="restart"/>
            <w:shd w:val="clear" w:color="auto" w:fill="auto"/>
            <w:vAlign w:val="center"/>
          </w:tcPr>
          <w:p w14:paraId="12F7BFDB"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估价结果的现势性</w:t>
            </w:r>
          </w:p>
        </w:tc>
        <w:tc>
          <w:tcPr>
            <w:tcW w:w="567" w:type="dxa"/>
            <w:vMerge w:val="restart"/>
            <w:shd w:val="clear" w:color="auto" w:fill="auto"/>
            <w:noWrap/>
            <w:vAlign w:val="center"/>
          </w:tcPr>
          <w:p w14:paraId="4587E8DC"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30</w:t>
            </w:r>
          </w:p>
        </w:tc>
        <w:tc>
          <w:tcPr>
            <w:tcW w:w="5529" w:type="dxa"/>
            <w:shd w:val="clear" w:color="auto" w:fill="auto"/>
            <w:noWrap/>
            <w:vAlign w:val="center"/>
          </w:tcPr>
          <w:p w14:paraId="09FD1186"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1.</w:t>
            </w:r>
            <w:r>
              <w:rPr>
                <w:rFonts w:ascii="Arial" w:eastAsia="仿宋_GB2312" w:hAnsi="Arial" w:cs="Arial"/>
                <w:szCs w:val="24"/>
              </w:rPr>
              <w:t>估价结果与同类用途房地产市场价格水平一致，且考虑了房地产市场发展趋势，取</w:t>
            </w:r>
            <w:r>
              <w:rPr>
                <w:rFonts w:ascii="Arial" w:eastAsia="仿宋_GB2312" w:hAnsi="Arial" w:cs="Arial"/>
                <w:szCs w:val="24"/>
              </w:rPr>
              <w:t>20</w:t>
            </w:r>
            <w:r>
              <w:rPr>
                <w:rFonts w:ascii="Arial" w:eastAsia="仿宋_GB2312" w:hAnsi="Arial" w:cs="Arial"/>
                <w:szCs w:val="24"/>
              </w:rPr>
              <w:t>～</w:t>
            </w:r>
            <w:r>
              <w:rPr>
                <w:rFonts w:ascii="Arial" w:eastAsia="仿宋_GB2312" w:hAnsi="Arial" w:cs="Arial"/>
                <w:szCs w:val="24"/>
              </w:rPr>
              <w:t>30</w:t>
            </w:r>
            <w:r>
              <w:rPr>
                <w:rFonts w:ascii="Arial" w:eastAsia="仿宋_GB2312" w:hAnsi="Arial" w:cs="Arial"/>
                <w:szCs w:val="24"/>
              </w:rPr>
              <w:t>分；</w:t>
            </w:r>
          </w:p>
        </w:tc>
        <w:tc>
          <w:tcPr>
            <w:tcW w:w="992" w:type="dxa"/>
            <w:vMerge w:val="restart"/>
            <w:shd w:val="clear" w:color="auto" w:fill="auto"/>
            <w:noWrap/>
            <w:vAlign w:val="center"/>
          </w:tcPr>
          <w:p w14:paraId="4C95EDBD"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5</w:t>
            </w:r>
          </w:p>
        </w:tc>
        <w:tc>
          <w:tcPr>
            <w:tcW w:w="849" w:type="dxa"/>
            <w:vMerge w:val="restart"/>
            <w:shd w:val="clear" w:color="auto" w:fill="auto"/>
            <w:noWrap/>
            <w:vAlign w:val="center"/>
          </w:tcPr>
          <w:p w14:paraId="2ECE3E02"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2</w:t>
            </w:r>
            <w:r>
              <w:rPr>
                <w:rFonts w:ascii="Arial" w:eastAsia="仿宋_GB2312" w:hAnsi="Arial" w:cs="Arial" w:hint="eastAsia"/>
                <w:szCs w:val="24"/>
              </w:rPr>
              <w:t>6</w:t>
            </w:r>
          </w:p>
        </w:tc>
      </w:tr>
      <w:tr w:rsidR="0062768B" w14:paraId="462ED498" w14:textId="77777777">
        <w:trPr>
          <w:cantSplit/>
          <w:jc w:val="center"/>
        </w:trPr>
        <w:tc>
          <w:tcPr>
            <w:tcW w:w="1135" w:type="dxa"/>
            <w:vMerge/>
            <w:vAlign w:val="center"/>
          </w:tcPr>
          <w:p w14:paraId="2617414F" w14:textId="77777777" w:rsidR="0062768B" w:rsidRDefault="0062768B">
            <w:pPr>
              <w:widowControl/>
              <w:adjustRightInd/>
              <w:spacing w:line="240" w:lineRule="atLeast"/>
              <w:textAlignment w:val="auto"/>
              <w:rPr>
                <w:rFonts w:ascii="Arial" w:eastAsia="仿宋_GB2312" w:hAnsi="Arial" w:cs="Arial"/>
                <w:szCs w:val="24"/>
              </w:rPr>
            </w:pPr>
          </w:p>
        </w:tc>
        <w:tc>
          <w:tcPr>
            <w:tcW w:w="567" w:type="dxa"/>
            <w:vMerge/>
            <w:vAlign w:val="center"/>
          </w:tcPr>
          <w:p w14:paraId="653142D2"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shd w:val="clear" w:color="auto" w:fill="auto"/>
            <w:noWrap/>
            <w:vAlign w:val="center"/>
          </w:tcPr>
          <w:p w14:paraId="2DDD6B4D"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2.</w:t>
            </w:r>
            <w:r>
              <w:rPr>
                <w:rFonts w:ascii="Arial" w:eastAsia="仿宋_GB2312" w:hAnsi="Arial" w:cs="Arial"/>
                <w:szCs w:val="24"/>
              </w:rPr>
              <w:t>估价结果与同类用途房地产价格水平基本一致，且适当考虑了房地产市场发展趋势，取</w:t>
            </w:r>
            <w:r>
              <w:rPr>
                <w:rFonts w:ascii="Arial" w:eastAsia="仿宋_GB2312" w:hAnsi="Arial" w:cs="Arial"/>
                <w:szCs w:val="24"/>
              </w:rPr>
              <w:t>10</w:t>
            </w:r>
            <w:r>
              <w:rPr>
                <w:rFonts w:ascii="Arial" w:eastAsia="仿宋_GB2312" w:hAnsi="Arial" w:cs="Arial"/>
                <w:szCs w:val="24"/>
              </w:rPr>
              <w:t>～</w:t>
            </w:r>
            <w:r>
              <w:rPr>
                <w:rFonts w:ascii="Arial" w:eastAsia="仿宋_GB2312" w:hAnsi="Arial" w:cs="Arial"/>
                <w:szCs w:val="24"/>
              </w:rPr>
              <w:t>19</w:t>
            </w:r>
            <w:r>
              <w:rPr>
                <w:rFonts w:ascii="Arial" w:eastAsia="仿宋_GB2312" w:hAnsi="Arial" w:cs="Arial"/>
                <w:szCs w:val="24"/>
              </w:rPr>
              <w:t>分；</w:t>
            </w:r>
          </w:p>
        </w:tc>
        <w:tc>
          <w:tcPr>
            <w:tcW w:w="992" w:type="dxa"/>
            <w:vMerge/>
            <w:vAlign w:val="center"/>
          </w:tcPr>
          <w:p w14:paraId="226A29DD" w14:textId="77777777" w:rsidR="0062768B" w:rsidRDefault="0062768B">
            <w:pPr>
              <w:widowControl/>
              <w:adjustRightInd/>
              <w:spacing w:line="240" w:lineRule="atLeast"/>
              <w:textAlignment w:val="auto"/>
              <w:rPr>
                <w:rFonts w:ascii="Arial" w:eastAsia="仿宋_GB2312" w:hAnsi="Arial" w:cs="Arial"/>
                <w:szCs w:val="24"/>
              </w:rPr>
            </w:pPr>
          </w:p>
        </w:tc>
        <w:tc>
          <w:tcPr>
            <w:tcW w:w="849" w:type="dxa"/>
            <w:vMerge/>
            <w:vAlign w:val="center"/>
          </w:tcPr>
          <w:p w14:paraId="5DD4C24C" w14:textId="77777777" w:rsidR="0062768B" w:rsidRDefault="0062768B">
            <w:pPr>
              <w:widowControl/>
              <w:adjustRightInd/>
              <w:spacing w:line="240" w:lineRule="atLeast"/>
              <w:textAlignment w:val="auto"/>
              <w:rPr>
                <w:rFonts w:ascii="Arial" w:eastAsia="仿宋_GB2312" w:hAnsi="Arial" w:cs="Arial"/>
                <w:szCs w:val="24"/>
              </w:rPr>
            </w:pPr>
          </w:p>
        </w:tc>
      </w:tr>
      <w:tr w:rsidR="0062768B" w14:paraId="74B75E8F" w14:textId="77777777">
        <w:trPr>
          <w:cantSplit/>
          <w:jc w:val="center"/>
        </w:trPr>
        <w:tc>
          <w:tcPr>
            <w:tcW w:w="1135" w:type="dxa"/>
            <w:vMerge/>
            <w:vAlign w:val="center"/>
          </w:tcPr>
          <w:p w14:paraId="0D9EB625" w14:textId="77777777" w:rsidR="0062768B" w:rsidRDefault="0062768B">
            <w:pPr>
              <w:widowControl/>
              <w:adjustRightInd/>
              <w:spacing w:line="240" w:lineRule="atLeast"/>
              <w:textAlignment w:val="auto"/>
              <w:rPr>
                <w:rFonts w:ascii="Arial" w:eastAsia="仿宋_GB2312" w:hAnsi="Arial" w:cs="Arial"/>
                <w:szCs w:val="24"/>
              </w:rPr>
            </w:pPr>
          </w:p>
        </w:tc>
        <w:tc>
          <w:tcPr>
            <w:tcW w:w="567" w:type="dxa"/>
            <w:vMerge/>
            <w:vAlign w:val="center"/>
          </w:tcPr>
          <w:p w14:paraId="1CBE64A3"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shd w:val="clear" w:color="auto" w:fill="auto"/>
            <w:noWrap/>
            <w:vAlign w:val="center"/>
          </w:tcPr>
          <w:p w14:paraId="4F2787B9"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3.</w:t>
            </w:r>
            <w:r>
              <w:rPr>
                <w:rFonts w:ascii="Arial" w:eastAsia="仿宋_GB2312" w:hAnsi="Arial" w:cs="Arial"/>
                <w:szCs w:val="24"/>
              </w:rPr>
              <w:t>估价结果与同类用途房地产价格水平有一定差距，且适当考虑房地产市场发展趋势，取</w:t>
            </w:r>
            <w:r>
              <w:rPr>
                <w:rFonts w:ascii="Arial" w:eastAsia="仿宋_GB2312" w:hAnsi="Arial" w:cs="Arial"/>
                <w:szCs w:val="24"/>
              </w:rPr>
              <w:t>0</w:t>
            </w:r>
            <w:r>
              <w:rPr>
                <w:rFonts w:ascii="Arial" w:eastAsia="仿宋_GB2312" w:hAnsi="Arial" w:cs="Arial"/>
                <w:szCs w:val="24"/>
              </w:rPr>
              <w:t>～</w:t>
            </w:r>
            <w:r>
              <w:rPr>
                <w:rFonts w:ascii="Arial" w:eastAsia="仿宋_GB2312" w:hAnsi="Arial" w:cs="Arial"/>
                <w:szCs w:val="24"/>
              </w:rPr>
              <w:t>9</w:t>
            </w:r>
            <w:r>
              <w:rPr>
                <w:rFonts w:ascii="Arial" w:eastAsia="仿宋_GB2312" w:hAnsi="Arial" w:cs="Arial"/>
                <w:szCs w:val="24"/>
              </w:rPr>
              <w:t>分；</w:t>
            </w:r>
          </w:p>
        </w:tc>
        <w:tc>
          <w:tcPr>
            <w:tcW w:w="992" w:type="dxa"/>
            <w:vMerge/>
            <w:vAlign w:val="center"/>
          </w:tcPr>
          <w:p w14:paraId="3A8E9B20" w14:textId="77777777" w:rsidR="0062768B" w:rsidRDefault="0062768B">
            <w:pPr>
              <w:widowControl/>
              <w:adjustRightInd/>
              <w:spacing w:line="240" w:lineRule="atLeast"/>
              <w:textAlignment w:val="auto"/>
              <w:rPr>
                <w:rFonts w:ascii="Arial" w:eastAsia="仿宋_GB2312" w:hAnsi="Arial" w:cs="Arial"/>
                <w:szCs w:val="24"/>
              </w:rPr>
            </w:pPr>
          </w:p>
        </w:tc>
        <w:tc>
          <w:tcPr>
            <w:tcW w:w="849" w:type="dxa"/>
            <w:vMerge/>
            <w:vAlign w:val="center"/>
          </w:tcPr>
          <w:p w14:paraId="0BE1E914" w14:textId="77777777" w:rsidR="0062768B" w:rsidRDefault="0062768B">
            <w:pPr>
              <w:widowControl/>
              <w:adjustRightInd/>
              <w:spacing w:line="240" w:lineRule="atLeast"/>
              <w:textAlignment w:val="auto"/>
              <w:rPr>
                <w:rFonts w:ascii="Arial" w:eastAsia="仿宋_GB2312" w:hAnsi="Arial" w:cs="Arial"/>
                <w:szCs w:val="24"/>
              </w:rPr>
            </w:pPr>
          </w:p>
        </w:tc>
      </w:tr>
      <w:tr w:rsidR="0062768B" w14:paraId="1E835B49" w14:textId="77777777">
        <w:trPr>
          <w:cantSplit/>
          <w:jc w:val="center"/>
        </w:trPr>
        <w:tc>
          <w:tcPr>
            <w:tcW w:w="7231" w:type="dxa"/>
            <w:gridSpan w:val="3"/>
            <w:shd w:val="clear" w:color="auto" w:fill="auto"/>
            <w:noWrap/>
            <w:vAlign w:val="center"/>
          </w:tcPr>
          <w:p w14:paraId="39B379ED" w14:textId="77777777" w:rsidR="0062768B" w:rsidRDefault="00136729">
            <w:pPr>
              <w:widowControl/>
              <w:adjustRightInd/>
              <w:spacing w:line="240" w:lineRule="atLeast"/>
              <w:jc w:val="center"/>
              <w:textAlignment w:val="auto"/>
              <w:rPr>
                <w:rFonts w:ascii="Arial" w:eastAsia="仿宋_GB2312" w:hAnsi="Arial" w:cs="Arial"/>
                <w:b/>
                <w:bCs/>
                <w:szCs w:val="24"/>
              </w:rPr>
            </w:pPr>
            <w:r>
              <w:rPr>
                <w:rFonts w:ascii="Arial" w:eastAsia="仿宋_GB2312" w:hAnsi="Arial" w:cs="Arial"/>
                <w:b/>
                <w:bCs/>
                <w:szCs w:val="24"/>
              </w:rPr>
              <w:t>分值</w:t>
            </w:r>
          </w:p>
        </w:tc>
        <w:tc>
          <w:tcPr>
            <w:tcW w:w="992" w:type="dxa"/>
            <w:shd w:val="clear" w:color="auto" w:fill="auto"/>
            <w:noWrap/>
            <w:vAlign w:val="center"/>
          </w:tcPr>
          <w:p w14:paraId="35595B2E"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39</w:t>
            </w:r>
          </w:p>
        </w:tc>
        <w:tc>
          <w:tcPr>
            <w:tcW w:w="849" w:type="dxa"/>
            <w:shd w:val="clear" w:color="auto" w:fill="auto"/>
            <w:noWrap/>
            <w:vAlign w:val="center"/>
          </w:tcPr>
          <w:p w14:paraId="400BC4A2"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9</w:t>
            </w:r>
            <w:r>
              <w:rPr>
                <w:rFonts w:ascii="Arial" w:eastAsia="仿宋_GB2312" w:hAnsi="Arial" w:cs="Arial" w:hint="eastAsia"/>
                <w:szCs w:val="24"/>
              </w:rPr>
              <w:t>1</w:t>
            </w:r>
          </w:p>
        </w:tc>
      </w:tr>
      <w:tr w:rsidR="0062768B" w14:paraId="2E89B2AD" w14:textId="77777777">
        <w:trPr>
          <w:cantSplit/>
          <w:jc w:val="center"/>
        </w:trPr>
        <w:tc>
          <w:tcPr>
            <w:tcW w:w="7231" w:type="dxa"/>
            <w:gridSpan w:val="3"/>
            <w:shd w:val="clear" w:color="auto" w:fill="auto"/>
            <w:noWrap/>
            <w:vAlign w:val="center"/>
          </w:tcPr>
          <w:p w14:paraId="3051D098" w14:textId="77777777" w:rsidR="0062768B" w:rsidRDefault="00136729">
            <w:pPr>
              <w:widowControl/>
              <w:adjustRightInd/>
              <w:spacing w:line="240" w:lineRule="atLeast"/>
              <w:jc w:val="center"/>
              <w:textAlignment w:val="auto"/>
              <w:rPr>
                <w:rFonts w:ascii="Arial" w:eastAsia="仿宋_GB2312" w:hAnsi="Arial" w:cs="Arial"/>
                <w:b/>
                <w:bCs/>
                <w:szCs w:val="24"/>
              </w:rPr>
            </w:pPr>
            <w:r>
              <w:rPr>
                <w:rFonts w:ascii="Arial" w:eastAsia="仿宋_GB2312" w:hAnsi="Arial" w:cs="Arial"/>
                <w:b/>
                <w:bCs/>
                <w:szCs w:val="24"/>
              </w:rPr>
              <w:t>权重</w:t>
            </w:r>
          </w:p>
        </w:tc>
        <w:tc>
          <w:tcPr>
            <w:tcW w:w="992" w:type="dxa"/>
            <w:shd w:val="clear" w:color="auto" w:fill="auto"/>
            <w:noWrap/>
            <w:vAlign w:val="center"/>
          </w:tcPr>
          <w:p w14:paraId="4DBC1F39"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3</w:t>
            </w:r>
            <w:r>
              <w:rPr>
                <w:rFonts w:ascii="Arial" w:eastAsia="仿宋_GB2312" w:hAnsi="Arial" w:cs="Arial"/>
                <w:szCs w:val="24"/>
              </w:rPr>
              <w:t>0%</w:t>
            </w:r>
          </w:p>
        </w:tc>
        <w:tc>
          <w:tcPr>
            <w:tcW w:w="849" w:type="dxa"/>
            <w:shd w:val="clear" w:color="auto" w:fill="auto"/>
            <w:noWrap/>
            <w:vAlign w:val="center"/>
          </w:tcPr>
          <w:p w14:paraId="4506BCE7"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7</w:t>
            </w:r>
            <w:r>
              <w:rPr>
                <w:rFonts w:ascii="Arial" w:eastAsia="仿宋_GB2312" w:hAnsi="Arial" w:cs="Arial"/>
                <w:szCs w:val="24"/>
              </w:rPr>
              <w:t>0%</w:t>
            </w:r>
          </w:p>
        </w:tc>
      </w:tr>
    </w:tbl>
    <w:p w14:paraId="739858A2" w14:textId="77777777" w:rsidR="0062768B" w:rsidRDefault="00136729">
      <w:pPr>
        <w:spacing w:beforeLines="50" w:before="120" w:line="300" w:lineRule="auto"/>
        <w:jc w:val="both"/>
        <w:rPr>
          <w:rFonts w:ascii="Arial" w:eastAsia="仿宋_GB2312" w:hAnsi="Arial" w:cs="Arial"/>
          <w:b/>
          <w:sz w:val="28"/>
        </w:rPr>
      </w:pPr>
      <w:r>
        <w:rPr>
          <w:rFonts w:ascii="Arial" w:eastAsia="仿宋_GB2312" w:hAnsi="Arial" w:cs="Arial"/>
          <w:b/>
          <w:sz w:val="28"/>
        </w:rPr>
        <w:t xml:space="preserve">  </w:t>
      </w:r>
    </w:p>
    <w:p w14:paraId="368D2B20" w14:textId="77777777" w:rsidR="0062768B" w:rsidRDefault="00136729">
      <w:pPr>
        <w:spacing w:line="300" w:lineRule="auto"/>
        <w:ind w:leftChars="50" w:left="260" w:hangingChars="50" w:hanging="140"/>
        <w:jc w:val="center"/>
        <w:rPr>
          <w:rFonts w:ascii="仿宋" w:eastAsia="仿宋" w:hAnsi="仿宋" w:cs="Arial"/>
          <w:sz w:val="28"/>
          <w:szCs w:val="28"/>
        </w:rPr>
      </w:pPr>
      <w:r>
        <w:rPr>
          <w:rFonts w:ascii="仿宋" w:eastAsia="仿宋" w:hAnsi="仿宋" w:cs="Arial" w:hint="eastAsia"/>
          <w:sz w:val="28"/>
          <w:szCs w:val="28"/>
        </w:rPr>
        <w:lastRenderedPageBreak/>
        <w:t>公共服务</w:t>
      </w:r>
      <w:r>
        <w:rPr>
          <w:rFonts w:ascii="仿宋" w:eastAsia="仿宋" w:hAnsi="仿宋" w:cs="Arial"/>
          <w:sz w:val="28"/>
          <w:szCs w:val="28"/>
        </w:rPr>
        <w:t>用途权重确定打分评价体系</w:t>
      </w:r>
    </w:p>
    <w:tbl>
      <w:tblPr>
        <w:tblW w:w="9353"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35"/>
        <w:gridCol w:w="567"/>
        <w:gridCol w:w="5670"/>
        <w:gridCol w:w="992"/>
        <w:gridCol w:w="989"/>
      </w:tblGrid>
      <w:tr w:rsidR="0062768B" w14:paraId="4E50EF39" w14:textId="77777777">
        <w:trPr>
          <w:cantSplit/>
          <w:jc w:val="center"/>
        </w:trPr>
        <w:tc>
          <w:tcPr>
            <w:tcW w:w="1135" w:type="dxa"/>
            <w:vMerge w:val="restart"/>
            <w:noWrap/>
            <w:vAlign w:val="center"/>
          </w:tcPr>
          <w:p w14:paraId="60BC303B"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评价因素</w:t>
            </w:r>
          </w:p>
        </w:tc>
        <w:tc>
          <w:tcPr>
            <w:tcW w:w="567" w:type="dxa"/>
            <w:vMerge w:val="restart"/>
            <w:noWrap/>
            <w:vAlign w:val="center"/>
          </w:tcPr>
          <w:p w14:paraId="2E933DD2"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标准分值</w:t>
            </w:r>
          </w:p>
        </w:tc>
        <w:tc>
          <w:tcPr>
            <w:tcW w:w="5670" w:type="dxa"/>
            <w:vMerge w:val="restart"/>
            <w:noWrap/>
            <w:vAlign w:val="center"/>
          </w:tcPr>
          <w:p w14:paraId="61B77AD4"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打分考虑因素</w:t>
            </w:r>
          </w:p>
        </w:tc>
        <w:tc>
          <w:tcPr>
            <w:tcW w:w="1981" w:type="dxa"/>
            <w:gridSpan w:val="2"/>
            <w:noWrap/>
            <w:vAlign w:val="center"/>
          </w:tcPr>
          <w:p w14:paraId="56EFF32D"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估价对象</w:t>
            </w:r>
          </w:p>
        </w:tc>
      </w:tr>
      <w:tr w:rsidR="0062768B" w14:paraId="1E588BFE" w14:textId="77777777">
        <w:trPr>
          <w:cantSplit/>
          <w:trHeight w:val="159"/>
          <w:jc w:val="center"/>
        </w:trPr>
        <w:tc>
          <w:tcPr>
            <w:tcW w:w="1135" w:type="dxa"/>
            <w:vMerge/>
            <w:vAlign w:val="center"/>
          </w:tcPr>
          <w:p w14:paraId="11F62A70" w14:textId="77777777" w:rsidR="0062768B" w:rsidRDefault="0062768B">
            <w:pPr>
              <w:widowControl/>
              <w:adjustRightInd/>
              <w:spacing w:line="240" w:lineRule="atLeast"/>
              <w:textAlignment w:val="auto"/>
              <w:rPr>
                <w:rFonts w:ascii="Arial" w:eastAsia="仿宋" w:hAnsi="Arial" w:cs="Arial"/>
                <w:szCs w:val="24"/>
              </w:rPr>
            </w:pPr>
          </w:p>
        </w:tc>
        <w:tc>
          <w:tcPr>
            <w:tcW w:w="567" w:type="dxa"/>
            <w:vMerge/>
            <w:vAlign w:val="center"/>
          </w:tcPr>
          <w:p w14:paraId="2BC6BE2A" w14:textId="77777777" w:rsidR="0062768B" w:rsidRDefault="0062768B">
            <w:pPr>
              <w:widowControl/>
              <w:adjustRightInd/>
              <w:spacing w:line="240" w:lineRule="atLeast"/>
              <w:textAlignment w:val="auto"/>
              <w:rPr>
                <w:rFonts w:ascii="Arial" w:eastAsia="仿宋" w:hAnsi="Arial" w:cs="Arial"/>
                <w:szCs w:val="24"/>
              </w:rPr>
            </w:pPr>
          </w:p>
        </w:tc>
        <w:tc>
          <w:tcPr>
            <w:tcW w:w="5670" w:type="dxa"/>
            <w:vMerge/>
            <w:vAlign w:val="center"/>
          </w:tcPr>
          <w:p w14:paraId="027A22EF" w14:textId="77777777" w:rsidR="0062768B" w:rsidRDefault="0062768B">
            <w:pPr>
              <w:widowControl/>
              <w:adjustRightInd/>
              <w:spacing w:line="240" w:lineRule="atLeast"/>
              <w:textAlignment w:val="auto"/>
              <w:rPr>
                <w:rFonts w:ascii="Arial" w:eastAsia="仿宋" w:hAnsi="Arial" w:cs="Arial"/>
                <w:szCs w:val="24"/>
              </w:rPr>
            </w:pPr>
          </w:p>
        </w:tc>
        <w:tc>
          <w:tcPr>
            <w:tcW w:w="992" w:type="dxa"/>
            <w:noWrap/>
            <w:vAlign w:val="center"/>
          </w:tcPr>
          <w:p w14:paraId="229ADDDA"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基准地价系数修正法</w:t>
            </w:r>
          </w:p>
        </w:tc>
        <w:tc>
          <w:tcPr>
            <w:tcW w:w="989" w:type="dxa"/>
            <w:noWrap/>
            <w:vAlign w:val="center"/>
          </w:tcPr>
          <w:p w14:paraId="2A3DC26D"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剩余法</w:t>
            </w:r>
          </w:p>
        </w:tc>
      </w:tr>
      <w:tr w:rsidR="0062768B" w14:paraId="6EC2015F" w14:textId="77777777">
        <w:trPr>
          <w:cantSplit/>
          <w:trHeight w:val="358"/>
          <w:jc w:val="center"/>
        </w:trPr>
        <w:tc>
          <w:tcPr>
            <w:tcW w:w="1135" w:type="dxa"/>
            <w:vMerge w:val="restart"/>
            <w:vAlign w:val="center"/>
          </w:tcPr>
          <w:p w14:paraId="45FF522F"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估价方法的代表性</w:t>
            </w:r>
          </w:p>
        </w:tc>
        <w:tc>
          <w:tcPr>
            <w:tcW w:w="567" w:type="dxa"/>
            <w:vMerge w:val="restart"/>
            <w:noWrap/>
            <w:vAlign w:val="center"/>
          </w:tcPr>
          <w:p w14:paraId="6F00B6C7"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25</w:t>
            </w:r>
          </w:p>
        </w:tc>
        <w:tc>
          <w:tcPr>
            <w:tcW w:w="5670" w:type="dxa"/>
            <w:noWrap/>
            <w:vAlign w:val="center"/>
          </w:tcPr>
          <w:p w14:paraId="0970EB1B" w14:textId="77777777" w:rsidR="0062768B" w:rsidRDefault="00136729">
            <w:pPr>
              <w:spacing w:line="240" w:lineRule="atLeast"/>
              <w:rPr>
                <w:rFonts w:ascii="Arial" w:eastAsia="仿宋" w:hAnsi="Arial" w:cs="Arial"/>
                <w:szCs w:val="24"/>
              </w:rPr>
            </w:pPr>
            <w:r>
              <w:rPr>
                <w:rFonts w:ascii="Arial" w:eastAsia="仿宋" w:hAnsi="Arial" w:cs="Arial"/>
                <w:szCs w:val="24"/>
              </w:rPr>
              <w:t>1.</w:t>
            </w:r>
            <w:r>
              <w:rPr>
                <w:rFonts w:ascii="Arial" w:eastAsia="仿宋" w:hAnsi="Arial" w:cs="Arial"/>
                <w:szCs w:val="24"/>
              </w:rPr>
              <w:t>估价方法选取分析充分、合理，取</w:t>
            </w:r>
            <w:r>
              <w:rPr>
                <w:rFonts w:ascii="Arial" w:eastAsia="仿宋" w:hAnsi="Arial" w:cs="Arial"/>
                <w:szCs w:val="24"/>
              </w:rPr>
              <w:t>20</w:t>
            </w:r>
            <w:r>
              <w:rPr>
                <w:rFonts w:ascii="Arial" w:eastAsia="仿宋" w:hAnsi="Arial" w:cs="Arial"/>
                <w:szCs w:val="24"/>
              </w:rPr>
              <w:t>～</w:t>
            </w:r>
            <w:r>
              <w:rPr>
                <w:rFonts w:ascii="Arial" w:eastAsia="仿宋" w:hAnsi="Arial" w:cs="Arial"/>
                <w:szCs w:val="24"/>
              </w:rPr>
              <w:t>25</w:t>
            </w:r>
            <w:r>
              <w:rPr>
                <w:rFonts w:ascii="Arial" w:eastAsia="仿宋" w:hAnsi="Arial" w:cs="Arial"/>
                <w:szCs w:val="24"/>
              </w:rPr>
              <w:t>分；</w:t>
            </w:r>
          </w:p>
        </w:tc>
        <w:tc>
          <w:tcPr>
            <w:tcW w:w="992" w:type="dxa"/>
            <w:vMerge w:val="restart"/>
            <w:noWrap/>
            <w:vAlign w:val="center"/>
          </w:tcPr>
          <w:p w14:paraId="4BF81332"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20</w:t>
            </w:r>
          </w:p>
        </w:tc>
        <w:tc>
          <w:tcPr>
            <w:tcW w:w="989" w:type="dxa"/>
            <w:vMerge w:val="restart"/>
            <w:noWrap/>
            <w:vAlign w:val="center"/>
          </w:tcPr>
          <w:p w14:paraId="07053B56" w14:textId="77777777" w:rsidR="0062768B" w:rsidRDefault="00136729">
            <w:pPr>
              <w:spacing w:line="240" w:lineRule="atLeast"/>
              <w:jc w:val="center"/>
              <w:rPr>
                <w:rFonts w:ascii="Arial" w:eastAsia="仿宋" w:hAnsi="Arial" w:cs="Arial"/>
                <w:szCs w:val="24"/>
              </w:rPr>
            </w:pPr>
            <w:r>
              <w:rPr>
                <w:rFonts w:ascii="Arial" w:eastAsia="仿宋" w:hAnsi="Arial" w:cs="Arial"/>
                <w:szCs w:val="24"/>
              </w:rPr>
              <w:t>20</w:t>
            </w:r>
          </w:p>
        </w:tc>
      </w:tr>
      <w:tr w:rsidR="0062768B" w14:paraId="574F8E41" w14:textId="77777777">
        <w:trPr>
          <w:cantSplit/>
          <w:jc w:val="center"/>
        </w:trPr>
        <w:tc>
          <w:tcPr>
            <w:tcW w:w="1135" w:type="dxa"/>
            <w:vMerge/>
            <w:vAlign w:val="center"/>
          </w:tcPr>
          <w:p w14:paraId="23BB7D05" w14:textId="77777777" w:rsidR="0062768B" w:rsidRDefault="0062768B">
            <w:pPr>
              <w:widowControl/>
              <w:adjustRightInd/>
              <w:spacing w:line="240" w:lineRule="atLeast"/>
              <w:textAlignment w:val="auto"/>
              <w:rPr>
                <w:rFonts w:ascii="Arial" w:eastAsia="仿宋" w:hAnsi="Arial" w:cs="Arial"/>
                <w:szCs w:val="24"/>
              </w:rPr>
            </w:pPr>
          </w:p>
        </w:tc>
        <w:tc>
          <w:tcPr>
            <w:tcW w:w="567" w:type="dxa"/>
            <w:vMerge/>
            <w:vAlign w:val="center"/>
          </w:tcPr>
          <w:p w14:paraId="6AB7E4AF" w14:textId="77777777" w:rsidR="0062768B" w:rsidRDefault="0062768B">
            <w:pPr>
              <w:widowControl/>
              <w:adjustRightInd/>
              <w:spacing w:line="240" w:lineRule="atLeast"/>
              <w:textAlignment w:val="auto"/>
              <w:rPr>
                <w:rFonts w:ascii="Arial" w:eastAsia="仿宋" w:hAnsi="Arial" w:cs="Arial"/>
                <w:szCs w:val="24"/>
              </w:rPr>
            </w:pPr>
          </w:p>
        </w:tc>
        <w:tc>
          <w:tcPr>
            <w:tcW w:w="5670" w:type="dxa"/>
            <w:noWrap/>
            <w:vAlign w:val="center"/>
          </w:tcPr>
          <w:p w14:paraId="2BCCEC6F" w14:textId="77777777" w:rsidR="0062768B" w:rsidRDefault="00136729">
            <w:pPr>
              <w:spacing w:line="240" w:lineRule="atLeast"/>
              <w:rPr>
                <w:rFonts w:ascii="Arial" w:eastAsia="仿宋" w:hAnsi="Arial" w:cs="Arial"/>
                <w:szCs w:val="24"/>
              </w:rPr>
            </w:pPr>
            <w:r>
              <w:rPr>
                <w:rFonts w:ascii="Arial" w:eastAsia="仿宋" w:hAnsi="Arial" w:cs="Arial"/>
                <w:szCs w:val="24"/>
              </w:rPr>
              <w:t>2.</w:t>
            </w:r>
            <w:r>
              <w:rPr>
                <w:rFonts w:ascii="Arial" w:eastAsia="仿宋" w:hAnsi="Arial" w:cs="Arial"/>
                <w:szCs w:val="24"/>
              </w:rPr>
              <w:t>估价方法选取分析较充分、合理，取</w:t>
            </w:r>
            <w:r>
              <w:rPr>
                <w:rFonts w:ascii="Arial" w:eastAsia="仿宋" w:hAnsi="Arial" w:cs="Arial"/>
                <w:szCs w:val="24"/>
              </w:rPr>
              <w:t>10</w:t>
            </w:r>
            <w:r>
              <w:rPr>
                <w:rFonts w:ascii="Arial" w:eastAsia="仿宋" w:hAnsi="Arial" w:cs="Arial"/>
                <w:szCs w:val="24"/>
              </w:rPr>
              <w:t>～</w:t>
            </w:r>
            <w:r>
              <w:rPr>
                <w:rFonts w:ascii="Arial" w:eastAsia="仿宋" w:hAnsi="Arial" w:cs="Arial"/>
                <w:szCs w:val="24"/>
              </w:rPr>
              <w:t>19</w:t>
            </w:r>
            <w:r>
              <w:rPr>
                <w:rFonts w:ascii="Arial" w:eastAsia="仿宋" w:hAnsi="Arial" w:cs="Arial"/>
                <w:szCs w:val="24"/>
              </w:rPr>
              <w:t>分；</w:t>
            </w:r>
          </w:p>
        </w:tc>
        <w:tc>
          <w:tcPr>
            <w:tcW w:w="992" w:type="dxa"/>
            <w:vMerge/>
            <w:vAlign w:val="center"/>
          </w:tcPr>
          <w:p w14:paraId="6F973683" w14:textId="77777777" w:rsidR="0062768B" w:rsidRDefault="0062768B">
            <w:pPr>
              <w:widowControl/>
              <w:adjustRightInd/>
              <w:spacing w:line="240" w:lineRule="atLeast"/>
              <w:textAlignment w:val="auto"/>
              <w:rPr>
                <w:rFonts w:ascii="Arial" w:eastAsia="仿宋" w:hAnsi="Arial" w:cs="Arial"/>
                <w:szCs w:val="24"/>
              </w:rPr>
            </w:pPr>
          </w:p>
        </w:tc>
        <w:tc>
          <w:tcPr>
            <w:tcW w:w="989" w:type="dxa"/>
            <w:vMerge/>
            <w:vAlign w:val="center"/>
          </w:tcPr>
          <w:p w14:paraId="171337C7" w14:textId="77777777" w:rsidR="0062768B" w:rsidRDefault="0062768B">
            <w:pPr>
              <w:widowControl/>
              <w:adjustRightInd/>
              <w:spacing w:line="240" w:lineRule="atLeast"/>
              <w:textAlignment w:val="auto"/>
              <w:rPr>
                <w:rFonts w:ascii="Arial" w:eastAsia="仿宋" w:hAnsi="Arial" w:cs="Arial"/>
                <w:szCs w:val="24"/>
              </w:rPr>
            </w:pPr>
          </w:p>
        </w:tc>
      </w:tr>
      <w:tr w:rsidR="0062768B" w14:paraId="3826C74A" w14:textId="77777777">
        <w:trPr>
          <w:cantSplit/>
          <w:jc w:val="center"/>
        </w:trPr>
        <w:tc>
          <w:tcPr>
            <w:tcW w:w="1135" w:type="dxa"/>
            <w:vMerge/>
            <w:vAlign w:val="center"/>
          </w:tcPr>
          <w:p w14:paraId="22113FF6" w14:textId="77777777" w:rsidR="0062768B" w:rsidRDefault="0062768B">
            <w:pPr>
              <w:widowControl/>
              <w:adjustRightInd/>
              <w:spacing w:line="240" w:lineRule="atLeast"/>
              <w:textAlignment w:val="auto"/>
              <w:rPr>
                <w:rFonts w:ascii="Arial" w:eastAsia="仿宋" w:hAnsi="Arial" w:cs="Arial"/>
                <w:szCs w:val="24"/>
              </w:rPr>
            </w:pPr>
          </w:p>
        </w:tc>
        <w:tc>
          <w:tcPr>
            <w:tcW w:w="567" w:type="dxa"/>
            <w:vMerge/>
            <w:vAlign w:val="center"/>
          </w:tcPr>
          <w:p w14:paraId="0ACF8CDF" w14:textId="77777777" w:rsidR="0062768B" w:rsidRDefault="0062768B">
            <w:pPr>
              <w:widowControl/>
              <w:adjustRightInd/>
              <w:spacing w:line="240" w:lineRule="atLeast"/>
              <w:textAlignment w:val="auto"/>
              <w:rPr>
                <w:rFonts w:ascii="Arial" w:eastAsia="仿宋" w:hAnsi="Arial" w:cs="Arial"/>
                <w:szCs w:val="24"/>
              </w:rPr>
            </w:pPr>
          </w:p>
        </w:tc>
        <w:tc>
          <w:tcPr>
            <w:tcW w:w="5670" w:type="dxa"/>
            <w:noWrap/>
            <w:vAlign w:val="center"/>
          </w:tcPr>
          <w:p w14:paraId="575C0BF2" w14:textId="77777777" w:rsidR="0062768B" w:rsidRDefault="00136729">
            <w:pPr>
              <w:spacing w:line="240" w:lineRule="atLeast"/>
              <w:rPr>
                <w:rFonts w:ascii="Arial" w:eastAsia="仿宋" w:hAnsi="Arial" w:cs="Arial"/>
                <w:szCs w:val="24"/>
              </w:rPr>
            </w:pPr>
            <w:r>
              <w:rPr>
                <w:rFonts w:ascii="Arial" w:eastAsia="仿宋" w:hAnsi="Arial" w:cs="Arial"/>
                <w:szCs w:val="24"/>
              </w:rPr>
              <w:t>3.</w:t>
            </w:r>
            <w:r>
              <w:rPr>
                <w:rFonts w:ascii="Arial" w:eastAsia="仿宋" w:hAnsi="Arial" w:cs="Arial"/>
                <w:szCs w:val="24"/>
              </w:rPr>
              <w:t>估价方法选取分析较不充分，取</w:t>
            </w:r>
            <w:r>
              <w:rPr>
                <w:rFonts w:ascii="Arial" w:eastAsia="仿宋" w:hAnsi="Arial" w:cs="Arial"/>
                <w:szCs w:val="24"/>
              </w:rPr>
              <w:t>0</w:t>
            </w:r>
            <w:r>
              <w:rPr>
                <w:rFonts w:ascii="Arial" w:eastAsia="仿宋" w:hAnsi="Arial" w:cs="Arial"/>
                <w:szCs w:val="24"/>
              </w:rPr>
              <w:t>～</w:t>
            </w:r>
            <w:r>
              <w:rPr>
                <w:rFonts w:ascii="Arial" w:eastAsia="仿宋" w:hAnsi="Arial" w:cs="Arial"/>
                <w:szCs w:val="24"/>
              </w:rPr>
              <w:t>9</w:t>
            </w:r>
            <w:r>
              <w:rPr>
                <w:rFonts w:ascii="Arial" w:eastAsia="仿宋" w:hAnsi="Arial" w:cs="Arial"/>
                <w:szCs w:val="24"/>
              </w:rPr>
              <w:t>分；</w:t>
            </w:r>
          </w:p>
        </w:tc>
        <w:tc>
          <w:tcPr>
            <w:tcW w:w="992" w:type="dxa"/>
            <w:vMerge/>
            <w:vAlign w:val="center"/>
          </w:tcPr>
          <w:p w14:paraId="014320F4" w14:textId="77777777" w:rsidR="0062768B" w:rsidRDefault="0062768B">
            <w:pPr>
              <w:widowControl/>
              <w:adjustRightInd/>
              <w:spacing w:line="240" w:lineRule="atLeast"/>
              <w:textAlignment w:val="auto"/>
              <w:rPr>
                <w:rFonts w:ascii="Arial" w:eastAsia="仿宋" w:hAnsi="Arial" w:cs="Arial"/>
                <w:szCs w:val="24"/>
              </w:rPr>
            </w:pPr>
          </w:p>
        </w:tc>
        <w:tc>
          <w:tcPr>
            <w:tcW w:w="989" w:type="dxa"/>
            <w:vMerge/>
            <w:vAlign w:val="center"/>
          </w:tcPr>
          <w:p w14:paraId="0753E28C" w14:textId="77777777" w:rsidR="0062768B" w:rsidRDefault="0062768B">
            <w:pPr>
              <w:widowControl/>
              <w:adjustRightInd/>
              <w:spacing w:line="240" w:lineRule="atLeast"/>
              <w:textAlignment w:val="auto"/>
              <w:rPr>
                <w:rFonts w:ascii="Arial" w:eastAsia="仿宋" w:hAnsi="Arial" w:cs="Arial"/>
                <w:szCs w:val="24"/>
              </w:rPr>
            </w:pPr>
          </w:p>
        </w:tc>
      </w:tr>
      <w:tr w:rsidR="0062768B" w14:paraId="71EEA902" w14:textId="77777777">
        <w:trPr>
          <w:cantSplit/>
          <w:jc w:val="center"/>
        </w:trPr>
        <w:tc>
          <w:tcPr>
            <w:tcW w:w="1135" w:type="dxa"/>
            <w:vMerge w:val="restart"/>
            <w:vAlign w:val="center"/>
          </w:tcPr>
          <w:p w14:paraId="42B82A3A"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估价方法所要求的估价资料的完整性</w:t>
            </w:r>
          </w:p>
        </w:tc>
        <w:tc>
          <w:tcPr>
            <w:tcW w:w="567" w:type="dxa"/>
            <w:vMerge w:val="restart"/>
            <w:vAlign w:val="center"/>
          </w:tcPr>
          <w:p w14:paraId="2E38C80A"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15</w:t>
            </w:r>
          </w:p>
        </w:tc>
        <w:tc>
          <w:tcPr>
            <w:tcW w:w="5670" w:type="dxa"/>
            <w:noWrap/>
            <w:vAlign w:val="center"/>
          </w:tcPr>
          <w:p w14:paraId="535F00B9" w14:textId="77777777" w:rsidR="0062768B" w:rsidRDefault="00136729">
            <w:pPr>
              <w:spacing w:line="240" w:lineRule="atLeast"/>
              <w:rPr>
                <w:rFonts w:ascii="Arial" w:eastAsia="仿宋" w:hAnsi="Arial" w:cs="Arial"/>
                <w:szCs w:val="24"/>
              </w:rPr>
            </w:pPr>
            <w:r>
              <w:rPr>
                <w:rFonts w:ascii="Arial" w:eastAsia="仿宋" w:hAnsi="Arial" w:cs="Arial"/>
                <w:szCs w:val="24"/>
              </w:rPr>
              <w:t>1.</w:t>
            </w:r>
            <w:r>
              <w:rPr>
                <w:rFonts w:ascii="Arial" w:eastAsia="仿宋" w:hAnsi="Arial" w:cs="Arial"/>
                <w:szCs w:val="24"/>
              </w:rPr>
              <w:t>估价资料完整，来源依据充分，取</w:t>
            </w:r>
            <w:r>
              <w:rPr>
                <w:rFonts w:ascii="Arial" w:eastAsia="仿宋" w:hAnsi="Arial" w:cs="Arial"/>
                <w:szCs w:val="24"/>
              </w:rPr>
              <w:t>10</w:t>
            </w:r>
            <w:r>
              <w:rPr>
                <w:rFonts w:ascii="Arial" w:eastAsia="仿宋" w:hAnsi="Arial" w:cs="Arial"/>
                <w:szCs w:val="24"/>
              </w:rPr>
              <w:t>～</w:t>
            </w:r>
            <w:r>
              <w:rPr>
                <w:rFonts w:ascii="Arial" w:eastAsia="仿宋" w:hAnsi="Arial" w:cs="Arial"/>
                <w:szCs w:val="24"/>
              </w:rPr>
              <w:t>15</w:t>
            </w:r>
            <w:r>
              <w:rPr>
                <w:rFonts w:ascii="Arial" w:eastAsia="仿宋" w:hAnsi="Arial" w:cs="Arial"/>
                <w:szCs w:val="24"/>
              </w:rPr>
              <w:t>分；</w:t>
            </w:r>
          </w:p>
        </w:tc>
        <w:tc>
          <w:tcPr>
            <w:tcW w:w="992" w:type="dxa"/>
            <w:vMerge w:val="restart"/>
            <w:noWrap/>
            <w:vAlign w:val="center"/>
          </w:tcPr>
          <w:p w14:paraId="7EAB91EB"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15</w:t>
            </w:r>
          </w:p>
        </w:tc>
        <w:tc>
          <w:tcPr>
            <w:tcW w:w="989" w:type="dxa"/>
            <w:vMerge w:val="restart"/>
            <w:noWrap/>
            <w:vAlign w:val="center"/>
          </w:tcPr>
          <w:p w14:paraId="1709E6F9" w14:textId="77777777" w:rsidR="0062768B" w:rsidRDefault="00136729">
            <w:pPr>
              <w:spacing w:line="240" w:lineRule="atLeast"/>
              <w:jc w:val="center"/>
              <w:rPr>
                <w:rFonts w:ascii="Arial" w:eastAsia="仿宋" w:hAnsi="Arial" w:cs="Arial"/>
                <w:szCs w:val="24"/>
              </w:rPr>
            </w:pPr>
            <w:r>
              <w:rPr>
                <w:rFonts w:ascii="Arial" w:eastAsia="仿宋" w:hAnsi="Arial" w:cs="Arial"/>
                <w:szCs w:val="24"/>
              </w:rPr>
              <w:t>15</w:t>
            </w:r>
          </w:p>
        </w:tc>
      </w:tr>
      <w:tr w:rsidR="0062768B" w14:paraId="0D61A71A" w14:textId="77777777">
        <w:trPr>
          <w:cantSplit/>
          <w:trHeight w:val="762"/>
          <w:jc w:val="center"/>
        </w:trPr>
        <w:tc>
          <w:tcPr>
            <w:tcW w:w="1135" w:type="dxa"/>
            <w:vMerge/>
            <w:vAlign w:val="center"/>
          </w:tcPr>
          <w:p w14:paraId="6BD6A7A9" w14:textId="77777777" w:rsidR="0062768B" w:rsidRDefault="0062768B">
            <w:pPr>
              <w:widowControl/>
              <w:adjustRightInd/>
              <w:spacing w:line="240" w:lineRule="atLeast"/>
              <w:textAlignment w:val="auto"/>
              <w:rPr>
                <w:rFonts w:ascii="Arial" w:eastAsia="仿宋" w:hAnsi="Arial" w:cs="Arial"/>
                <w:szCs w:val="24"/>
              </w:rPr>
            </w:pPr>
          </w:p>
        </w:tc>
        <w:tc>
          <w:tcPr>
            <w:tcW w:w="567" w:type="dxa"/>
            <w:vMerge/>
            <w:vAlign w:val="center"/>
          </w:tcPr>
          <w:p w14:paraId="24EAFB01" w14:textId="77777777" w:rsidR="0062768B" w:rsidRDefault="0062768B">
            <w:pPr>
              <w:widowControl/>
              <w:adjustRightInd/>
              <w:spacing w:line="240" w:lineRule="atLeast"/>
              <w:textAlignment w:val="auto"/>
              <w:rPr>
                <w:rFonts w:ascii="Arial" w:eastAsia="仿宋" w:hAnsi="Arial" w:cs="Arial"/>
                <w:szCs w:val="24"/>
              </w:rPr>
            </w:pPr>
          </w:p>
        </w:tc>
        <w:tc>
          <w:tcPr>
            <w:tcW w:w="5670" w:type="dxa"/>
            <w:noWrap/>
            <w:vAlign w:val="center"/>
          </w:tcPr>
          <w:p w14:paraId="65AC0B89" w14:textId="77777777" w:rsidR="0062768B" w:rsidRDefault="00136729">
            <w:pPr>
              <w:spacing w:line="240" w:lineRule="atLeast"/>
              <w:rPr>
                <w:rFonts w:ascii="Arial" w:eastAsia="仿宋" w:hAnsi="Arial" w:cs="Arial"/>
                <w:szCs w:val="24"/>
              </w:rPr>
            </w:pPr>
            <w:r>
              <w:rPr>
                <w:rFonts w:ascii="Arial" w:eastAsia="仿宋" w:hAnsi="Arial" w:cs="Arial"/>
                <w:szCs w:val="24"/>
              </w:rPr>
              <w:t>2.</w:t>
            </w:r>
            <w:r>
              <w:rPr>
                <w:rFonts w:ascii="Arial" w:eastAsia="仿宋" w:hAnsi="Arial" w:cs="Arial"/>
                <w:szCs w:val="24"/>
              </w:rPr>
              <w:t>估价资料有欠缺，来源依据较不充分，取</w:t>
            </w:r>
            <w:r>
              <w:rPr>
                <w:rFonts w:ascii="Arial" w:eastAsia="仿宋" w:hAnsi="Arial" w:cs="Arial"/>
                <w:szCs w:val="24"/>
              </w:rPr>
              <w:t>0</w:t>
            </w:r>
            <w:r>
              <w:rPr>
                <w:rFonts w:ascii="Arial" w:eastAsia="仿宋" w:hAnsi="Arial" w:cs="Arial"/>
                <w:szCs w:val="24"/>
              </w:rPr>
              <w:t>～</w:t>
            </w:r>
            <w:r>
              <w:rPr>
                <w:rFonts w:ascii="Arial" w:eastAsia="仿宋" w:hAnsi="Arial" w:cs="Arial"/>
                <w:szCs w:val="24"/>
              </w:rPr>
              <w:t>9</w:t>
            </w:r>
            <w:r>
              <w:rPr>
                <w:rFonts w:ascii="Arial" w:eastAsia="仿宋" w:hAnsi="Arial" w:cs="Arial"/>
                <w:szCs w:val="24"/>
              </w:rPr>
              <w:t>分；</w:t>
            </w:r>
          </w:p>
        </w:tc>
        <w:tc>
          <w:tcPr>
            <w:tcW w:w="992" w:type="dxa"/>
            <w:vMerge/>
            <w:vAlign w:val="center"/>
          </w:tcPr>
          <w:p w14:paraId="14436D20" w14:textId="77777777" w:rsidR="0062768B" w:rsidRDefault="0062768B">
            <w:pPr>
              <w:widowControl/>
              <w:adjustRightInd/>
              <w:spacing w:line="240" w:lineRule="atLeast"/>
              <w:textAlignment w:val="auto"/>
              <w:rPr>
                <w:rFonts w:ascii="Arial" w:eastAsia="仿宋" w:hAnsi="Arial" w:cs="Arial"/>
                <w:szCs w:val="24"/>
              </w:rPr>
            </w:pPr>
          </w:p>
        </w:tc>
        <w:tc>
          <w:tcPr>
            <w:tcW w:w="989" w:type="dxa"/>
            <w:vMerge/>
            <w:vAlign w:val="center"/>
          </w:tcPr>
          <w:p w14:paraId="79BE1CBE" w14:textId="77777777" w:rsidR="0062768B" w:rsidRDefault="0062768B">
            <w:pPr>
              <w:widowControl/>
              <w:adjustRightInd/>
              <w:spacing w:line="240" w:lineRule="atLeast"/>
              <w:textAlignment w:val="auto"/>
              <w:rPr>
                <w:rFonts w:ascii="Arial" w:eastAsia="仿宋" w:hAnsi="Arial" w:cs="Arial"/>
                <w:szCs w:val="24"/>
              </w:rPr>
            </w:pPr>
          </w:p>
        </w:tc>
      </w:tr>
      <w:tr w:rsidR="0062768B" w14:paraId="6B5CAF2D" w14:textId="77777777">
        <w:trPr>
          <w:cantSplit/>
          <w:jc w:val="center"/>
        </w:trPr>
        <w:tc>
          <w:tcPr>
            <w:tcW w:w="1135" w:type="dxa"/>
            <w:vMerge w:val="restart"/>
            <w:vAlign w:val="center"/>
          </w:tcPr>
          <w:p w14:paraId="76545082"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参数选取的客观性</w:t>
            </w:r>
          </w:p>
        </w:tc>
        <w:tc>
          <w:tcPr>
            <w:tcW w:w="567" w:type="dxa"/>
            <w:vMerge w:val="restart"/>
            <w:vAlign w:val="center"/>
          </w:tcPr>
          <w:p w14:paraId="1BA170AF"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15</w:t>
            </w:r>
          </w:p>
        </w:tc>
        <w:tc>
          <w:tcPr>
            <w:tcW w:w="5670" w:type="dxa"/>
            <w:noWrap/>
            <w:vAlign w:val="center"/>
          </w:tcPr>
          <w:p w14:paraId="1B6C9AF4" w14:textId="77777777" w:rsidR="0062768B" w:rsidRDefault="00136729">
            <w:pPr>
              <w:spacing w:line="240" w:lineRule="atLeast"/>
              <w:rPr>
                <w:rFonts w:ascii="Arial" w:eastAsia="仿宋" w:hAnsi="Arial" w:cs="Arial"/>
                <w:szCs w:val="24"/>
              </w:rPr>
            </w:pPr>
            <w:r>
              <w:rPr>
                <w:rFonts w:ascii="Arial" w:eastAsia="仿宋" w:hAnsi="Arial" w:cs="Arial"/>
                <w:szCs w:val="24"/>
              </w:rPr>
              <w:t>1.</w:t>
            </w:r>
            <w:r>
              <w:rPr>
                <w:rFonts w:ascii="Arial" w:eastAsia="仿宋" w:hAnsi="Arial" w:cs="Arial"/>
                <w:szCs w:val="24"/>
              </w:rPr>
              <w:t>参数从市场上获取，或从权威机构发布的信息上获取，取</w:t>
            </w:r>
            <w:r>
              <w:rPr>
                <w:rFonts w:ascii="Arial" w:eastAsia="仿宋" w:hAnsi="Arial" w:cs="Arial"/>
                <w:szCs w:val="24"/>
              </w:rPr>
              <w:t>10</w:t>
            </w:r>
            <w:r>
              <w:rPr>
                <w:rFonts w:ascii="Arial" w:eastAsia="仿宋" w:hAnsi="Arial" w:cs="Arial"/>
                <w:szCs w:val="24"/>
              </w:rPr>
              <w:t>～</w:t>
            </w:r>
            <w:r>
              <w:rPr>
                <w:rFonts w:ascii="Arial" w:eastAsia="仿宋" w:hAnsi="Arial" w:cs="Arial"/>
                <w:szCs w:val="24"/>
              </w:rPr>
              <w:t>15</w:t>
            </w:r>
            <w:r>
              <w:rPr>
                <w:rFonts w:ascii="Arial" w:eastAsia="仿宋" w:hAnsi="Arial" w:cs="Arial"/>
                <w:szCs w:val="24"/>
              </w:rPr>
              <w:t>分；</w:t>
            </w:r>
          </w:p>
        </w:tc>
        <w:tc>
          <w:tcPr>
            <w:tcW w:w="992" w:type="dxa"/>
            <w:vMerge w:val="restart"/>
            <w:noWrap/>
            <w:vAlign w:val="center"/>
          </w:tcPr>
          <w:p w14:paraId="30815104"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15</w:t>
            </w:r>
          </w:p>
        </w:tc>
        <w:tc>
          <w:tcPr>
            <w:tcW w:w="989" w:type="dxa"/>
            <w:vMerge w:val="restart"/>
            <w:noWrap/>
            <w:vAlign w:val="center"/>
          </w:tcPr>
          <w:p w14:paraId="6C0DE024" w14:textId="77777777" w:rsidR="0062768B" w:rsidRDefault="00136729">
            <w:pPr>
              <w:spacing w:line="240" w:lineRule="atLeast"/>
              <w:jc w:val="center"/>
              <w:rPr>
                <w:rFonts w:ascii="Arial" w:eastAsia="仿宋" w:hAnsi="Arial" w:cs="Arial"/>
                <w:szCs w:val="24"/>
              </w:rPr>
            </w:pPr>
            <w:r>
              <w:rPr>
                <w:rFonts w:ascii="Arial" w:eastAsia="仿宋" w:hAnsi="Arial" w:cs="Arial"/>
                <w:szCs w:val="24"/>
              </w:rPr>
              <w:t>15</w:t>
            </w:r>
          </w:p>
        </w:tc>
      </w:tr>
      <w:tr w:rsidR="0062768B" w14:paraId="184C3615" w14:textId="77777777">
        <w:trPr>
          <w:cantSplit/>
          <w:jc w:val="center"/>
        </w:trPr>
        <w:tc>
          <w:tcPr>
            <w:tcW w:w="1135" w:type="dxa"/>
            <w:vMerge/>
            <w:vAlign w:val="center"/>
          </w:tcPr>
          <w:p w14:paraId="5DB932FA" w14:textId="77777777" w:rsidR="0062768B" w:rsidRDefault="0062768B">
            <w:pPr>
              <w:widowControl/>
              <w:adjustRightInd/>
              <w:spacing w:line="240" w:lineRule="atLeast"/>
              <w:textAlignment w:val="auto"/>
              <w:rPr>
                <w:rFonts w:ascii="Arial" w:eastAsia="仿宋" w:hAnsi="Arial" w:cs="Arial"/>
                <w:szCs w:val="24"/>
              </w:rPr>
            </w:pPr>
          </w:p>
        </w:tc>
        <w:tc>
          <w:tcPr>
            <w:tcW w:w="567" w:type="dxa"/>
            <w:vMerge/>
            <w:vAlign w:val="center"/>
          </w:tcPr>
          <w:p w14:paraId="24E594BD" w14:textId="77777777" w:rsidR="0062768B" w:rsidRDefault="0062768B">
            <w:pPr>
              <w:widowControl/>
              <w:adjustRightInd/>
              <w:spacing w:line="240" w:lineRule="atLeast"/>
              <w:textAlignment w:val="auto"/>
              <w:rPr>
                <w:rFonts w:ascii="Arial" w:eastAsia="仿宋" w:hAnsi="Arial" w:cs="Arial"/>
                <w:szCs w:val="24"/>
              </w:rPr>
            </w:pPr>
          </w:p>
        </w:tc>
        <w:tc>
          <w:tcPr>
            <w:tcW w:w="5670" w:type="dxa"/>
            <w:noWrap/>
            <w:vAlign w:val="center"/>
          </w:tcPr>
          <w:p w14:paraId="1687CA10" w14:textId="77777777" w:rsidR="0062768B" w:rsidRDefault="00136729">
            <w:pPr>
              <w:spacing w:line="240" w:lineRule="atLeast"/>
              <w:rPr>
                <w:rFonts w:ascii="Arial" w:eastAsia="仿宋" w:hAnsi="Arial" w:cs="Arial"/>
                <w:szCs w:val="24"/>
              </w:rPr>
            </w:pPr>
            <w:r>
              <w:rPr>
                <w:rFonts w:ascii="Arial" w:eastAsia="仿宋" w:hAnsi="Arial" w:cs="Arial"/>
                <w:szCs w:val="24"/>
              </w:rPr>
              <w:t>2.</w:t>
            </w:r>
            <w:r>
              <w:rPr>
                <w:rFonts w:ascii="Arial" w:eastAsia="仿宋" w:hAnsi="Arial" w:cs="Arial"/>
                <w:szCs w:val="24"/>
              </w:rPr>
              <w:t>部分参数为自行分析取得，理由较充分，取</w:t>
            </w:r>
            <w:r>
              <w:rPr>
                <w:rFonts w:ascii="Arial" w:eastAsia="仿宋" w:hAnsi="Arial" w:cs="Arial"/>
                <w:szCs w:val="24"/>
              </w:rPr>
              <w:t>0</w:t>
            </w:r>
            <w:r>
              <w:rPr>
                <w:rFonts w:ascii="Arial" w:eastAsia="仿宋" w:hAnsi="Arial" w:cs="Arial"/>
                <w:szCs w:val="24"/>
              </w:rPr>
              <w:t>～</w:t>
            </w:r>
            <w:r>
              <w:rPr>
                <w:rFonts w:ascii="Arial" w:eastAsia="仿宋" w:hAnsi="Arial" w:cs="Arial"/>
                <w:szCs w:val="24"/>
              </w:rPr>
              <w:t>9</w:t>
            </w:r>
            <w:r>
              <w:rPr>
                <w:rFonts w:ascii="Arial" w:eastAsia="仿宋" w:hAnsi="Arial" w:cs="Arial"/>
                <w:szCs w:val="24"/>
              </w:rPr>
              <w:t>分；</w:t>
            </w:r>
          </w:p>
        </w:tc>
        <w:tc>
          <w:tcPr>
            <w:tcW w:w="992" w:type="dxa"/>
            <w:vMerge/>
            <w:vAlign w:val="center"/>
          </w:tcPr>
          <w:p w14:paraId="725F9283" w14:textId="77777777" w:rsidR="0062768B" w:rsidRDefault="0062768B">
            <w:pPr>
              <w:widowControl/>
              <w:adjustRightInd/>
              <w:spacing w:line="240" w:lineRule="atLeast"/>
              <w:textAlignment w:val="auto"/>
              <w:rPr>
                <w:rFonts w:ascii="Arial" w:eastAsia="仿宋" w:hAnsi="Arial" w:cs="Arial"/>
                <w:szCs w:val="24"/>
              </w:rPr>
            </w:pPr>
          </w:p>
        </w:tc>
        <w:tc>
          <w:tcPr>
            <w:tcW w:w="989" w:type="dxa"/>
            <w:vMerge/>
            <w:vAlign w:val="center"/>
          </w:tcPr>
          <w:p w14:paraId="5784AF76" w14:textId="77777777" w:rsidR="0062768B" w:rsidRDefault="0062768B">
            <w:pPr>
              <w:widowControl/>
              <w:adjustRightInd/>
              <w:spacing w:line="240" w:lineRule="atLeast"/>
              <w:textAlignment w:val="auto"/>
              <w:rPr>
                <w:rFonts w:ascii="Arial" w:eastAsia="仿宋" w:hAnsi="Arial" w:cs="Arial"/>
                <w:szCs w:val="24"/>
              </w:rPr>
            </w:pPr>
          </w:p>
        </w:tc>
      </w:tr>
      <w:tr w:rsidR="0062768B" w14:paraId="3F560371" w14:textId="77777777">
        <w:trPr>
          <w:cantSplit/>
          <w:jc w:val="center"/>
        </w:trPr>
        <w:tc>
          <w:tcPr>
            <w:tcW w:w="1135" w:type="dxa"/>
            <w:vMerge w:val="restart"/>
            <w:vAlign w:val="center"/>
          </w:tcPr>
          <w:p w14:paraId="3EC392E7"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参数确定的时效性</w:t>
            </w:r>
          </w:p>
        </w:tc>
        <w:tc>
          <w:tcPr>
            <w:tcW w:w="567" w:type="dxa"/>
            <w:vMerge w:val="restart"/>
            <w:vAlign w:val="center"/>
          </w:tcPr>
          <w:p w14:paraId="6FE7887F"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15</w:t>
            </w:r>
          </w:p>
        </w:tc>
        <w:tc>
          <w:tcPr>
            <w:tcW w:w="5670" w:type="dxa"/>
            <w:noWrap/>
            <w:vAlign w:val="center"/>
          </w:tcPr>
          <w:p w14:paraId="206C7583" w14:textId="77777777" w:rsidR="0062768B" w:rsidRDefault="00136729">
            <w:pPr>
              <w:spacing w:line="240" w:lineRule="atLeast"/>
              <w:rPr>
                <w:rFonts w:ascii="Arial" w:eastAsia="仿宋" w:hAnsi="Arial" w:cs="Arial"/>
                <w:szCs w:val="24"/>
              </w:rPr>
            </w:pPr>
            <w:r>
              <w:rPr>
                <w:rFonts w:ascii="Arial" w:eastAsia="仿宋" w:hAnsi="Arial" w:cs="Arial"/>
                <w:szCs w:val="24"/>
              </w:rPr>
              <w:t>1.</w:t>
            </w:r>
            <w:r>
              <w:rPr>
                <w:rFonts w:ascii="Arial" w:eastAsia="仿宋" w:hAnsi="Arial" w:cs="Arial"/>
                <w:szCs w:val="24"/>
              </w:rPr>
              <w:t>参数在规定的时效范围内，且距估价期日未超过</w:t>
            </w:r>
            <w:r>
              <w:rPr>
                <w:rFonts w:ascii="Arial" w:eastAsia="仿宋" w:hAnsi="Arial" w:cs="Arial"/>
                <w:szCs w:val="24"/>
              </w:rPr>
              <w:t>1</w:t>
            </w:r>
            <w:r>
              <w:rPr>
                <w:rFonts w:ascii="Arial" w:eastAsia="仿宋" w:hAnsi="Arial" w:cs="Arial"/>
                <w:szCs w:val="24"/>
              </w:rPr>
              <w:t>年，取</w:t>
            </w:r>
            <w:r>
              <w:rPr>
                <w:rFonts w:ascii="Arial" w:eastAsia="仿宋" w:hAnsi="Arial" w:cs="Arial"/>
                <w:szCs w:val="24"/>
              </w:rPr>
              <w:t>10</w:t>
            </w:r>
            <w:r>
              <w:rPr>
                <w:rFonts w:ascii="Arial" w:eastAsia="仿宋" w:hAnsi="Arial" w:cs="Arial"/>
                <w:szCs w:val="24"/>
              </w:rPr>
              <w:t>～</w:t>
            </w:r>
            <w:r>
              <w:rPr>
                <w:rFonts w:ascii="Arial" w:eastAsia="仿宋" w:hAnsi="Arial" w:cs="Arial"/>
                <w:szCs w:val="24"/>
              </w:rPr>
              <w:t>15</w:t>
            </w:r>
            <w:r>
              <w:rPr>
                <w:rFonts w:ascii="Arial" w:eastAsia="仿宋" w:hAnsi="Arial" w:cs="Arial"/>
                <w:szCs w:val="24"/>
              </w:rPr>
              <w:t>分；</w:t>
            </w:r>
          </w:p>
        </w:tc>
        <w:tc>
          <w:tcPr>
            <w:tcW w:w="992" w:type="dxa"/>
            <w:vMerge w:val="restart"/>
            <w:noWrap/>
            <w:vAlign w:val="center"/>
          </w:tcPr>
          <w:p w14:paraId="7BE4E25A"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15</w:t>
            </w:r>
          </w:p>
        </w:tc>
        <w:tc>
          <w:tcPr>
            <w:tcW w:w="989" w:type="dxa"/>
            <w:vMerge w:val="restart"/>
            <w:noWrap/>
            <w:vAlign w:val="center"/>
          </w:tcPr>
          <w:p w14:paraId="16CC86A4" w14:textId="77777777" w:rsidR="0062768B" w:rsidRDefault="00136729">
            <w:pPr>
              <w:spacing w:line="240" w:lineRule="atLeast"/>
              <w:jc w:val="center"/>
              <w:rPr>
                <w:rFonts w:ascii="Arial" w:eastAsia="仿宋" w:hAnsi="Arial" w:cs="Arial"/>
                <w:szCs w:val="24"/>
              </w:rPr>
            </w:pPr>
            <w:r>
              <w:rPr>
                <w:rFonts w:ascii="Arial" w:eastAsia="仿宋" w:hAnsi="Arial" w:cs="Arial"/>
                <w:szCs w:val="24"/>
              </w:rPr>
              <w:t>15</w:t>
            </w:r>
          </w:p>
        </w:tc>
      </w:tr>
      <w:tr w:rsidR="0062768B" w14:paraId="7A297444" w14:textId="77777777">
        <w:trPr>
          <w:cantSplit/>
          <w:jc w:val="center"/>
        </w:trPr>
        <w:tc>
          <w:tcPr>
            <w:tcW w:w="1135" w:type="dxa"/>
            <w:vMerge/>
            <w:vAlign w:val="center"/>
          </w:tcPr>
          <w:p w14:paraId="61CED2ED" w14:textId="77777777" w:rsidR="0062768B" w:rsidRDefault="0062768B">
            <w:pPr>
              <w:widowControl/>
              <w:adjustRightInd/>
              <w:spacing w:line="240" w:lineRule="atLeast"/>
              <w:textAlignment w:val="auto"/>
              <w:rPr>
                <w:rFonts w:ascii="Arial" w:eastAsia="仿宋" w:hAnsi="Arial" w:cs="Arial"/>
                <w:szCs w:val="24"/>
              </w:rPr>
            </w:pPr>
          </w:p>
        </w:tc>
        <w:tc>
          <w:tcPr>
            <w:tcW w:w="567" w:type="dxa"/>
            <w:vMerge/>
            <w:vAlign w:val="center"/>
          </w:tcPr>
          <w:p w14:paraId="567EB5DF" w14:textId="77777777" w:rsidR="0062768B" w:rsidRDefault="0062768B">
            <w:pPr>
              <w:widowControl/>
              <w:adjustRightInd/>
              <w:spacing w:line="240" w:lineRule="atLeast"/>
              <w:textAlignment w:val="auto"/>
              <w:rPr>
                <w:rFonts w:ascii="Arial" w:eastAsia="仿宋" w:hAnsi="Arial" w:cs="Arial"/>
                <w:szCs w:val="24"/>
              </w:rPr>
            </w:pPr>
          </w:p>
        </w:tc>
        <w:tc>
          <w:tcPr>
            <w:tcW w:w="5670" w:type="dxa"/>
            <w:noWrap/>
            <w:vAlign w:val="center"/>
          </w:tcPr>
          <w:p w14:paraId="56141BCE" w14:textId="77777777" w:rsidR="0062768B" w:rsidRDefault="00136729">
            <w:pPr>
              <w:spacing w:line="240" w:lineRule="atLeast"/>
              <w:rPr>
                <w:rFonts w:ascii="Arial" w:eastAsia="仿宋" w:hAnsi="Arial" w:cs="Arial"/>
                <w:szCs w:val="24"/>
              </w:rPr>
            </w:pPr>
            <w:r>
              <w:rPr>
                <w:rFonts w:ascii="Arial" w:eastAsia="仿宋" w:hAnsi="Arial" w:cs="Arial"/>
                <w:szCs w:val="24"/>
              </w:rPr>
              <w:t>2.</w:t>
            </w:r>
            <w:r>
              <w:rPr>
                <w:rFonts w:ascii="Arial" w:eastAsia="仿宋" w:hAnsi="Arial" w:cs="Arial"/>
                <w:szCs w:val="24"/>
              </w:rPr>
              <w:t>参数在规定的时效范围内，但距估价期日超过</w:t>
            </w:r>
            <w:r>
              <w:rPr>
                <w:rFonts w:ascii="Arial" w:eastAsia="仿宋" w:hAnsi="Arial" w:cs="Arial"/>
                <w:szCs w:val="24"/>
              </w:rPr>
              <w:t>1</w:t>
            </w:r>
            <w:r>
              <w:rPr>
                <w:rFonts w:ascii="Arial" w:eastAsia="仿宋" w:hAnsi="Arial" w:cs="Arial"/>
                <w:szCs w:val="24"/>
              </w:rPr>
              <w:t>年，取</w:t>
            </w:r>
            <w:r>
              <w:rPr>
                <w:rFonts w:ascii="Arial" w:eastAsia="仿宋" w:hAnsi="Arial" w:cs="Arial"/>
                <w:szCs w:val="24"/>
              </w:rPr>
              <w:t>0</w:t>
            </w:r>
            <w:r>
              <w:rPr>
                <w:rFonts w:ascii="Arial" w:eastAsia="仿宋" w:hAnsi="Arial" w:cs="Arial"/>
                <w:szCs w:val="24"/>
              </w:rPr>
              <w:t>～</w:t>
            </w:r>
            <w:r>
              <w:rPr>
                <w:rFonts w:ascii="Arial" w:eastAsia="仿宋" w:hAnsi="Arial" w:cs="Arial"/>
                <w:szCs w:val="24"/>
              </w:rPr>
              <w:t>9</w:t>
            </w:r>
            <w:r>
              <w:rPr>
                <w:rFonts w:ascii="Arial" w:eastAsia="仿宋" w:hAnsi="Arial" w:cs="Arial"/>
                <w:szCs w:val="24"/>
              </w:rPr>
              <w:t>分；</w:t>
            </w:r>
          </w:p>
        </w:tc>
        <w:tc>
          <w:tcPr>
            <w:tcW w:w="992" w:type="dxa"/>
            <w:vMerge/>
            <w:vAlign w:val="center"/>
          </w:tcPr>
          <w:p w14:paraId="5C7B87F9" w14:textId="77777777" w:rsidR="0062768B" w:rsidRDefault="0062768B">
            <w:pPr>
              <w:widowControl/>
              <w:adjustRightInd/>
              <w:spacing w:line="240" w:lineRule="atLeast"/>
              <w:textAlignment w:val="auto"/>
              <w:rPr>
                <w:rFonts w:ascii="Arial" w:eastAsia="仿宋" w:hAnsi="Arial" w:cs="Arial"/>
                <w:szCs w:val="24"/>
              </w:rPr>
            </w:pPr>
          </w:p>
        </w:tc>
        <w:tc>
          <w:tcPr>
            <w:tcW w:w="989" w:type="dxa"/>
            <w:vMerge/>
            <w:vAlign w:val="center"/>
          </w:tcPr>
          <w:p w14:paraId="0A1C4901" w14:textId="77777777" w:rsidR="0062768B" w:rsidRDefault="0062768B">
            <w:pPr>
              <w:widowControl/>
              <w:adjustRightInd/>
              <w:spacing w:line="240" w:lineRule="atLeast"/>
              <w:textAlignment w:val="auto"/>
              <w:rPr>
                <w:rFonts w:ascii="Arial" w:eastAsia="仿宋" w:hAnsi="Arial" w:cs="Arial"/>
                <w:szCs w:val="24"/>
              </w:rPr>
            </w:pPr>
          </w:p>
        </w:tc>
      </w:tr>
      <w:tr w:rsidR="0062768B" w14:paraId="2E5D5B12" w14:textId="77777777">
        <w:trPr>
          <w:cantSplit/>
          <w:jc w:val="center"/>
        </w:trPr>
        <w:tc>
          <w:tcPr>
            <w:tcW w:w="1135" w:type="dxa"/>
            <w:vMerge w:val="restart"/>
            <w:vAlign w:val="center"/>
          </w:tcPr>
          <w:p w14:paraId="235E4ACB"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估价结果的现势性</w:t>
            </w:r>
          </w:p>
        </w:tc>
        <w:tc>
          <w:tcPr>
            <w:tcW w:w="567" w:type="dxa"/>
            <w:vMerge w:val="restart"/>
            <w:noWrap/>
            <w:vAlign w:val="center"/>
          </w:tcPr>
          <w:p w14:paraId="73680B69"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30</w:t>
            </w:r>
          </w:p>
        </w:tc>
        <w:tc>
          <w:tcPr>
            <w:tcW w:w="5670" w:type="dxa"/>
            <w:noWrap/>
            <w:vAlign w:val="center"/>
          </w:tcPr>
          <w:p w14:paraId="798AA7CA" w14:textId="77777777" w:rsidR="0062768B" w:rsidRDefault="00136729">
            <w:pPr>
              <w:spacing w:line="240" w:lineRule="atLeast"/>
              <w:rPr>
                <w:rFonts w:ascii="Arial" w:eastAsia="仿宋" w:hAnsi="Arial" w:cs="Arial"/>
                <w:szCs w:val="24"/>
              </w:rPr>
            </w:pPr>
            <w:r>
              <w:rPr>
                <w:rFonts w:ascii="Arial" w:eastAsia="仿宋" w:hAnsi="Arial" w:cs="Arial"/>
                <w:szCs w:val="24"/>
              </w:rPr>
              <w:t>1.</w:t>
            </w:r>
            <w:r>
              <w:rPr>
                <w:rFonts w:ascii="Arial" w:eastAsia="仿宋" w:hAnsi="Arial" w:cs="Arial"/>
                <w:szCs w:val="24"/>
              </w:rPr>
              <w:t>估价结果与同类用途房地产市场价格水平一致，且考虑了房地产市场发展趋势，取</w:t>
            </w:r>
            <w:r>
              <w:rPr>
                <w:rFonts w:ascii="Arial" w:eastAsia="仿宋" w:hAnsi="Arial" w:cs="Arial"/>
                <w:szCs w:val="24"/>
              </w:rPr>
              <w:t>20</w:t>
            </w:r>
            <w:r>
              <w:rPr>
                <w:rFonts w:ascii="Arial" w:eastAsia="仿宋" w:hAnsi="Arial" w:cs="Arial"/>
                <w:szCs w:val="24"/>
              </w:rPr>
              <w:t>～</w:t>
            </w:r>
            <w:r>
              <w:rPr>
                <w:rFonts w:ascii="Arial" w:eastAsia="仿宋" w:hAnsi="Arial" w:cs="Arial"/>
                <w:szCs w:val="24"/>
              </w:rPr>
              <w:t>30</w:t>
            </w:r>
            <w:r>
              <w:rPr>
                <w:rFonts w:ascii="Arial" w:eastAsia="仿宋" w:hAnsi="Arial" w:cs="Arial"/>
                <w:szCs w:val="24"/>
              </w:rPr>
              <w:t>分；</w:t>
            </w:r>
          </w:p>
        </w:tc>
        <w:tc>
          <w:tcPr>
            <w:tcW w:w="992" w:type="dxa"/>
            <w:vMerge w:val="restart"/>
            <w:noWrap/>
            <w:vAlign w:val="center"/>
          </w:tcPr>
          <w:p w14:paraId="5753D8E8"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25</w:t>
            </w:r>
          </w:p>
        </w:tc>
        <w:tc>
          <w:tcPr>
            <w:tcW w:w="989" w:type="dxa"/>
            <w:vMerge w:val="restart"/>
            <w:noWrap/>
            <w:vAlign w:val="center"/>
          </w:tcPr>
          <w:p w14:paraId="46B5251B" w14:textId="77777777" w:rsidR="0062768B" w:rsidRDefault="00136729">
            <w:pPr>
              <w:spacing w:line="240" w:lineRule="atLeast"/>
              <w:jc w:val="center"/>
              <w:rPr>
                <w:rFonts w:ascii="Arial" w:eastAsia="仿宋" w:hAnsi="Arial" w:cs="Arial"/>
                <w:szCs w:val="24"/>
              </w:rPr>
            </w:pPr>
            <w:r>
              <w:rPr>
                <w:rFonts w:ascii="Arial" w:eastAsia="仿宋" w:hAnsi="Arial" w:cs="Arial"/>
                <w:szCs w:val="24"/>
              </w:rPr>
              <w:t>25</w:t>
            </w:r>
          </w:p>
        </w:tc>
      </w:tr>
      <w:tr w:rsidR="0062768B" w14:paraId="21A41176" w14:textId="77777777">
        <w:trPr>
          <w:cantSplit/>
          <w:jc w:val="center"/>
        </w:trPr>
        <w:tc>
          <w:tcPr>
            <w:tcW w:w="1135" w:type="dxa"/>
            <w:vMerge/>
            <w:vAlign w:val="center"/>
          </w:tcPr>
          <w:p w14:paraId="4E7B8859" w14:textId="77777777" w:rsidR="0062768B" w:rsidRDefault="0062768B">
            <w:pPr>
              <w:widowControl/>
              <w:adjustRightInd/>
              <w:spacing w:line="240" w:lineRule="atLeast"/>
              <w:textAlignment w:val="auto"/>
              <w:rPr>
                <w:rFonts w:ascii="Arial" w:eastAsia="仿宋" w:hAnsi="Arial" w:cs="Arial"/>
                <w:szCs w:val="24"/>
              </w:rPr>
            </w:pPr>
          </w:p>
        </w:tc>
        <w:tc>
          <w:tcPr>
            <w:tcW w:w="567" w:type="dxa"/>
            <w:vMerge/>
            <w:vAlign w:val="center"/>
          </w:tcPr>
          <w:p w14:paraId="742A8AC2" w14:textId="77777777" w:rsidR="0062768B" w:rsidRDefault="0062768B">
            <w:pPr>
              <w:widowControl/>
              <w:adjustRightInd/>
              <w:spacing w:line="240" w:lineRule="atLeast"/>
              <w:textAlignment w:val="auto"/>
              <w:rPr>
                <w:rFonts w:ascii="Arial" w:eastAsia="仿宋" w:hAnsi="Arial" w:cs="Arial"/>
                <w:szCs w:val="24"/>
              </w:rPr>
            </w:pPr>
          </w:p>
        </w:tc>
        <w:tc>
          <w:tcPr>
            <w:tcW w:w="5670" w:type="dxa"/>
            <w:noWrap/>
            <w:vAlign w:val="center"/>
          </w:tcPr>
          <w:p w14:paraId="1F1A18CF" w14:textId="77777777" w:rsidR="0062768B" w:rsidRDefault="00136729">
            <w:pPr>
              <w:spacing w:line="240" w:lineRule="atLeast"/>
              <w:rPr>
                <w:rFonts w:ascii="Arial" w:eastAsia="仿宋" w:hAnsi="Arial" w:cs="Arial"/>
                <w:szCs w:val="24"/>
              </w:rPr>
            </w:pPr>
            <w:r>
              <w:rPr>
                <w:rFonts w:ascii="Arial" w:eastAsia="仿宋" w:hAnsi="Arial" w:cs="Arial"/>
                <w:szCs w:val="24"/>
              </w:rPr>
              <w:t>2.</w:t>
            </w:r>
            <w:r>
              <w:rPr>
                <w:rFonts w:ascii="Arial" w:eastAsia="仿宋" w:hAnsi="Arial" w:cs="Arial"/>
                <w:szCs w:val="24"/>
              </w:rPr>
              <w:t>估价结果与同类用途房地产价格水平基本一致，且适当考虑了房地产市场发展趋势，取</w:t>
            </w:r>
            <w:r>
              <w:rPr>
                <w:rFonts w:ascii="Arial" w:eastAsia="仿宋" w:hAnsi="Arial" w:cs="Arial"/>
                <w:szCs w:val="24"/>
              </w:rPr>
              <w:t>10</w:t>
            </w:r>
            <w:r>
              <w:rPr>
                <w:rFonts w:ascii="Arial" w:eastAsia="仿宋" w:hAnsi="Arial" w:cs="Arial"/>
                <w:szCs w:val="24"/>
              </w:rPr>
              <w:t>～</w:t>
            </w:r>
            <w:r>
              <w:rPr>
                <w:rFonts w:ascii="Arial" w:eastAsia="仿宋" w:hAnsi="Arial" w:cs="Arial"/>
                <w:szCs w:val="24"/>
              </w:rPr>
              <w:t>19</w:t>
            </w:r>
            <w:r>
              <w:rPr>
                <w:rFonts w:ascii="Arial" w:eastAsia="仿宋" w:hAnsi="Arial" w:cs="Arial"/>
                <w:szCs w:val="24"/>
              </w:rPr>
              <w:t>分；</w:t>
            </w:r>
          </w:p>
        </w:tc>
        <w:tc>
          <w:tcPr>
            <w:tcW w:w="992" w:type="dxa"/>
            <w:vMerge/>
            <w:vAlign w:val="center"/>
          </w:tcPr>
          <w:p w14:paraId="47367911" w14:textId="77777777" w:rsidR="0062768B" w:rsidRDefault="0062768B">
            <w:pPr>
              <w:widowControl/>
              <w:adjustRightInd/>
              <w:spacing w:line="240" w:lineRule="atLeast"/>
              <w:textAlignment w:val="auto"/>
              <w:rPr>
                <w:rFonts w:ascii="Arial" w:eastAsia="仿宋" w:hAnsi="Arial" w:cs="Arial"/>
                <w:szCs w:val="24"/>
              </w:rPr>
            </w:pPr>
          </w:p>
        </w:tc>
        <w:tc>
          <w:tcPr>
            <w:tcW w:w="989" w:type="dxa"/>
            <w:vMerge/>
            <w:vAlign w:val="center"/>
          </w:tcPr>
          <w:p w14:paraId="0FCF600A" w14:textId="77777777" w:rsidR="0062768B" w:rsidRDefault="0062768B">
            <w:pPr>
              <w:widowControl/>
              <w:adjustRightInd/>
              <w:spacing w:line="240" w:lineRule="atLeast"/>
              <w:textAlignment w:val="auto"/>
              <w:rPr>
                <w:rFonts w:ascii="Arial" w:eastAsia="仿宋" w:hAnsi="Arial" w:cs="Arial"/>
                <w:szCs w:val="24"/>
              </w:rPr>
            </w:pPr>
          </w:p>
        </w:tc>
      </w:tr>
      <w:tr w:rsidR="0062768B" w14:paraId="6E260273" w14:textId="77777777">
        <w:trPr>
          <w:cantSplit/>
          <w:jc w:val="center"/>
        </w:trPr>
        <w:tc>
          <w:tcPr>
            <w:tcW w:w="1135" w:type="dxa"/>
            <w:vMerge/>
            <w:vAlign w:val="center"/>
          </w:tcPr>
          <w:p w14:paraId="2E3EADB1" w14:textId="77777777" w:rsidR="0062768B" w:rsidRDefault="0062768B">
            <w:pPr>
              <w:widowControl/>
              <w:adjustRightInd/>
              <w:spacing w:line="240" w:lineRule="atLeast"/>
              <w:textAlignment w:val="auto"/>
              <w:rPr>
                <w:rFonts w:ascii="Arial" w:eastAsia="仿宋" w:hAnsi="Arial" w:cs="Arial"/>
                <w:szCs w:val="24"/>
              </w:rPr>
            </w:pPr>
          </w:p>
        </w:tc>
        <w:tc>
          <w:tcPr>
            <w:tcW w:w="567" w:type="dxa"/>
            <w:vMerge/>
            <w:vAlign w:val="center"/>
          </w:tcPr>
          <w:p w14:paraId="359A2044" w14:textId="77777777" w:rsidR="0062768B" w:rsidRDefault="0062768B">
            <w:pPr>
              <w:widowControl/>
              <w:adjustRightInd/>
              <w:spacing w:line="240" w:lineRule="atLeast"/>
              <w:textAlignment w:val="auto"/>
              <w:rPr>
                <w:rFonts w:ascii="Arial" w:eastAsia="仿宋" w:hAnsi="Arial" w:cs="Arial"/>
                <w:szCs w:val="24"/>
              </w:rPr>
            </w:pPr>
          </w:p>
        </w:tc>
        <w:tc>
          <w:tcPr>
            <w:tcW w:w="5670" w:type="dxa"/>
            <w:noWrap/>
            <w:vAlign w:val="center"/>
          </w:tcPr>
          <w:p w14:paraId="74D496AF" w14:textId="77777777" w:rsidR="0062768B" w:rsidRDefault="00136729">
            <w:pPr>
              <w:spacing w:line="240" w:lineRule="atLeast"/>
              <w:rPr>
                <w:rFonts w:ascii="Arial" w:eastAsia="仿宋" w:hAnsi="Arial" w:cs="Arial"/>
                <w:szCs w:val="24"/>
              </w:rPr>
            </w:pPr>
            <w:r>
              <w:rPr>
                <w:rFonts w:ascii="Arial" w:eastAsia="仿宋" w:hAnsi="Arial" w:cs="Arial"/>
                <w:szCs w:val="24"/>
              </w:rPr>
              <w:t>3.</w:t>
            </w:r>
            <w:r>
              <w:rPr>
                <w:rFonts w:ascii="Arial" w:eastAsia="仿宋" w:hAnsi="Arial" w:cs="Arial"/>
                <w:szCs w:val="24"/>
              </w:rPr>
              <w:t>估价结果与同类用途房地产价格水平有一定差距，且适当考虑房地产市场发展趋势，取</w:t>
            </w:r>
            <w:r>
              <w:rPr>
                <w:rFonts w:ascii="Arial" w:eastAsia="仿宋" w:hAnsi="Arial" w:cs="Arial"/>
                <w:szCs w:val="24"/>
              </w:rPr>
              <w:t>0</w:t>
            </w:r>
            <w:r>
              <w:rPr>
                <w:rFonts w:ascii="Arial" w:eastAsia="仿宋" w:hAnsi="Arial" w:cs="Arial"/>
                <w:szCs w:val="24"/>
              </w:rPr>
              <w:t>～</w:t>
            </w:r>
            <w:r>
              <w:rPr>
                <w:rFonts w:ascii="Arial" w:eastAsia="仿宋" w:hAnsi="Arial" w:cs="Arial"/>
                <w:szCs w:val="24"/>
              </w:rPr>
              <w:t>9</w:t>
            </w:r>
            <w:r>
              <w:rPr>
                <w:rFonts w:ascii="Arial" w:eastAsia="仿宋" w:hAnsi="Arial" w:cs="Arial"/>
                <w:szCs w:val="24"/>
              </w:rPr>
              <w:t>分；</w:t>
            </w:r>
          </w:p>
        </w:tc>
        <w:tc>
          <w:tcPr>
            <w:tcW w:w="992" w:type="dxa"/>
            <w:vMerge/>
            <w:vAlign w:val="center"/>
          </w:tcPr>
          <w:p w14:paraId="1AA5AA71" w14:textId="77777777" w:rsidR="0062768B" w:rsidRDefault="0062768B">
            <w:pPr>
              <w:widowControl/>
              <w:adjustRightInd/>
              <w:spacing w:line="240" w:lineRule="atLeast"/>
              <w:textAlignment w:val="auto"/>
              <w:rPr>
                <w:rFonts w:ascii="Arial" w:eastAsia="仿宋" w:hAnsi="Arial" w:cs="Arial"/>
                <w:szCs w:val="24"/>
              </w:rPr>
            </w:pPr>
          </w:p>
        </w:tc>
        <w:tc>
          <w:tcPr>
            <w:tcW w:w="989" w:type="dxa"/>
            <w:vMerge/>
            <w:vAlign w:val="center"/>
          </w:tcPr>
          <w:p w14:paraId="6088760F" w14:textId="77777777" w:rsidR="0062768B" w:rsidRDefault="0062768B">
            <w:pPr>
              <w:widowControl/>
              <w:adjustRightInd/>
              <w:spacing w:line="240" w:lineRule="atLeast"/>
              <w:textAlignment w:val="auto"/>
              <w:rPr>
                <w:rFonts w:ascii="Arial" w:eastAsia="仿宋" w:hAnsi="Arial" w:cs="Arial"/>
                <w:szCs w:val="24"/>
              </w:rPr>
            </w:pPr>
          </w:p>
        </w:tc>
      </w:tr>
      <w:tr w:rsidR="0062768B" w14:paraId="1BF5BC23" w14:textId="77777777">
        <w:trPr>
          <w:cantSplit/>
          <w:jc w:val="center"/>
        </w:trPr>
        <w:tc>
          <w:tcPr>
            <w:tcW w:w="7372" w:type="dxa"/>
            <w:gridSpan w:val="3"/>
            <w:noWrap/>
            <w:vAlign w:val="center"/>
          </w:tcPr>
          <w:p w14:paraId="4338F049" w14:textId="77777777" w:rsidR="0062768B" w:rsidRDefault="00136729">
            <w:pPr>
              <w:widowControl/>
              <w:adjustRightInd/>
              <w:spacing w:line="240" w:lineRule="atLeast"/>
              <w:jc w:val="center"/>
              <w:textAlignment w:val="auto"/>
              <w:rPr>
                <w:rFonts w:ascii="Arial" w:eastAsia="仿宋" w:hAnsi="Arial" w:cs="Arial"/>
                <w:b/>
                <w:bCs/>
                <w:szCs w:val="24"/>
              </w:rPr>
            </w:pPr>
            <w:r>
              <w:rPr>
                <w:rFonts w:ascii="Arial" w:eastAsia="仿宋" w:hAnsi="Arial" w:cs="Arial"/>
                <w:b/>
                <w:bCs/>
                <w:szCs w:val="24"/>
              </w:rPr>
              <w:t>分值</w:t>
            </w:r>
          </w:p>
        </w:tc>
        <w:tc>
          <w:tcPr>
            <w:tcW w:w="992" w:type="dxa"/>
            <w:noWrap/>
            <w:vAlign w:val="center"/>
          </w:tcPr>
          <w:p w14:paraId="7A66F9C2"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90</w:t>
            </w:r>
          </w:p>
        </w:tc>
        <w:tc>
          <w:tcPr>
            <w:tcW w:w="989" w:type="dxa"/>
            <w:noWrap/>
            <w:vAlign w:val="center"/>
          </w:tcPr>
          <w:p w14:paraId="5B886E21" w14:textId="77777777" w:rsidR="0062768B" w:rsidRDefault="00136729">
            <w:pPr>
              <w:spacing w:line="240" w:lineRule="atLeast"/>
              <w:jc w:val="center"/>
              <w:rPr>
                <w:rFonts w:ascii="Arial" w:eastAsia="仿宋" w:hAnsi="Arial" w:cs="Arial"/>
                <w:szCs w:val="24"/>
              </w:rPr>
            </w:pPr>
            <w:r>
              <w:rPr>
                <w:rFonts w:ascii="Arial" w:eastAsia="仿宋" w:hAnsi="Arial" w:cs="Arial"/>
                <w:szCs w:val="24"/>
              </w:rPr>
              <w:t>90</w:t>
            </w:r>
          </w:p>
        </w:tc>
      </w:tr>
      <w:tr w:rsidR="0062768B" w14:paraId="61B3E8BB" w14:textId="77777777">
        <w:trPr>
          <w:cantSplit/>
          <w:jc w:val="center"/>
        </w:trPr>
        <w:tc>
          <w:tcPr>
            <w:tcW w:w="7372" w:type="dxa"/>
            <w:gridSpan w:val="3"/>
            <w:noWrap/>
            <w:vAlign w:val="center"/>
          </w:tcPr>
          <w:p w14:paraId="3D3F3D84" w14:textId="77777777" w:rsidR="0062768B" w:rsidRDefault="00136729">
            <w:pPr>
              <w:widowControl/>
              <w:adjustRightInd/>
              <w:spacing w:line="240" w:lineRule="atLeast"/>
              <w:jc w:val="center"/>
              <w:textAlignment w:val="auto"/>
              <w:rPr>
                <w:rFonts w:ascii="Arial" w:eastAsia="仿宋" w:hAnsi="Arial" w:cs="Arial"/>
                <w:b/>
                <w:bCs/>
                <w:szCs w:val="24"/>
              </w:rPr>
            </w:pPr>
            <w:r>
              <w:rPr>
                <w:rFonts w:ascii="Arial" w:eastAsia="仿宋" w:hAnsi="Arial" w:cs="Arial"/>
                <w:b/>
                <w:bCs/>
                <w:szCs w:val="24"/>
              </w:rPr>
              <w:t>权重</w:t>
            </w:r>
          </w:p>
        </w:tc>
        <w:tc>
          <w:tcPr>
            <w:tcW w:w="992" w:type="dxa"/>
            <w:noWrap/>
            <w:vAlign w:val="center"/>
          </w:tcPr>
          <w:p w14:paraId="3E27D0A3"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5</w:t>
            </w:r>
            <w:r>
              <w:rPr>
                <w:rFonts w:ascii="Arial" w:eastAsia="仿宋" w:hAnsi="Arial" w:cs="Arial"/>
                <w:szCs w:val="24"/>
              </w:rPr>
              <w:t>0%</w:t>
            </w:r>
          </w:p>
        </w:tc>
        <w:tc>
          <w:tcPr>
            <w:tcW w:w="989" w:type="dxa"/>
            <w:noWrap/>
            <w:vAlign w:val="center"/>
          </w:tcPr>
          <w:p w14:paraId="187BD555"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5</w:t>
            </w:r>
            <w:r>
              <w:rPr>
                <w:rFonts w:ascii="Arial" w:eastAsia="仿宋" w:hAnsi="Arial" w:cs="Arial"/>
                <w:szCs w:val="24"/>
              </w:rPr>
              <w:t>0%</w:t>
            </w:r>
          </w:p>
        </w:tc>
      </w:tr>
    </w:tbl>
    <w:p w14:paraId="4DF43961" w14:textId="77777777" w:rsidR="0062768B" w:rsidRDefault="0062768B">
      <w:pPr>
        <w:adjustRightInd/>
        <w:spacing w:line="300" w:lineRule="auto"/>
        <w:jc w:val="both"/>
        <w:rPr>
          <w:rFonts w:ascii="Arial" w:eastAsia="仿宋_GB2312" w:hAnsi="Arial" w:cs="Arial"/>
          <w:b/>
          <w:sz w:val="28"/>
        </w:rPr>
      </w:pPr>
    </w:p>
    <w:p w14:paraId="2D4A2A36" w14:textId="77777777" w:rsidR="0062768B" w:rsidRDefault="00136729">
      <w:pPr>
        <w:adjustRightInd/>
        <w:spacing w:line="300" w:lineRule="auto"/>
        <w:jc w:val="both"/>
        <w:rPr>
          <w:rFonts w:ascii="Arial" w:eastAsia="仿宋_GB2312" w:hAnsi="Arial" w:cs="Arial"/>
          <w:b/>
          <w:sz w:val="28"/>
        </w:rPr>
      </w:pPr>
      <w:r>
        <w:rPr>
          <w:rFonts w:ascii="Arial" w:eastAsia="仿宋_GB2312" w:hAnsi="Arial" w:cs="Arial"/>
          <w:b/>
          <w:sz w:val="28"/>
        </w:rPr>
        <w:t>则：各</w:t>
      </w:r>
      <w:proofErr w:type="gramStart"/>
      <w:r>
        <w:rPr>
          <w:rFonts w:ascii="Arial" w:eastAsia="仿宋_GB2312" w:hAnsi="Arial" w:cs="Arial"/>
          <w:b/>
          <w:sz w:val="28"/>
        </w:rPr>
        <w:t>用途楼</w:t>
      </w:r>
      <w:proofErr w:type="gramEnd"/>
      <w:r>
        <w:rPr>
          <w:rFonts w:ascii="Arial" w:eastAsia="仿宋_GB2312" w:hAnsi="Arial" w:cs="Arial"/>
          <w:b/>
          <w:sz w:val="28"/>
        </w:rPr>
        <w:t>面熟地价如下：</w:t>
      </w:r>
    </w:p>
    <w:p w14:paraId="114229A5"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住宅</w:t>
      </w:r>
      <w:r>
        <w:rPr>
          <w:rFonts w:ascii="Arial" w:eastAsia="仿宋_GB2312" w:hAnsi="Arial" w:cs="Arial"/>
          <w:sz w:val="28"/>
        </w:rPr>
        <w:t>用途</w:t>
      </w:r>
      <w:r>
        <w:rPr>
          <w:rFonts w:ascii="Arial" w:eastAsia="仿宋_GB2312" w:hAnsi="Arial" w:cs="Arial"/>
          <w:sz w:val="28"/>
          <w:szCs w:val="28"/>
        </w:rPr>
        <w:t>熟地价楼面</w:t>
      </w:r>
      <w:r>
        <w:rPr>
          <w:rFonts w:ascii="Arial" w:eastAsia="仿宋_GB2312" w:hAnsi="Arial" w:cs="Arial" w:hint="eastAsia"/>
          <w:sz w:val="28"/>
          <w:szCs w:val="28"/>
        </w:rPr>
        <w:t>单价</w:t>
      </w:r>
    </w:p>
    <w:p w14:paraId="3244521E"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rPr>
        <w:t>=7428</w:t>
      </w:r>
      <w:r>
        <w:rPr>
          <w:rFonts w:ascii="Arial" w:eastAsia="仿宋_GB2312" w:hAnsi="Arial" w:cs="Arial"/>
          <w:sz w:val="28"/>
          <w:szCs w:val="28"/>
        </w:rPr>
        <w:t>×</w:t>
      </w:r>
      <w:r>
        <w:rPr>
          <w:rFonts w:ascii="Arial" w:eastAsia="仿宋_GB2312" w:hAnsi="Arial" w:cs="Arial"/>
          <w:sz w:val="28"/>
        </w:rPr>
        <w:t>30</w:t>
      </w:r>
      <w:r>
        <w:rPr>
          <w:rFonts w:ascii="Arial" w:eastAsia="仿宋_GB2312" w:hAnsi="Arial" w:cs="Arial"/>
          <w:sz w:val="28"/>
          <w:szCs w:val="28"/>
        </w:rPr>
        <w:t>%+</w:t>
      </w:r>
      <w:r>
        <w:rPr>
          <w:rFonts w:ascii="Arial" w:eastAsia="仿宋_GB2312" w:hAnsi="Arial" w:cs="Arial" w:hint="eastAsia"/>
          <w:sz w:val="28"/>
        </w:rPr>
        <w:t xml:space="preserve"> </w:t>
      </w:r>
      <w:r>
        <w:rPr>
          <w:rFonts w:ascii="Arial" w:eastAsia="仿宋_GB2312" w:hAnsi="Arial" w:cs="Arial"/>
          <w:sz w:val="28"/>
        </w:rPr>
        <w:t>18459</w:t>
      </w:r>
      <w:r>
        <w:rPr>
          <w:rFonts w:ascii="Arial" w:eastAsia="仿宋_GB2312" w:hAnsi="Arial" w:cs="Arial"/>
          <w:sz w:val="28"/>
          <w:szCs w:val="28"/>
        </w:rPr>
        <w:t>×</w:t>
      </w:r>
      <w:r>
        <w:rPr>
          <w:rFonts w:ascii="Arial" w:eastAsia="仿宋_GB2312" w:hAnsi="Arial" w:cs="Arial"/>
          <w:sz w:val="28"/>
        </w:rPr>
        <w:t>70</w:t>
      </w:r>
      <w:r>
        <w:rPr>
          <w:rFonts w:ascii="Arial" w:eastAsia="仿宋_GB2312" w:hAnsi="Arial" w:cs="Arial"/>
          <w:sz w:val="28"/>
          <w:szCs w:val="28"/>
        </w:rPr>
        <w:t>%</w:t>
      </w:r>
    </w:p>
    <w:p w14:paraId="020F2510"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szCs w:val="28"/>
        </w:rPr>
        <w:t>=15150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14:paraId="1A0D9A53" w14:textId="77777777" w:rsidR="0062768B" w:rsidRDefault="00136729">
      <w:pPr>
        <w:adjustRightInd/>
        <w:spacing w:line="300" w:lineRule="auto"/>
        <w:ind w:firstLineChars="200" w:firstLine="560"/>
        <w:rPr>
          <w:rFonts w:ascii="Arial" w:eastAsia="仿宋_GB2312" w:hAnsi="Arial" w:cs="Arial"/>
          <w:sz w:val="28"/>
        </w:rPr>
      </w:pPr>
      <w:r>
        <w:rPr>
          <w:rFonts w:ascii="Arial" w:eastAsia="仿宋_GB2312" w:hAnsi="Arial" w:cs="Arial"/>
          <w:sz w:val="28"/>
        </w:rPr>
        <w:t>商业</w:t>
      </w:r>
      <w:r>
        <w:rPr>
          <w:rFonts w:ascii="Arial" w:eastAsia="仿宋_GB2312" w:hAnsi="Arial" w:cs="Arial" w:hint="eastAsia"/>
          <w:sz w:val="28"/>
        </w:rPr>
        <w:t>（其他商服）</w:t>
      </w:r>
      <w:r>
        <w:rPr>
          <w:rFonts w:ascii="Arial" w:eastAsia="仿宋_GB2312" w:hAnsi="Arial" w:cs="Arial"/>
          <w:sz w:val="28"/>
        </w:rPr>
        <w:t>用途</w:t>
      </w:r>
      <w:r>
        <w:rPr>
          <w:rFonts w:ascii="Arial" w:eastAsia="仿宋_GB2312" w:hAnsi="Arial" w:cs="Arial"/>
          <w:sz w:val="28"/>
          <w:szCs w:val="28"/>
        </w:rPr>
        <w:t>熟地价楼面</w:t>
      </w:r>
      <w:r>
        <w:rPr>
          <w:rFonts w:ascii="Arial" w:eastAsia="仿宋_GB2312" w:hAnsi="Arial" w:cs="Arial" w:hint="eastAsia"/>
          <w:sz w:val="28"/>
          <w:szCs w:val="28"/>
        </w:rPr>
        <w:t>单价</w:t>
      </w:r>
    </w:p>
    <w:p w14:paraId="16E62EE2" w14:textId="77777777" w:rsidR="0062768B" w:rsidRDefault="00136729">
      <w:pPr>
        <w:adjustRightInd/>
        <w:spacing w:line="300" w:lineRule="auto"/>
        <w:ind w:firstLineChars="200" w:firstLine="560"/>
        <w:rPr>
          <w:rFonts w:ascii="Arial" w:eastAsia="仿宋_GB2312" w:hAnsi="Arial" w:cs="Arial"/>
          <w:sz w:val="28"/>
          <w:szCs w:val="28"/>
        </w:rPr>
      </w:pPr>
      <w:r>
        <w:rPr>
          <w:rFonts w:ascii="Arial" w:eastAsia="仿宋_GB2312" w:hAnsi="Arial" w:cs="Arial"/>
          <w:sz w:val="28"/>
        </w:rPr>
        <w:t>=</w:t>
      </w:r>
      <w:r>
        <w:rPr>
          <w:rFonts w:ascii="Arial" w:eastAsia="仿宋_GB2312" w:hAnsi="Arial" w:cs="Arial" w:hint="eastAsia"/>
          <w:sz w:val="28"/>
        </w:rPr>
        <w:t xml:space="preserve"> </w:t>
      </w:r>
      <w:r>
        <w:rPr>
          <w:rFonts w:ascii="Arial" w:eastAsia="仿宋_GB2312" w:hAnsi="Arial" w:cs="Arial"/>
          <w:sz w:val="28"/>
        </w:rPr>
        <w:t>5098</w:t>
      </w:r>
      <w:r>
        <w:rPr>
          <w:rFonts w:ascii="Arial" w:eastAsia="仿宋_GB2312" w:hAnsi="Arial" w:cs="Arial"/>
          <w:sz w:val="28"/>
          <w:szCs w:val="28"/>
        </w:rPr>
        <w:t>×</w:t>
      </w:r>
      <w:r>
        <w:rPr>
          <w:rFonts w:ascii="Arial" w:eastAsia="仿宋_GB2312" w:hAnsi="Arial" w:cs="Arial"/>
          <w:sz w:val="28"/>
        </w:rPr>
        <w:t>30</w:t>
      </w:r>
      <w:r>
        <w:rPr>
          <w:rFonts w:ascii="Arial" w:eastAsia="仿宋_GB2312" w:hAnsi="Arial" w:cs="Arial"/>
          <w:sz w:val="28"/>
          <w:szCs w:val="28"/>
        </w:rPr>
        <w:t>%+</w:t>
      </w:r>
      <w:r>
        <w:rPr>
          <w:rFonts w:ascii="Arial" w:eastAsia="仿宋_GB2312" w:hAnsi="Arial" w:cs="Arial" w:hint="eastAsia"/>
          <w:sz w:val="28"/>
        </w:rPr>
        <w:t xml:space="preserve"> </w:t>
      </w:r>
      <w:r>
        <w:rPr>
          <w:rFonts w:ascii="Arial" w:eastAsia="仿宋_GB2312" w:hAnsi="Arial" w:cs="Arial"/>
          <w:sz w:val="28"/>
        </w:rPr>
        <w:t>9426</w:t>
      </w:r>
      <w:r>
        <w:rPr>
          <w:rFonts w:ascii="Arial" w:eastAsia="仿宋_GB2312" w:hAnsi="Arial" w:cs="Arial"/>
          <w:sz w:val="28"/>
          <w:szCs w:val="28"/>
        </w:rPr>
        <w:t>×</w:t>
      </w:r>
      <w:r>
        <w:rPr>
          <w:rFonts w:ascii="Arial" w:eastAsia="仿宋_GB2312" w:hAnsi="Arial" w:cs="Arial"/>
          <w:sz w:val="28"/>
        </w:rPr>
        <w:t>70</w:t>
      </w:r>
      <w:r>
        <w:rPr>
          <w:rFonts w:ascii="Arial" w:eastAsia="仿宋_GB2312" w:hAnsi="Arial" w:cs="Arial"/>
          <w:sz w:val="28"/>
          <w:szCs w:val="28"/>
        </w:rPr>
        <w:t>%</w:t>
      </w:r>
    </w:p>
    <w:p w14:paraId="17A15E95" w14:textId="77777777" w:rsidR="0062768B" w:rsidRDefault="00136729">
      <w:pPr>
        <w:adjustRightInd/>
        <w:spacing w:line="300" w:lineRule="auto"/>
        <w:ind w:firstLineChars="200" w:firstLine="560"/>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 xml:space="preserve"> </w:t>
      </w:r>
      <w:r>
        <w:rPr>
          <w:rFonts w:ascii="Arial" w:eastAsia="仿宋_GB2312" w:hAnsi="Arial" w:cs="Arial"/>
          <w:sz w:val="28"/>
        </w:rPr>
        <w:t>8128</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14:paraId="24B642BD"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公共</w:t>
      </w:r>
      <w:r>
        <w:rPr>
          <w:rFonts w:ascii="Arial" w:eastAsia="仿宋_GB2312" w:hAnsi="Arial" w:cs="Arial"/>
          <w:sz w:val="28"/>
        </w:rPr>
        <w:t>服务用途</w:t>
      </w:r>
      <w:r>
        <w:rPr>
          <w:rFonts w:ascii="Arial" w:eastAsia="仿宋_GB2312" w:hAnsi="Arial" w:cs="Arial"/>
          <w:sz w:val="28"/>
          <w:szCs w:val="28"/>
        </w:rPr>
        <w:t>熟地价楼面</w:t>
      </w:r>
      <w:r>
        <w:rPr>
          <w:rFonts w:ascii="Arial" w:eastAsia="仿宋_GB2312" w:hAnsi="Arial" w:cs="Arial" w:hint="eastAsia"/>
          <w:sz w:val="28"/>
          <w:szCs w:val="28"/>
        </w:rPr>
        <w:t>单价</w:t>
      </w:r>
    </w:p>
    <w:p w14:paraId="7F2B0082"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rPr>
        <w:t>=</w:t>
      </w:r>
      <w:r>
        <w:rPr>
          <w:rFonts w:ascii="Arial" w:eastAsia="仿宋_GB2312" w:hAnsi="Arial" w:cs="Arial" w:hint="eastAsia"/>
          <w:sz w:val="28"/>
        </w:rPr>
        <w:t xml:space="preserve"> </w:t>
      </w:r>
      <w:r>
        <w:rPr>
          <w:rFonts w:ascii="Arial" w:eastAsia="仿宋_GB2312" w:hAnsi="Arial" w:cs="Arial"/>
          <w:sz w:val="28"/>
        </w:rPr>
        <w:t>3507</w:t>
      </w:r>
      <w:r>
        <w:rPr>
          <w:rFonts w:ascii="Arial" w:eastAsia="仿宋_GB2312" w:hAnsi="Arial" w:cs="Arial"/>
          <w:sz w:val="28"/>
          <w:szCs w:val="28"/>
        </w:rPr>
        <w:t>×</w:t>
      </w:r>
      <w:r>
        <w:rPr>
          <w:rFonts w:ascii="Arial" w:eastAsia="仿宋_GB2312" w:hAnsi="Arial" w:cs="Arial"/>
          <w:sz w:val="28"/>
        </w:rPr>
        <w:t>50</w:t>
      </w:r>
      <w:r>
        <w:rPr>
          <w:rFonts w:ascii="Arial" w:eastAsia="仿宋_GB2312" w:hAnsi="Arial" w:cs="Arial"/>
          <w:sz w:val="28"/>
          <w:szCs w:val="28"/>
        </w:rPr>
        <w:t>%+</w:t>
      </w:r>
      <w:r>
        <w:rPr>
          <w:rFonts w:ascii="Arial" w:eastAsia="仿宋_GB2312" w:hAnsi="Arial" w:cs="Arial" w:hint="eastAsia"/>
          <w:sz w:val="28"/>
        </w:rPr>
        <w:t xml:space="preserve"> </w:t>
      </w:r>
      <w:r>
        <w:rPr>
          <w:rFonts w:ascii="Arial" w:eastAsia="仿宋_GB2312" w:hAnsi="Arial" w:cs="Arial"/>
          <w:sz w:val="28"/>
        </w:rPr>
        <w:t>3738</w:t>
      </w:r>
      <w:r>
        <w:rPr>
          <w:rFonts w:ascii="Arial" w:eastAsia="仿宋_GB2312" w:hAnsi="Arial" w:cs="Arial"/>
          <w:sz w:val="28"/>
          <w:szCs w:val="28"/>
        </w:rPr>
        <w:t>×</w:t>
      </w:r>
      <w:r>
        <w:rPr>
          <w:rFonts w:ascii="Arial" w:eastAsia="仿宋_GB2312" w:hAnsi="Arial" w:cs="Arial"/>
          <w:sz w:val="28"/>
        </w:rPr>
        <w:t>50</w:t>
      </w:r>
      <w:r>
        <w:rPr>
          <w:rFonts w:ascii="Arial" w:eastAsia="仿宋_GB2312" w:hAnsi="Arial" w:cs="Arial"/>
          <w:sz w:val="28"/>
          <w:szCs w:val="28"/>
        </w:rPr>
        <w:t>%</w:t>
      </w:r>
    </w:p>
    <w:p w14:paraId="2FBF6FBE"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szCs w:val="28"/>
        </w:rPr>
        <w:t>=</w:t>
      </w:r>
      <w:r>
        <w:rPr>
          <w:rFonts w:ascii="Arial" w:eastAsia="仿宋_GB2312" w:hAnsi="Arial" w:cs="Arial" w:hint="eastAsia"/>
          <w:sz w:val="28"/>
        </w:rPr>
        <w:t xml:space="preserve"> </w:t>
      </w:r>
      <w:r>
        <w:rPr>
          <w:rFonts w:ascii="Arial" w:eastAsia="仿宋_GB2312" w:hAnsi="Arial" w:cs="Arial"/>
          <w:sz w:val="28"/>
        </w:rPr>
        <w:t>3623</w:t>
      </w:r>
      <w:r>
        <w:rPr>
          <w:rFonts w:ascii="Arial" w:eastAsia="仿宋_GB2312" w:hAnsi="Arial" w:cs="Arial" w:hint="eastAsia"/>
          <w:sz w:val="28"/>
          <w:szCs w:val="28"/>
        </w:rPr>
        <w:t>（</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14:paraId="5E2E90E2"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如下图所示：</w:t>
      </w:r>
    </w:p>
    <w:tbl>
      <w:tblPr>
        <w:tblW w:w="9072" w:type="dxa"/>
        <w:jc w:val="center"/>
        <w:tblLayout w:type="fixed"/>
        <w:tblCellMar>
          <w:top w:w="57" w:type="dxa"/>
          <w:left w:w="28" w:type="dxa"/>
          <w:bottom w:w="57" w:type="dxa"/>
          <w:right w:w="28" w:type="dxa"/>
        </w:tblCellMar>
        <w:tblLook w:val="04A0" w:firstRow="1" w:lastRow="0" w:firstColumn="1" w:lastColumn="0" w:noHBand="0" w:noVBand="1"/>
      </w:tblPr>
      <w:tblGrid>
        <w:gridCol w:w="1277"/>
        <w:gridCol w:w="2268"/>
        <w:gridCol w:w="1843"/>
        <w:gridCol w:w="1176"/>
        <w:gridCol w:w="2508"/>
      </w:tblGrid>
      <w:tr w:rsidR="0062768B" w14:paraId="291CE8C0" w14:textId="77777777">
        <w:trPr>
          <w:cantSplit/>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3B79052B" w14:textId="77777777" w:rsidR="0062768B" w:rsidRDefault="00136729">
            <w:pPr>
              <w:widowControl/>
              <w:adjustRightInd/>
              <w:spacing w:line="240" w:lineRule="atLeast"/>
              <w:jc w:val="center"/>
              <w:textAlignment w:val="auto"/>
              <w:rPr>
                <w:rFonts w:ascii="Arial" w:hAnsi="Arial" w:cs="Arial"/>
                <w:b/>
                <w:bCs/>
                <w:szCs w:val="24"/>
              </w:rPr>
            </w:pPr>
            <w:r>
              <w:rPr>
                <w:rFonts w:ascii="Arial" w:eastAsia="仿宋_GB2312" w:hAnsi="Arial" w:cs="Arial"/>
                <w:b/>
                <w:bCs/>
                <w:szCs w:val="24"/>
              </w:rPr>
              <w:t>用途</w:t>
            </w:r>
          </w:p>
        </w:tc>
        <w:tc>
          <w:tcPr>
            <w:tcW w:w="2268" w:type="dxa"/>
            <w:tcBorders>
              <w:top w:val="single" w:sz="4" w:space="0" w:color="auto"/>
              <w:left w:val="nil"/>
              <w:bottom w:val="single" w:sz="4" w:space="0" w:color="auto"/>
              <w:right w:val="single" w:sz="4" w:space="0" w:color="auto"/>
            </w:tcBorders>
            <w:shd w:val="clear" w:color="auto" w:fill="auto"/>
            <w:vAlign w:val="center"/>
          </w:tcPr>
          <w:p w14:paraId="2CC81F02" w14:textId="77777777" w:rsidR="0062768B" w:rsidRDefault="00136729">
            <w:pPr>
              <w:widowControl/>
              <w:adjustRightInd/>
              <w:spacing w:line="240" w:lineRule="atLeast"/>
              <w:jc w:val="center"/>
              <w:textAlignment w:val="auto"/>
              <w:rPr>
                <w:rFonts w:ascii="Arial" w:hAnsi="Arial" w:cs="Arial"/>
                <w:b/>
                <w:bCs/>
                <w:szCs w:val="24"/>
              </w:rPr>
            </w:pPr>
            <w:r>
              <w:rPr>
                <w:rFonts w:ascii="Arial" w:eastAsia="仿宋_GB2312" w:hAnsi="Arial" w:cs="Arial"/>
                <w:b/>
                <w:bCs/>
                <w:szCs w:val="24"/>
              </w:rPr>
              <w:t>方法</w:t>
            </w:r>
          </w:p>
        </w:tc>
        <w:tc>
          <w:tcPr>
            <w:tcW w:w="1843" w:type="dxa"/>
            <w:tcBorders>
              <w:top w:val="single" w:sz="4" w:space="0" w:color="auto"/>
              <w:left w:val="nil"/>
              <w:bottom w:val="single" w:sz="4" w:space="0" w:color="auto"/>
              <w:right w:val="single" w:sz="4" w:space="0" w:color="auto"/>
            </w:tcBorders>
            <w:shd w:val="clear" w:color="auto" w:fill="auto"/>
            <w:vAlign w:val="center"/>
          </w:tcPr>
          <w:p w14:paraId="145A6825" w14:textId="77777777" w:rsidR="0062768B" w:rsidRDefault="00136729">
            <w:pPr>
              <w:widowControl/>
              <w:adjustRightInd/>
              <w:spacing w:line="240" w:lineRule="atLeast"/>
              <w:jc w:val="center"/>
              <w:textAlignment w:val="auto"/>
              <w:rPr>
                <w:rFonts w:ascii="Arial" w:eastAsia="仿宋_GB2312" w:hAnsi="Arial" w:cs="Arial"/>
                <w:b/>
                <w:bCs/>
                <w:szCs w:val="24"/>
              </w:rPr>
            </w:pPr>
            <w:r>
              <w:rPr>
                <w:rFonts w:ascii="Arial" w:eastAsia="仿宋_GB2312" w:hAnsi="Arial" w:cs="Arial"/>
                <w:b/>
                <w:bCs/>
                <w:szCs w:val="24"/>
              </w:rPr>
              <w:t>熟地价</w:t>
            </w:r>
            <w:r>
              <w:rPr>
                <w:rFonts w:ascii="Arial" w:eastAsia="仿宋_GB2312" w:hAnsi="Arial" w:cs="Arial" w:hint="eastAsia"/>
                <w:b/>
                <w:bCs/>
                <w:szCs w:val="24"/>
              </w:rPr>
              <w:t>楼面单价</w:t>
            </w:r>
          </w:p>
          <w:p w14:paraId="6B5A13CD" w14:textId="77777777" w:rsidR="0062768B" w:rsidRDefault="00136729">
            <w:pPr>
              <w:widowControl/>
              <w:adjustRightInd/>
              <w:spacing w:line="240" w:lineRule="atLeast"/>
              <w:jc w:val="center"/>
              <w:textAlignment w:val="auto"/>
              <w:rPr>
                <w:rFonts w:ascii="Arial" w:hAnsi="Arial" w:cs="Arial"/>
                <w:b/>
                <w:bCs/>
                <w:szCs w:val="24"/>
              </w:rPr>
            </w:pPr>
            <w:r>
              <w:rPr>
                <w:rFonts w:ascii="Arial" w:eastAsia="仿宋_GB2312" w:hAnsi="Arial" w:cs="Arial"/>
                <w:b/>
                <w:bCs/>
                <w:szCs w:val="24"/>
              </w:rPr>
              <w:t>（元</w:t>
            </w:r>
            <w:r>
              <w:rPr>
                <w:rFonts w:ascii="Arial" w:eastAsia="仿宋_GB2312" w:hAnsi="Arial" w:cs="Arial"/>
                <w:b/>
                <w:bCs/>
                <w:szCs w:val="24"/>
              </w:rPr>
              <w:t>/</w:t>
            </w:r>
            <w:r>
              <w:rPr>
                <w:rFonts w:ascii="Arial" w:eastAsia="仿宋_GB2312" w:hAnsi="Arial" w:cs="Arial"/>
                <w:b/>
                <w:bCs/>
                <w:szCs w:val="24"/>
              </w:rPr>
              <w:t>平方米）</w:t>
            </w:r>
          </w:p>
        </w:tc>
        <w:tc>
          <w:tcPr>
            <w:tcW w:w="1176" w:type="dxa"/>
            <w:tcBorders>
              <w:top w:val="single" w:sz="4" w:space="0" w:color="auto"/>
              <w:left w:val="nil"/>
              <w:bottom w:val="single" w:sz="4" w:space="0" w:color="auto"/>
              <w:right w:val="single" w:sz="4" w:space="0" w:color="auto"/>
            </w:tcBorders>
            <w:shd w:val="clear" w:color="auto" w:fill="auto"/>
            <w:vAlign w:val="center"/>
          </w:tcPr>
          <w:p w14:paraId="79B6A0CC" w14:textId="77777777" w:rsidR="0062768B" w:rsidRDefault="00136729">
            <w:pPr>
              <w:widowControl/>
              <w:adjustRightInd/>
              <w:spacing w:line="240" w:lineRule="atLeast"/>
              <w:jc w:val="center"/>
              <w:textAlignment w:val="auto"/>
              <w:rPr>
                <w:rFonts w:ascii="Arial" w:hAnsi="Arial" w:cs="Arial"/>
                <w:b/>
                <w:bCs/>
                <w:szCs w:val="24"/>
              </w:rPr>
            </w:pPr>
            <w:r>
              <w:rPr>
                <w:rFonts w:ascii="Arial" w:eastAsia="仿宋_GB2312" w:hAnsi="Arial" w:cs="Arial"/>
                <w:b/>
                <w:bCs/>
                <w:szCs w:val="24"/>
              </w:rPr>
              <w:t>权重</w:t>
            </w:r>
          </w:p>
        </w:tc>
        <w:tc>
          <w:tcPr>
            <w:tcW w:w="2508" w:type="dxa"/>
            <w:tcBorders>
              <w:top w:val="single" w:sz="4" w:space="0" w:color="auto"/>
              <w:left w:val="nil"/>
              <w:bottom w:val="single" w:sz="4" w:space="0" w:color="auto"/>
              <w:right w:val="single" w:sz="4" w:space="0" w:color="auto"/>
            </w:tcBorders>
            <w:shd w:val="clear" w:color="auto" w:fill="auto"/>
            <w:vAlign w:val="center"/>
          </w:tcPr>
          <w:p w14:paraId="6E439FBA" w14:textId="77777777" w:rsidR="0062768B" w:rsidRDefault="00136729">
            <w:pPr>
              <w:widowControl/>
              <w:adjustRightInd/>
              <w:spacing w:line="240" w:lineRule="atLeast"/>
              <w:jc w:val="center"/>
              <w:textAlignment w:val="auto"/>
              <w:rPr>
                <w:rFonts w:ascii="Arial" w:eastAsia="仿宋_GB2312" w:hAnsi="Arial" w:cs="Arial"/>
                <w:b/>
                <w:bCs/>
                <w:szCs w:val="24"/>
              </w:rPr>
            </w:pPr>
            <w:r>
              <w:rPr>
                <w:rFonts w:ascii="Arial" w:eastAsia="仿宋_GB2312" w:hAnsi="Arial" w:cs="Arial"/>
                <w:b/>
                <w:bCs/>
                <w:szCs w:val="24"/>
              </w:rPr>
              <w:t>权重后熟地价</w:t>
            </w:r>
            <w:r>
              <w:rPr>
                <w:rFonts w:ascii="Arial" w:eastAsia="仿宋_GB2312" w:hAnsi="Arial" w:cs="Arial" w:hint="eastAsia"/>
                <w:b/>
                <w:bCs/>
                <w:szCs w:val="24"/>
              </w:rPr>
              <w:t>楼面单价</w:t>
            </w:r>
          </w:p>
          <w:p w14:paraId="335398E2" w14:textId="77777777" w:rsidR="0062768B" w:rsidRDefault="00136729">
            <w:pPr>
              <w:widowControl/>
              <w:adjustRightInd/>
              <w:spacing w:line="240" w:lineRule="atLeast"/>
              <w:jc w:val="center"/>
              <w:textAlignment w:val="auto"/>
              <w:rPr>
                <w:rFonts w:ascii="Arial" w:eastAsia="仿宋_GB2312" w:hAnsi="Arial" w:cs="Arial"/>
                <w:b/>
                <w:bCs/>
                <w:szCs w:val="24"/>
              </w:rPr>
            </w:pPr>
            <w:r>
              <w:rPr>
                <w:rFonts w:ascii="Arial" w:eastAsia="仿宋_GB2312" w:hAnsi="Arial" w:cs="Arial"/>
                <w:b/>
                <w:bCs/>
                <w:szCs w:val="24"/>
              </w:rPr>
              <w:t>（元</w:t>
            </w:r>
            <w:r>
              <w:rPr>
                <w:rFonts w:ascii="Arial" w:eastAsia="仿宋_GB2312" w:hAnsi="Arial" w:cs="Arial"/>
                <w:b/>
                <w:bCs/>
                <w:szCs w:val="24"/>
              </w:rPr>
              <w:t>/</w:t>
            </w:r>
            <w:r>
              <w:rPr>
                <w:rFonts w:ascii="Arial" w:eastAsia="仿宋_GB2312" w:hAnsi="Arial" w:cs="Arial"/>
                <w:b/>
                <w:bCs/>
                <w:szCs w:val="24"/>
              </w:rPr>
              <w:t>平方米）</w:t>
            </w:r>
          </w:p>
        </w:tc>
      </w:tr>
      <w:tr w:rsidR="0062768B" w14:paraId="3F0737F4" w14:textId="77777777">
        <w:trPr>
          <w:cantSplit/>
          <w:jc w:val="center"/>
        </w:trPr>
        <w:tc>
          <w:tcPr>
            <w:tcW w:w="1277" w:type="dxa"/>
            <w:vMerge w:val="restart"/>
            <w:tcBorders>
              <w:top w:val="nil"/>
              <w:left w:val="single" w:sz="4" w:space="0" w:color="auto"/>
              <w:bottom w:val="single" w:sz="4" w:space="0" w:color="auto"/>
              <w:right w:val="single" w:sz="4" w:space="0" w:color="auto"/>
            </w:tcBorders>
            <w:shd w:val="clear" w:color="auto" w:fill="auto"/>
            <w:vAlign w:val="center"/>
          </w:tcPr>
          <w:p w14:paraId="5519CEA3" w14:textId="77777777" w:rsidR="0062768B" w:rsidRDefault="00136729">
            <w:pPr>
              <w:widowControl/>
              <w:adjustRightInd/>
              <w:spacing w:line="240" w:lineRule="atLeast"/>
              <w:jc w:val="center"/>
              <w:textAlignment w:val="auto"/>
              <w:rPr>
                <w:rFonts w:ascii="Arial" w:hAnsi="Arial" w:cs="Arial"/>
                <w:szCs w:val="24"/>
              </w:rPr>
            </w:pPr>
            <w:r>
              <w:rPr>
                <w:rFonts w:ascii="Arial" w:eastAsia="仿宋_GB2312" w:hAnsi="Arial" w:cs="Arial"/>
                <w:szCs w:val="24"/>
              </w:rPr>
              <w:t>住宅</w:t>
            </w:r>
          </w:p>
        </w:tc>
        <w:tc>
          <w:tcPr>
            <w:tcW w:w="2268" w:type="dxa"/>
            <w:tcBorders>
              <w:top w:val="nil"/>
              <w:left w:val="nil"/>
              <w:bottom w:val="single" w:sz="4" w:space="0" w:color="auto"/>
              <w:right w:val="single" w:sz="4" w:space="0" w:color="auto"/>
            </w:tcBorders>
            <w:shd w:val="clear" w:color="auto" w:fill="auto"/>
            <w:vAlign w:val="center"/>
          </w:tcPr>
          <w:p w14:paraId="5A192897" w14:textId="77777777" w:rsidR="0062768B" w:rsidRDefault="00136729">
            <w:pPr>
              <w:widowControl/>
              <w:adjustRightInd/>
              <w:spacing w:line="240" w:lineRule="atLeast"/>
              <w:textAlignment w:val="auto"/>
              <w:rPr>
                <w:rFonts w:ascii="Arial" w:eastAsia="仿宋_GB2312" w:hAnsi="Arial" w:cs="Arial"/>
                <w:szCs w:val="24"/>
              </w:rPr>
            </w:pPr>
            <w:r>
              <w:rPr>
                <w:rFonts w:ascii="Arial" w:eastAsia="仿宋_GB2312" w:hAnsi="Arial" w:cs="Arial"/>
                <w:szCs w:val="24"/>
              </w:rPr>
              <w:t>基准地价系数修正法</w:t>
            </w:r>
          </w:p>
        </w:tc>
        <w:tc>
          <w:tcPr>
            <w:tcW w:w="1843" w:type="dxa"/>
            <w:tcBorders>
              <w:top w:val="nil"/>
              <w:left w:val="nil"/>
              <w:bottom w:val="single" w:sz="4" w:space="0" w:color="auto"/>
              <w:right w:val="single" w:sz="4" w:space="0" w:color="auto"/>
            </w:tcBorders>
            <w:shd w:val="clear" w:color="auto" w:fill="auto"/>
            <w:vAlign w:val="center"/>
          </w:tcPr>
          <w:p w14:paraId="12371FD8" w14:textId="77777777" w:rsidR="0062768B" w:rsidRDefault="00136729">
            <w:pPr>
              <w:widowControl/>
              <w:adjustRightInd/>
              <w:spacing w:line="240" w:lineRule="atLeast"/>
              <w:jc w:val="center"/>
              <w:textAlignment w:val="auto"/>
              <w:rPr>
                <w:rFonts w:ascii="Arial" w:hAnsi="Arial" w:cs="Arial"/>
                <w:szCs w:val="24"/>
              </w:rPr>
            </w:pPr>
            <w:r>
              <w:rPr>
                <w:rFonts w:ascii="Arial" w:hAnsi="Arial" w:cs="Arial"/>
                <w:szCs w:val="24"/>
              </w:rPr>
              <w:t>7428</w:t>
            </w:r>
          </w:p>
        </w:tc>
        <w:tc>
          <w:tcPr>
            <w:tcW w:w="1176" w:type="dxa"/>
            <w:tcBorders>
              <w:top w:val="nil"/>
              <w:left w:val="nil"/>
              <w:bottom w:val="single" w:sz="4" w:space="0" w:color="auto"/>
              <w:right w:val="single" w:sz="4" w:space="0" w:color="auto"/>
            </w:tcBorders>
            <w:shd w:val="clear" w:color="auto" w:fill="auto"/>
            <w:vAlign w:val="center"/>
          </w:tcPr>
          <w:p w14:paraId="67CD6607" w14:textId="77777777" w:rsidR="0062768B" w:rsidRDefault="00136729">
            <w:pPr>
              <w:widowControl/>
              <w:adjustRightInd/>
              <w:spacing w:line="240" w:lineRule="atLeast"/>
              <w:jc w:val="center"/>
              <w:textAlignment w:val="auto"/>
              <w:rPr>
                <w:rFonts w:ascii="Arial" w:hAnsi="Arial" w:cs="Arial"/>
                <w:szCs w:val="24"/>
              </w:rPr>
            </w:pPr>
            <w:r>
              <w:rPr>
                <w:rFonts w:ascii="Arial" w:hAnsi="Arial" w:cs="Arial"/>
                <w:szCs w:val="24"/>
              </w:rPr>
              <w:t>30.00%</w:t>
            </w:r>
          </w:p>
        </w:tc>
        <w:tc>
          <w:tcPr>
            <w:tcW w:w="2508" w:type="dxa"/>
            <w:vMerge w:val="restart"/>
            <w:tcBorders>
              <w:top w:val="nil"/>
              <w:left w:val="single" w:sz="4" w:space="0" w:color="auto"/>
              <w:bottom w:val="single" w:sz="4" w:space="0" w:color="000000"/>
              <w:right w:val="single" w:sz="4" w:space="0" w:color="auto"/>
            </w:tcBorders>
            <w:shd w:val="clear" w:color="auto" w:fill="auto"/>
            <w:vAlign w:val="center"/>
          </w:tcPr>
          <w:p w14:paraId="4DCFFC19" w14:textId="77777777" w:rsidR="0062768B" w:rsidRDefault="00136729">
            <w:pPr>
              <w:widowControl/>
              <w:adjustRightInd/>
              <w:spacing w:line="240" w:lineRule="atLeast"/>
              <w:jc w:val="center"/>
              <w:textAlignment w:val="auto"/>
              <w:rPr>
                <w:rFonts w:ascii="Arial" w:hAnsi="Arial" w:cs="Arial"/>
                <w:b/>
                <w:szCs w:val="24"/>
              </w:rPr>
            </w:pPr>
            <w:r>
              <w:rPr>
                <w:rFonts w:ascii="Arial" w:hAnsi="Arial" w:cs="Arial"/>
                <w:b/>
                <w:szCs w:val="24"/>
              </w:rPr>
              <w:t>15150</w:t>
            </w:r>
          </w:p>
        </w:tc>
      </w:tr>
      <w:tr w:rsidR="0062768B" w14:paraId="7EB80A85" w14:textId="77777777">
        <w:trPr>
          <w:cantSplit/>
          <w:jc w:val="center"/>
        </w:trPr>
        <w:tc>
          <w:tcPr>
            <w:tcW w:w="1277" w:type="dxa"/>
            <w:vMerge/>
            <w:tcBorders>
              <w:top w:val="nil"/>
              <w:left w:val="single" w:sz="4" w:space="0" w:color="auto"/>
              <w:bottom w:val="single" w:sz="4" w:space="0" w:color="auto"/>
              <w:right w:val="single" w:sz="4" w:space="0" w:color="auto"/>
            </w:tcBorders>
            <w:vAlign w:val="center"/>
          </w:tcPr>
          <w:p w14:paraId="12FA628F" w14:textId="77777777" w:rsidR="0062768B" w:rsidRDefault="0062768B">
            <w:pPr>
              <w:widowControl/>
              <w:adjustRightInd/>
              <w:spacing w:line="240" w:lineRule="atLeast"/>
              <w:textAlignment w:val="auto"/>
              <w:rPr>
                <w:rFonts w:ascii="Arial" w:hAnsi="Arial" w:cs="Arial"/>
                <w:szCs w:val="24"/>
              </w:rPr>
            </w:pPr>
          </w:p>
        </w:tc>
        <w:tc>
          <w:tcPr>
            <w:tcW w:w="2268" w:type="dxa"/>
            <w:tcBorders>
              <w:top w:val="nil"/>
              <w:left w:val="nil"/>
              <w:bottom w:val="single" w:sz="4" w:space="0" w:color="auto"/>
              <w:right w:val="single" w:sz="4" w:space="0" w:color="auto"/>
            </w:tcBorders>
            <w:shd w:val="clear" w:color="auto" w:fill="auto"/>
            <w:vAlign w:val="center"/>
          </w:tcPr>
          <w:p w14:paraId="2AA3D667" w14:textId="77777777" w:rsidR="0062768B" w:rsidRDefault="00136729">
            <w:pPr>
              <w:widowControl/>
              <w:adjustRightInd/>
              <w:spacing w:line="240" w:lineRule="atLeast"/>
              <w:textAlignment w:val="auto"/>
              <w:rPr>
                <w:rFonts w:ascii="Arial" w:hAnsi="Arial" w:cs="Arial"/>
                <w:szCs w:val="24"/>
              </w:rPr>
            </w:pPr>
            <w:r>
              <w:rPr>
                <w:rFonts w:ascii="Arial" w:eastAsia="仿宋_GB2312" w:hAnsi="Arial" w:cs="Arial"/>
                <w:szCs w:val="24"/>
              </w:rPr>
              <w:t>剩余法</w:t>
            </w:r>
          </w:p>
        </w:tc>
        <w:tc>
          <w:tcPr>
            <w:tcW w:w="1843" w:type="dxa"/>
            <w:tcBorders>
              <w:top w:val="nil"/>
              <w:left w:val="nil"/>
              <w:bottom w:val="single" w:sz="4" w:space="0" w:color="auto"/>
              <w:right w:val="single" w:sz="4" w:space="0" w:color="auto"/>
            </w:tcBorders>
            <w:shd w:val="clear" w:color="auto" w:fill="auto"/>
            <w:vAlign w:val="center"/>
          </w:tcPr>
          <w:p w14:paraId="6A64E7B6" w14:textId="77777777" w:rsidR="0062768B" w:rsidRDefault="00136729">
            <w:pPr>
              <w:widowControl/>
              <w:adjustRightInd/>
              <w:spacing w:line="240" w:lineRule="atLeast"/>
              <w:jc w:val="center"/>
              <w:textAlignment w:val="auto"/>
              <w:rPr>
                <w:rFonts w:ascii="Arial" w:hAnsi="Arial" w:cs="Arial"/>
                <w:szCs w:val="24"/>
              </w:rPr>
            </w:pPr>
            <w:r>
              <w:rPr>
                <w:rFonts w:ascii="Arial" w:hAnsi="Arial" w:cs="Arial"/>
                <w:szCs w:val="24"/>
              </w:rPr>
              <w:t>18459</w:t>
            </w:r>
          </w:p>
        </w:tc>
        <w:tc>
          <w:tcPr>
            <w:tcW w:w="1176" w:type="dxa"/>
            <w:tcBorders>
              <w:top w:val="nil"/>
              <w:left w:val="nil"/>
              <w:bottom w:val="single" w:sz="4" w:space="0" w:color="auto"/>
              <w:right w:val="single" w:sz="4" w:space="0" w:color="auto"/>
            </w:tcBorders>
            <w:shd w:val="clear" w:color="auto" w:fill="auto"/>
            <w:vAlign w:val="center"/>
          </w:tcPr>
          <w:p w14:paraId="3C1A1718" w14:textId="77777777" w:rsidR="0062768B" w:rsidRDefault="00136729">
            <w:pPr>
              <w:widowControl/>
              <w:adjustRightInd/>
              <w:spacing w:line="240" w:lineRule="atLeast"/>
              <w:jc w:val="center"/>
              <w:textAlignment w:val="auto"/>
              <w:rPr>
                <w:rFonts w:ascii="Arial" w:hAnsi="Arial" w:cs="Arial"/>
                <w:szCs w:val="24"/>
              </w:rPr>
            </w:pPr>
            <w:r>
              <w:rPr>
                <w:rFonts w:ascii="Arial" w:hAnsi="Arial" w:cs="Arial"/>
                <w:szCs w:val="24"/>
              </w:rPr>
              <w:t>70.00%</w:t>
            </w:r>
          </w:p>
        </w:tc>
        <w:tc>
          <w:tcPr>
            <w:tcW w:w="2508" w:type="dxa"/>
            <w:vMerge/>
            <w:tcBorders>
              <w:top w:val="nil"/>
              <w:left w:val="single" w:sz="4" w:space="0" w:color="auto"/>
              <w:bottom w:val="single" w:sz="4" w:space="0" w:color="000000"/>
              <w:right w:val="single" w:sz="4" w:space="0" w:color="auto"/>
            </w:tcBorders>
            <w:vAlign w:val="center"/>
          </w:tcPr>
          <w:p w14:paraId="4FF4D5B9" w14:textId="77777777" w:rsidR="0062768B" w:rsidRDefault="0062768B">
            <w:pPr>
              <w:widowControl/>
              <w:adjustRightInd/>
              <w:spacing w:line="240" w:lineRule="atLeast"/>
              <w:textAlignment w:val="auto"/>
              <w:rPr>
                <w:rFonts w:ascii="Arial" w:hAnsi="Arial" w:cs="Arial"/>
                <w:b/>
                <w:szCs w:val="24"/>
              </w:rPr>
            </w:pPr>
          </w:p>
        </w:tc>
      </w:tr>
      <w:tr w:rsidR="0062768B" w14:paraId="292ECAB2" w14:textId="77777777">
        <w:trPr>
          <w:cantSplit/>
          <w:jc w:val="center"/>
        </w:trPr>
        <w:tc>
          <w:tcPr>
            <w:tcW w:w="1277" w:type="dxa"/>
            <w:vMerge w:val="restart"/>
            <w:tcBorders>
              <w:top w:val="nil"/>
              <w:left w:val="single" w:sz="4" w:space="0" w:color="auto"/>
              <w:bottom w:val="single" w:sz="4" w:space="0" w:color="auto"/>
              <w:right w:val="single" w:sz="4" w:space="0" w:color="auto"/>
            </w:tcBorders>
            <w:shd w:val="clear" w:color="auto" w:fill="auto"/>
            <w:vAlign w:val="center"/>
          </w:tcPr>
          <w:p w14:paraId="75789B3B" w14:textId="77777777" w:rsidR="0062768B" w:rsidRDefault="00136729">
            <w:pPr>
              <w:widowControl/>
              <w:adjustRightInd/>
              <w:spacing w:line="240" w:lineRule="atLeast"/>
              <w:jc w:val="center"/>
              <w:textAlignment w:val="auto"/>
              <w:rPr>
                <w:rFonts w:ascii="Arial" w:hAnsi="Arial" w:cs="Arial"/>
                <w:szCs w:val="24"/>
              </w:rPr>
            </w:pPr>
            <w:r>
              <w:rPr>
                <w:rFonts w:ascii="Arial" w:eastAsia="仿宋_GB2312" w:hAnsi="Arial" w:cs="Arial"/>
                <w:szCs w:val="24"/>
              </w:rPr>
              <w:t>商业</w:t>
            </w:r>
            <w:r>
              <w:rPr>
                <w:rFonts w:ascii="Arial" w:eastAsia="仿宋_GB2312" w:hAnsi="Arial" w:cs="Arial" w:hint="eastAsia"/>
                <w:szCs w:val="24"/>
              </w:rPr>
              <w:t>（其他</w:t>
            </w:r>
            <w:r>
              <w:rPr>
                <w:rFonts w:ascii="Arial" w:eastAsia="仿宋_GB2312" w:hAnsi="Arial" w:cs="Arial"/>
                <w:szCs w:val="24"/>
              </w:rPr>
              <w:t>商服</w:t>
            </w:r>
            <w:r>
              <w:rPr>
                <w:rFonts w:ascii="Arial" w:eastAsia="仿宋_GB2312" w:hAnsi="Arial" w:cs="Arial" w:hint="eastAsia"/>
                <w:szCs w:val="24"/>
              </w:rPr>
              <w:t>）</w:t>
            </w:r>
          </w:p>
        </w:tc>
        <w:tc>
          <w:tcPr>
            <w:tcW w:w="2268" w:type="dxa"/>
            <w:tcBorders>
              <w:top w:val="nil"/>
              <w:left w:val="nil"/>
              <w:bottom w:val="single" w:sz="4" w:space="0" w:color="auto"/>
              <w:right w:val="single" w:sz="4" w:space="0" w:color="auto"/>
            </w:tcBorders>
            <w:shd w:val="clear" w:color="auto" w:fill="auto"/>
            <w:vAlign w:val="center"/>
          </w:tcPr>
          <w:p w14:paraId="2EE81DA5" w14:textId="77777777" w:rsidR="0062768B" w:rsidRDefault="00136729">
            <w:pPr>
              <w:widowControl/>
              <w:adjustRightInd/>
              <w:spacing w:line="240" w:lineRule="atLeast"/>
              <w:textAlignment w:val="auto"/>
              <w:rPr>
                <w:rFonts w:ascii="Arial" w:eastAsia="仿宋_GB2312" w:hAnsi="Arial" w:cs="Arial"/>
                <w:szCs w:val="24"/>
              </w:rPr>
            </w:pPr>
            <w:r>
              <w:rPr>
                <w:rFonts w:ascii="Arial" w:eastAsia="仿宋_GB2312" w:hAnsi="Arial" w:cs="Arial"/>
                <w:szCs w:val="24"/>
              </w:rPr>
              <w:t>基准地价系数修正法</w:t>
            </w:r>
          </w:p>
        </w:tc>
        <w:tc>
          <w:tcPr>
            <w:tcW w:w="1843" w:type="dxa"/>
            <w:tcBorders>
              <w:top w:val="nil"/>
              <w:left w:val="nil"/>
              <w:bottom w:val="single" w:sz="4" w:space="0" w:color="auto"/>
              <w:right w:val="single" w:sz="4" w:space="0" w:color="auto"/>
            </w:tcBorders>
            <w:shd w:val="clear" w:color="auto" w:fill="auto"/>
            <w:vAlign w:val="center"/>
          </w:tcPr>
          <w:p w14:paraId="19C61C7C" w14:textId="77777777" w:rsidR="0062768B" w:rsidRDefault="00136729">
            <w:pPr>
              <w:widowControl/>
              <w:adjustRightInd/>
              <w:spacing w:line="240" w:lineRule="atLeast"/>
              <w:jc w:val="center"/>
              <w:textAlignment w:val="auto"/>
              <w:rPr>
                <w:rFonts w:ascii="Arial" w:hAnsi="Arial" w:cs="Arial"/>
                <w:szCs w:val="24"/>
              </w:rPr>
            </w:pPr>
            <w:r>
              <w:rPr>
                <w:rFonts w:ascii="Arial" w:hAnsi="Arial" w:cs="Arial"/>
                <w:szCs w:val="24"/>
              </w:rPr>
              <w:t>5098</w:t>
            </w:r>
          </w:p>
        </w:tc>
        <w:tc>
          <w:tcPr>
            <w:tcW w:w="1176" w:type="dxa"/>
            <w:tcBorders>
              <w:top w:val="nil"/>
              <w:left w:val="nil"/>
              <w:bottom w:val="single" w:sz="4" w:space="0" w:color="auto"/>
              <w:right w:val="single" w:sz="4" w:space="0" w:color="auto"/>
            </w:tcBorders>
            <w:shd w:val="clear" w:color="auto" w:fill="auto"/>
            <w:vAlign w:val="center"/>
          </w:tcPr>
          <w:p w14:paraId="603F76D8" w14:textId="77777777" w:rsidR="0062768B" w:rsidRDefault="00136729">
            <w:pPr>
              <w:widowControl/>
              <w:adjustRightInd/>
              <w:spacing w:line="240" w:lineRule="atLeast"/>
              <w:jc w:val="center"/>
              <w:textAlignment w:val="auto"/>
              <w:rPr>
                <w:rFonts w:ascii="Arial" w:hAnsi="Arial" w:cs="Arial"/>
                <w:szCs w:val="24"/>
              </w:rPr>
            </w:pPr>
            <w:r>
              <w:rPr>
                <w:rFonts w:ascii="Arial" w:hAnsi="Arial" w:cs="Arial"/>
                <w:szCs w:val="24"/>
              </w:rPr>
              <w:t>30.00%</w:t>
            </w:r>
          </w:p>
        </w:tc>
        <w:tc>
          <w:tcPr>
            <w:tcW w:w="2508" w:type="dxa"/>
            <w:vMerge w:val="restart"/>
            <w:tcBorders>
              <w:top w:val="nil"/>
              <w:left w:val="single" w:sz="4" w:space="0" w:color="auto"/>
              <w:bottom w:val="single" w:sz="4" w:space="0" w:color="000000"/>
              <w:right w:val="single" w:sz="4" w:space="0" w:color="auto"/>
            </w:tcBorders>
            <w:shd w:val="clear" w:color="auto" w:fill="auto"/>
            <w:vAlign w:val="center"/>
          </w:tcPr>
          <w:p w14:paraId="7DBF2657" w14:textId="77777777" w:rsidR="0062768B" w:rsidRDefault="00136729">
            <w:pPr>
              <w:widowControl/>
              <w:adjustRightInd/>
              <w:spacing w:line="240" w:lineRule="atLeast"/>
              <w:jc w:val="center"/>
              <w:textAlignment w:val="auto"/>
              <w:rPr>
                <w:rFonts w:ascii="Arial" w:hAnsi="Arial" w:cs="Arial"/>
                <w:b/>
                <w:szCs w:val="24"/>
              </w:rPr>
            </w:pPr>
            <w:r>
              <w:rPr>
                <w:rFonts w:ascii="Arial" w:hAnsi="Arial" w:cs="Arial"/>
                <w:b/>
                <w:szCs w:val="24"/>
              </w:rPr>
              <w:t>8128</w:t>
            </w:r>
          </w:p>
        </w:tc>
      </w:tr>
      <w:tr w:rsidR="0062768B" w14:paraId="6E8AECDD" w14:textId="77777777">
        <w:trPr>
          <w:cantSplit/>
          <w:jc w:val="center"/>
        </w:trPr>
        <w:tc>
          <w:tcPr>
            <w:tcW w:w="1277" w:type="dxa"/>
            <w:vMerge/>
            <w:tcBorders>
              <w:top w:val="nil"/>
              <w:left w:val="single" w:sz="4" w:space="0" w:color="auto"/>
              <w:bottom w:val="single" w:sz="4" w:space="0" w:color="auto"/>
              <w:right w:val="single" w:sz="4" w:space="0" w:color="auto"/>
            </w:tcBorders>
            <w:vAlign w:val="center"/>
          </w:tcPr>
          <w:p w14:paraId="0322E882" w14:textId="77777777" w:rsidR="0062768B" w:rsidRDefault="0062768B">
            <w:pPr>
              <w:widowControl/>
              <w:adjustRightInd/>
              <w:spacing w:line="240" w:lineRule="atLeast"/>
              <w:textAlignment w:val="auto"/>
              <w:rPr>
                <w:rFonts w:ascii="Arial" w:hAnsi="Arial" w:cs="Arial"/>
                <w:szCs w:val="24"/>
              </w:rPr>
            </w:pPr>
          </w:p>
        </w:tc>
        <w:tc>
          <w:tcPr>
            <w:tcW w:w="2268" w:type="dxa"/>
            <w:tcBorders>
              <w:top w:val="nil"/>
              <w:left w:val="nil"/>
              <w:bottom w:val="single" w:sz="4" w:space="0" w:color="auto"/>
              <w:right w:val="single" w:sz="4" w:space="0" w:color="auto"/>
            </w:tcBorders>
            <w:shd w:val="clear" w:color="auto" w:fill="auto"/>
            <w:vAlign w:val="center"/>
          </w:tcPr>
          <w:p w14:paraId="6D3E6E88" w14:textId="77777777" w:rsidR="0062768B" w:rsidRDefault="00136729">
            <w:pPr>
              <w:widowControl/>
              <w:adjustRightInd/>
              <w:spacing w:line="240" w:lineRule="atLeast"/>
              <w:textAlignment w:val="auto"/>
              <w:rPr>
                <w:rFonts w:ascii="Arial" w:eastAsia="仿宋_GB2312" w:hAnsi="Arial" w:cs="Arial"/>
                <w:szCs w:val="24"/>
              </w:rPr>
            </w:pPr>
            <w:r>
              <w:rPr>
                <w:rFonts w:ascii="Arial" w:eastAsia="仿宋_GB2312" w:hAnsi="Arial" w:cs="Arial"/>
                <w:szCs w:val="24"/>
              </w:rPr>
              <w:t>剩余法</w:t>
            </w:r>
          </w:p>
        </w:tc>
        <w:tc>
          <w:tcPr>
            <w:tcW w:w="1843" w:type="dxa"/>
            <w:tcBorders>
              <w:top w:val="nil"/>
              <w:left w:val="nil"/>
              <w:bottom w:val="single" w:sz="4" w:space="0" w:color="auto"/>
              <w:right w:val="single" w:sz="4" w:space="0" w:color="auto"/>
            </w:tcBorders>
            <w:shd w:val="clear" w:color="auto" w:fill="auto"/>
            <w:vAlign w:val="center"/>
          </w:tcPr>
          <w:p w14:paraId="0F23572A" w14:textId="77777777" w:rsidR="0062768B" w:rsidRDefault="00136729">
            <w:pPr>
              <w:widowControl/>
              <w:adjustRightInd/>
              <w:spacing w:line="240" w:lineRule="atLeast"/>
              <w:jc w:val="center"/>
              <w:textAlignment w:val="auto"/>
              <w:rPr>
                <w:rFonts w:ascii="Arial" w:hAnsi="Arial" w:cs="Arial"/>
                <w:szCs w:val="24"/>
              </w:rPr>
            </w:pPr>
            <w:r>
              <w:rPr>
                <w:rFonts w:ascii="Arial" w:hAnsi="Arial" w:cs="Arial"/>
                <w:szCs w:val="24"/>
              </w:rPr>
              <w:t>9426</w:t>
            </w:r>
          </w:p>
        </w:tc>
        <w:tc>
          <w:tcPr>
            <w:tcW w:w="1176" w:type="dxa"/>
            <w:tcBorders>
              <w:top w:val="nil"/>
              <w:left w:val="nil"/>
              <w:bottom w:val="single" w:sz="4" w:space="0" w:color="auto"/>
              <w:right w:val="single" w:sz="4" w:space="0" w:color="auto"/>
            </w:tcBorders>
            <w:shd w:val="clear" w:color="auto" w:fill="auto"/>
            <w:vAlign w:val="center"/>
          </w:tcPr>
          <w:p w14:paraId="59D3A51F" w14:textId="77777777" w:rsidR="0062768B" w:rsidRDefault="00136729">
            <w:pPr>
              <w:widowControl/>
              <w:adjustRightInd/>
              <w:spacing w:line="240" w:lineRule="atLeast"/>
              <w:jc w:val="center"/>
              <w:textAlignment w:val="auto"/>
              <w:rPr>
                <w:rFonts w:ascii="Arial" w:hAnsi="Arial" w:cs="Arial"/>
                <w:szCs w:val="24"/>
              </w:rPr>
            </w:pPr>
            <w:r>
              <w:rPr>
                <w:rFonts w:ascii="Arial" w:hAnsi="Arial" w:cs="Arial"/>
                <w:szCs w:val="24"/>
              </w:rPr>
              <w:t>70.00%</w:t>
            </w:r>
          </w:p>
        </w:tc>
        <w:tc>
          <w:tcPr>
            <w:tcW w:w="2508" w:type="dxa"/>
            <w:vMerge/>
            <w:tcBorders>
              <w:top w:val="nil"/>
              <w:left w:val="single" w:sz="4" w:space="0" w:color="auto"/>
              <w:bottom w:val="single" w:sz="4" w:space="0" w:color="auto"/>
              <w:right w:val="single" w:sz="4" w:space="0" w:color="auto"/>
            </w:tcBorders>
            <w:vAlign w:val="center"/>
          </w:tcPr>
          <w:p w14:paraId="27727F50" w14:textId="77777777" w:rsidR="0062768B" w:rsidRDefault="0062768B">
            <w:pPr>
              <w:widowControl/>
              <w:adjustRightInd/>
              <w:spacing w:line="240" w:lineRule="atLeast"/>
              <w:textAlignment w:val="auto"/>
              <w:rPr>
                <w:rFonts w:ascii="Arial" w:hAnsi="Arial" w:cs="Arial"/>
                <w:b/>
                <w:szCs w:val="24"/>
              </w:rPr>
            </w:pPr>
          </w:p>
        </w:tc>
      </w:tr>
      <w:tr w:rsidR="0062768B" w14:paraId="235984EE" w14:textId="77777777">
        <w:trPr>
          <w:cantSplit/>
          <w:jc w:val="center"/>
        </w:trPr>
        <w:tc>
          <w:tcPr>
            <w:tcW w:w="1277" w:type="dxa"/>
            <w:vMerge w:val="restart"/>
            <w:tcBorders>
              <w:top w:val="single" w:sz="4" w:space="0" w:color="auto"/>
              <w:left w:val="single" w:sz="4" w:space="0" w:color="auto"/>
              <w:bottom w:val="single" w:sz="4" w:space="0" w:color="auto"/>
              <w:right w:val="single" w:sz="4" w:space="0" w:color="auto"/>
            </w:tcBorders>
            <w:vAlign w:val="center"/>
          </w:tcPr>
          <w:p w14:paraId="62ADBB17" w14:textId="77777777" w:rsidR="0062768B" w:rsidRDefault="00136729">
            <w:pPr>
              <w:spacing w:line="240" w:lineRule="atLeast"/>
              <w:jc w:val="center"/>
              <w:rPr>
                <w:rFonts w:ascii="Arial" w:eastAsia="仿宋_GB2312" w:hAnsi="Arial" w:cs="Arial"/>
                <w:szCs w:val="24"/>
              </w:rPr>
            </w:pPr>
            <w:r>
              <w:rPr>
                <w:rFonts w:ascii="Arial" w:eastAsia="仿宋_GB2312" w:hAnsi="Arial" w:cs="Arial" w:hint="eastAsia"/>
                <w:szCs w:val="24"/>
              </w:rPr>
              <w:t>公共服务</w:t>
            </w:r>
          </w:p>
        </w:tc>
        <w:tc>
          <w:tcPr>
            <w:tcW w:w="2268" w:type="dxa"/>
            <w:tcBorders>
              <w:top w:val="single" w:sz="4" w:space="0" w:color="auto"/>
              <w:left w:val="nil"/>
              <w:bottom w:val="single" w:sz="4" w:space="0" w:color="auto"/>
              <w:right w:val="single" w:sz="4" w:space="0" w:color="auto"/>
            </w:tcBorders>
            <w:shd w:val="clear" w:color="auto" w:fill="auto"/>
            <w:vAlign w:val="center"/>
          </w:tcPr>
          <w:p w14:paraId="3DEF5545" w14:textId="77777777" w:rsidR="0062768B" w:rsidRDefault="00136729">
            <w:pPr>
              <w:widowControl/>
              <w:adjustRightInd/>
              <w:spacing w:line="240" w:lineRule="atLeast"/>
              <w:textAlignment w:val="auto"/>
              <w:rPr>
                <w:rFonts w:ascii="Arial" w:eastAsia="仿宋_GB2312" w:hAnsi="Arial" w:cs="Arial"/>
                <w:szCs w:val="24"/>
              </w:rPr>
            </w:pPr>
            <w:r>
              <w:rPr>
                <w:rFonts w:ascii="Arial" w:eastAsia="仿宋_GB2312" w:hAnsi="Arial" w:cs="Arial"/>
                <w:szCs w:val="24"/>
              </w:rPr>
              <w:t>基准地价系数修正法</w:t>
            </w:r>
          </w:p>
        </w:tc>
        <w:tc>
          <w:tcPr>
            <w:tcW w:w="1843" w:type="dxa"/>
            <w:tcBorders>
              <w:top w:val="single" w:sz="4" w:space="0" w:color="auto"/>
              <w:left w:val="nil"/>
              <w:bottom w:val="single" w:sz="4" w:space="0" w:color="auto"/>
              <w:right w:val="single" w:sz="4" w:space="0" w:color="auto"/>
            </w:tcBorders>
            <w:shd w:val="clear" w:color="auto" w:fill="auto"/>
            <w:vAlign w:val="center"/>
          </w:tcPr>
          <w:p w14:paraId="21A711D5" w14:textId="77777777" w:rsidR="0062768B" w:rsidRDefault="00136729">
            <w:pPr>
              <w:widowControl/>
              <w:adjustRightInd/>
              <w:spacing w:line="240" w:lineRule="atLeast"/>
              <w:jc w:val="center"/>
              <w:textAlignment w:val="auto"/>
              <w:rPr>
                <w:rFonts w:ascii="Arial" w:hAnsi="Arial" w:cs="Arial"/>
                <w:szCs w:val="24"/>
              </w:rPr>
            </w:pPr>
            <w:r>
              <w:rPr>
                <w:rFonts w:ascii="Arial" w:hAnsi="Arial" w:cs="Arial"/>
                <w:szCs w:val="24"/>
              </w:rPr>
              <w:t>3507</w:t>
            </w:r>
          </w:p>
        </w:tc>
        <w:tc>
          <w:tcPr>
            <w:tcW w:w="1176" w:type="dxa"/>
            <w:tcBorders>
              <w:top w:val="single" w:sz="4" w:space="0" w:color="auto"/>
              <w:left w:val="nil"/>
              <w:bottom w:val="single" w:sz="4" w:space="0" w:color="auto"/>
              <w:right w:val="single" w:sz="4" w:space="0" w:color="auto"/>
            </w:tcBorders>
            <w:shd w:val="clear" w:color="auto" w:fill="auto"/>
            <w:vAlign w:val="center"/>
          </w:tcPr>
          <w:p w14:paraId="2163E316" w14:textId="77777777" w:rsidR="0062768B" w:rsidRDefault="00136729">
            <w:pPr>
              <w:widowControl/>
              <w:adjustRightInd/>
              <w:spacing w:line="240" w:lineRule="atLeast"/>
              <w:jc w:val="center"/>
              <w:textAlignment w:val="auto"/>
              <w:rPr>
                <w:rFonts w:ascii="Arial" w:hAnsi="Arial" w:cs="Arial"/>
                <w:szCs w:val="24"/>
              </w:rPr>
            </w:pPr>
            <w:r>
              <w:rPr>
                <w:rFonts w:ascii="Arial" w:hAnsi="Arial" w:cs="Arial"/>
                <w:szCs w:val="24"/>
              </w:rPr>
              <w:t>50.00%</w:t>
            </w:r>
          </w:p>
        </w:tc>
        <w:tc>
          <w:tcPr>
            <w:tcW w:w="2508" w:type="dxa"/>
            <w:vMerge w:val="restart"/>
            <w:tcBorders>
              <w:top w:val="single" w:sz="4" w:space="0" w:color="auto"/>
              <w:left w:val="single" w:sz="4" w:space="0" w:color="auto"/>
              <w:bottom w:val="single" w:sz="4" w:space="0" w:color="auto"/>
              <w:right w:val="single" w:sz="4" w:space="0" w:color="auto"/>
            </w:tcBorders>
            <w:vAlign w:val="center"/>
          </w:tcPr>
          <w:p w14:paraId="100B7A25" w14:textId="77777777" w:rsidR="0062768B" w:rsidRDefault="00136729">
            <w:pPr>
              <w:spacing w:line="240" w:lineRule="atLeast"/>
              <w:jc w:val="center"/>
              <w:rPr>
                <w:rFonts w:ascii="Arial" w:hAnsi="Arial" w:cs="Arial"/>
                <w:b/>
                <w:szCs w:val="24"/>
              </w:rPr>
            </w:pPr>
            <w:r>
              <w:rPr>
                <w:rFonts w:ascii="Arial" w:hAnsi="Arial" w:cs="Arial"/>
                <w:b/>
                <w:szCs w:val="24"/>
              </w:rPr>
              <w:t>3623</w:t>
            </w:r>
          </w:p>
        </w:tc>
      </w:tr>
      <w:tr w:rsidR="0062768B" w14:paraId="0827D2C6" w14:textId="77777777">
        <w:trPr>
          <w:cantSplit/>
          <w:jc w:val="center"/>
        </w:trPr>
        <w:tc>
          <w:tcPr>
            <w:tcW w:w="1277" w:type="dxa"/>
            <w:vMerge/>
            <w:tcBorders>
              <w:top w:val="single" w:sz="4" w:space="0" w:color="auto"/>
              <w:left w:val="single" w:sz="4" w:space="0" w:color="auto"/>
              <w:bottom w:val="single" w:sz="4" w:space="0" w:color="auto"/>
              <w:right w:val="single" w:sz="4" w:space="0" w:color="auto"/>
            </w:tcBorders>
            <w:vAlign w:val="center"/>
          </w:tcPr>
          <w:p w14:paraId="3C4D6DBC" w14:textId="77777777" w:rsidR="0062768B" w:rsidRDefault="0062768B">
            <w:pPr>
              <w:widowControl/>
              <w:adjustRightInd/>
              <w:spacing w:line="240" w:lineRule="atLeast"/>
              <w:jc w:val="center"/>
              <w:textAlignment w:val="auto"/>
              <w:rPr>
                <w:rFonts w:ascii="Arial" w:eastAsia="仿宋_GB2312" w:hAnsi="Arial" w:cs="Arial"/>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177A5E2" w14:textId="77777777" w:rsidR="0062768B" w:rsidRDefault="00136729">
            <w:pPr>
              <w:widowControl/>
              <w:adjustRightInd/>
              <w:spacing w:line="240" w:lineRule="atLeast"/>
              <w:textAlignment w:val="auto"/>
              <w:rPr>
                <w:rFonts w:ascii="Arial" w:eastAsia="仿宋_GB2312" w:hAnsi="Arial" w:cs="Arial"/>
                <w:szCs w:val="24"/>
              </w:rPr>
            </w:pPr>
            <w:r>
              <w:rPr>
                <w:rFonts w:ascii="Arial" w:eastAsia="仿宋_GB2312" w:hAnsi="Arial" w:cs="Arial"/>
                <w:szCs w:val="24"/>
              </w:rPr>
              <w:t>剩余法</w:t>
            </w:r>
          </w:p>
        </w:tc>
        <w:tc>
          <w:tcPr>
            <w:tcW w:w="1843" w:type="dxa"/>
            <w:tcBorders>
              <w:top w:val="single" w:sz="4" w:space="0" w:color="auto"/>
              <w:left w:val="nil"/>
              <w:bottom w:val="single" w:sz="4" w:space="0" w:color="auto"/>
              <w:right w:val="single" w:sz="4" w:space="0" w:color="auto"/>
            </w:tcBorders>
            <w:shd w:val="clear" w:color="auto" w:fill="auto"/>
            <w:vAlign w:val="center"/>
          </w:tcPr>
          <w:p w14:paraId="662387BF" w14:textId="77777777" w:rsidR="0062768B" w:rsidRDefault="00136729">
            <w:pPr>
              <w:widowControl/>
              <w:adjustRightInd/>
              <w:spacing w:line="240" w:lineRule="atLeast"/>
              <w:jc w:val="center"/>
              <w:textAlignment w:val="auto"/>
              <w:rPr>
                <w:rFonts w:ascii="Arial" w:hAnsi="Arial" w:cs="Arial"/>
                <w:szCs w:val="24"/>
              </w:rPr>
            </w:pPr>
            <w:r>
              <w:rPr>
                <w:rFonts w:ascii="Arial" w:hAnsi="Arial" w:cs="Arial"/>
                <w:szCs w:val="24"/>
              </w:rPr>
              <w:t>3738</w:t>
            </w:r>
          </w:p>
        </w:tc>
        <w:tc>
          <w:tcPr>
            <w:tcW w:w="1176" w:type="dxa"/>
            <w:tcBorders>
              <w:top w:val="single" w:sz="4" w:space="0" w:color="auto"/>
              <w:left w:val="nil"/>
              <w:bottom w:val="single" w:sz="4" w:space="0" w:color="auto"/>
              <w:right w:val="single" w:sz="4" w:space="0" w:color="auto"/>
            </w:tcBorders>
            <w:shd w:val="clear" w:color="auto" w:fill="auto"/>
            <w:vAlign w:val="center"/>
          </w:tcPr>
          <w:p w14:paraId="7C1B9083" w14:textId="77777777" w:rsidR="0062768B" w:rsidRDefault="00136729">
            <w:pPr>
              <w:widowControl/>
              <w:adjustRightInd/>
              <w:spacing w:line="240" w:lineRule="atLeast"/>
              <w:jc w:val="center"/>
              <w:textAlignment w:val="auto"/>
              <w:rPr>
                <w:rFonts w:ascii="Arial" w:hAnsi="Arial" w:cs="Arial"/>
                <w:szCs w:val="24"/>
              </w:rPr>
            </w:pPr>
            <w:r>
              <w:rPr>
                <w:rFonts w:ascii="Arial" w:hAnsi="Arial" w:cs="Arial"/>
                <w:szCs w:val="24"/>
              </w:rPr>
              <w:t>50.00%</w:t>
            </w:r>
          </w:p>
        </w:tc>
        <w:tc>
          <w:tcPr>
            <w:tcW w:w="2508" w:type="dxa"/>
            <w:vMerge/>
            <w:tcBorders>
              <w:top w:val="single" w:sz="4" w:space="0" w:color="auto"/>
              <w:left w:val="single" w:sz="4" w:space="0" w:color="auto"/>
              <w:bottom w:val="single" w:sz="4" w:space="0" w:color="auto"/>
              <w:right w:val="single" w:sz="4" w:space="0" w:color="auto"/>
            </w:tcBorders>
            <w:vAlign w:val="center"/>
          </w:tcPr>
          <w:p w14:paraId="4883ECFF" w14:textId="77777777" w:rsidR="0062768B" w:rsidRDefault="0062768B">
            <w:pPr>
              <w:widowControl/>
              <w:adjustRightInd/>
              <w:spacing w:line="240" w:lineRule="atLeast"/>
              <w:textAlignment w:val="auto"/>
              <w:rPr>
                <w:rFonts w:ascii="Arial" w:hAnsi="Arial" w:cs="Arial"/>
                <w:b/>
                <w:szCs w:val="24"/>
              </w:rPr>
            </w:pPr>
          </w:p>
        </w:tc>
      </w:tr>
    </w:tbl>
    <w:p w14:paraId="7ACDAB20" w14:textId="77777777" w:rsidR="0062768B" w:rsidRDefault="00136729">
      <w:pPr>
        <w:spacing w:beforeLines="100" w:before="240" w:line="300" w:lineRule="auto"/>
        <w:ind w:firstLineChars="200" w:firstLine="562"/>
        <w:jc w:val="both"/>
        <w:rPr>
          <w:rFonts w:ascii="Arial" w:eastAsia="仿宋_GB2312" w:hAnsi="Arial" w:cs="Arial"/>
          <w:b/>
          <w:sz w:val="28"/>
        </w:rPr>
      </w:pPr>
      <w:r>
        <w:rPr>
          <w:rFonts w:ascii="Arial" w:eastAsia="仿宋_GB2312" w:hAnsi="Arial" w:cs="Arial" w:hint="eastAsia"/>
          <w:b/>
          <w:sz w:val="28"/>
        </w:rPr>
        <w:t>住宅</w:t>
      </w:r>
      <w:r>
        <w:rPr>
          <w:rFonts w:ascii="Arial" w:eastAsia="仿宋_GB2312" w:hAnsi="Arial" w:cs="Arial"/>
          <w:b/>
          <w:sz w:val="28"/>
        </w:rPr>
        <w:t>用途熟地总价如下：</w:t>
      </w:r>
      <w:r>
        <w:rPr>
          <w:rFonts w:ascii="Arial" w:eastAsia="仿宋_GB2312" w:hAnsi="Arial" w:cs="Arial"/>
          <w:b/>
          <w:sz w:val="28"/>
        </w:rPr>
        <w:t xml:space="preserve"> </w:t>
      </w:r>
    </w:p>
    <w:p w14:paraId="3F2AE97B" w14:textId="77777777" w:rsidR="0062768B" w:rsidRDefault="00136729">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住宅</w:t>
      </w:r>
      <w:r>
        <w:rPr>
          <w:rFonts w:ascii="Arial" w:eastAsia="仿宋_GB2312" w:hAnsi="Arial" w:cs="Arial"/>
          <w:sz w:val="28"/>
        </w:rPr>
        <w:t>用途</w:t>
      </w:r>
      <w:r>
        <w:rPr>
          <w:rFonts w:ascii="Arial" w:eastAsia="仿宋_GB2312" w:hAnsi="Arial" w:cs="Arial"/>
          <w:sz w:val="28"/>
          <w:szCs w:val="28"/>
        </w:rPr>
        <w:t>熟地总价</w:t>
      </w:r>
      <w:r>
        <w:rPr>
          <w:rFonts w:ascii="Arial" w:eastAsia="仿宋_GB2312" w:hAnsi="Arial" w:cs="Arial"/>
          <w:sz w:val="28"/>
        </w:rPr>
        <w:t>=</w:t>
      </w:r>
      <w:r>
        <w:rPr>
          <w:rFonts w:ascii="Arial" w:eastAsia="仿宋_GB2312" w:hAnsi="Arial" w:cs="Arial" w:hint="eastAsia"/>
          <w:sz w:val="28"/>
        </w:rPr>
        <w:t xml:space="preserve"> </w:t>
      </w:r>
      <w:r>
        <w:rPr>
          <w:rFonts w:ascii="Arial" w:eastAsia="仿宋_GB2312" w:hAnsi="Arial" w:cs="Arial"/>
          <w:sz w:val="28"/>
        </w:rPr>
        <w:t>15150</w:t>
      </w:r>
      <w:r>
        <w:rPr>
          <w:rFonts w:ascii="Arial" w:eastAsia="仿宋_GB2312" w:hAnsi="Arial" w:cs="Arial"/>
          <w:sz w:val="28"/>
          <w:szCs w:val="28"/>
        </w:rPr>
        <w:t>×</w:t>
      </w:r>
      <w:r>
        <w:rPr>
          <w:rFonts w:ascii="Arial" w:eastAsia="仿宋_GB2312" w:hAnsi="Arial" w:cs="Arial"/>
          <w:sz w:val="28"/>
        </w:rPr>
        <w:t>68148.54</w:t>
      </w:r>
      <w:r>
        <w:rPr>
          <w:rFonts w:ascii="Arial" w:eastAsia="仿宋_GB2312" w:hAnsi="Arial" w:cs="Arial"/>
          <w:sz w:val="28"/>
          <w:szCs w:val="28"/>
        </w:rPr>
        <w:t>÷10000</w:t>
      </w:r>
    </w:p>
    <w:p w14:paraId="6C4BDB16"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hint="eastAsia"/>
          <w:sz w:val="28"/>
          <w:szCs w:val="28"/>
        </w:rPr>
        <w:t xml:space="preserve">                 </w:t>
      </w:r>
      <w:r>
        <w:rPr>
          <w:rFonts w:ascii="Arial" w:eastAsia="仿宋_GB2312" w:hAnsi="Arial" w:cs="Arial"/>
          <w:sz w:val="28"/>
          <w:szCs w:val="28"/>
        </w:rPr>
        <w:t>=</w:t>
      </w:r>
      <w:r>
        <w:rPr>
          <w:rFonts w:ascii="Arial" w:eastAsia="仿宋_GB2312" w:hAnsi="Arial" w:cs="Arial" w:hint="eastAsia"/>
          <w:sz w:val="28"/>
        </w:rPr>
        <w:t xml:space="preserve"> </w:t>
      </w:r>
      <w:r>
        <w:rPr>
          <w:rFonts w:ascii="Arial" w:eastAsia="仿宋_GB2312" w:hAnsi="Arial" w:cs="Arial"/>
          <w:sz w:val="28"/>
        </w:rPr>
        <w:t>103245.0381</w:t>
      </w:r>
      <w:r>
        <w:rPr>
          <w:rFonts w:ascii="Arial" w:eastAsia="仿宋_GB2312" w:hAnsi="Arial" w:cs="Arial"/>
          <w:sz w:val="28"/>
        </w:rPr>
        <w:t>（万元）</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2137"/>
        <w:gridCol w:w="2052"/>
        <w:gridCol w:w="1984"/>
        <w:gridCol w:w="2899"/>
      </w:tblGrid>
      <w:tr w:rsidR="0062768B" w14:paraId="587F15AB" w14:textId="77777777">
        <w:trPr>
          <w:cantSplit/>
          <w:jc w:val="center"/>
        </w:trPr>
        <w:tc>
          <w:tcPr>
            <w:tcW w:w="2137" w:type="dxa"/>
            <w:shd w:val="clear" w:color="auto" w:fill="auto"/>
            <w:vAlign w:val="center"/>
          </w:tcPr>
          <w:p w14:paraId="3C132E53" w14:textId="77777777" w:rsidR="0062768B" w:rsidRDefault="00136729">
            <w:pPr>
              <w:widowControl/>
              <w:adjustRightInd/>
              <w:spacing w:line="300" w:lineRule="auto"/>
              <w:jc w:val="center"/>
              <w:textAlignment w:val="auto"/>
              <w:rPr>
                <w:rFonts w:ascii="Arial" w:eastAsia="仿宋_GB2312" w:hAnsi="Arial" w:cs="Arial"/>
                <w:b/>
                <w:bCs/>
                <w:szCs w:val="24"/>
              </w:rPr>
            </w:pPr>
            <w:r>
              <w:rPr>
                <w:rFonts w:ascii="Arial" w:eastAsia="仿宋_GB2312" w:hAnsi="Arial" w:cs="Arial"/>
                <w:b/>
                <w:bCs/>
                <w:szCs w:val="24"/>
              </w:rPr>
              <w:t>用途</w:t>
            </w:r>
          </w:p>
        </w:tc>
        <w:tc>
          <w:tcPr>
            <w:tcW w:w="2052" w:type="dxa"/>
            <w:shd w:val="clear" w:color="auto" w:fill="auto"/>
            <w:vAlign w:val="center"/>
          </w:tcPr>
          <w:p w14:paraId="46E4F713" w14:textId="77777777" w:rsidR="0062768B" w:rsidRDefault="00136729">
            <w:pPr>
              <w:widowControl/>
              <w:adjustRightInd/>
              <w:spacing w:line="300" w:lineRule="auto"/>
              <w:jc w:val="center"/>
              <w:textAlignment w:val="auto"/>
              <w:rPr>
                <w:rFonts w:ascii="Arial" w:eastAsia="仿宋_GB2312" w:hAnsi="Arial" w:cs="Arial"/>
                <w:b/>
                <w:bCs/>
                <w:szCs w:val="24"/>
              </w:rPr>
            </w:pPr>
            <w:r>
              <w:rPr>
                <w:rFonts w:ascii="Arial" w:eastAsia="仿宋_GB2312" w:hAnsi="Arial" w:cs="Arial"/>
                <w:b/>
                <w:bCs/>
                <w:szCs w:val="24"/>
              </w:rPr>
              <w:t>出让建筑</w:t>
            </w:r>
          </w:p>
          <w:p w14:paraId="58E77455" w14:textId="77777777" w:rsidR="0062768B" w:rsidRDefault="00136729">
            <w:pPr>
              <w:widowControl/>
              <w:adjustRightInd/>
              <w:spacing w:line="300" w:lineRule="auto"/>
              <w:jc w:val="center"/>
              <w:textAlignment w:val="auto"/>
              <w:rPr>
                <w:rFonts w:ascii="Arial" w:eastAsia="仿宋_GB2312" w:hAnsi="Arial" w:cs="Arial"/>
                <w:b/>
                <w:bCs/>
                <w:szCs w:val="24"/>
              </w:rPr>
            </w:pPr>
            <w:r>
              <w:rPr>
                <w:rFonts w:ascii="Arial" w:eastAsia="仿宋_GB2312" w:hAnsi="Arial" w:cs="Arial"/>
                <w:b/>
                <w:bCs/>
                <w:szCs w:val="24"/>
              </w:rPr>
              <w:t>面积（</w:t>
            </w:r>
            <w:r>
              <w:rPr>
                <w:rFonts w:ascii="Arial" w:eastAsia="华文仿宋" w:hAnsi="Arial" w:cs="Arial"/>
                <w:b/>
                <w:bCs/>
                <w:szCs w:val="24"/>
              </w:rPr>
              <w:t>㎡</w:t>
            </w:r>
            <w:r>
              <w:rPr>
                <w:rFonts w:ascii="Arial" w:eastAsia="仿宋_GB2312" w:hAnsi="Arial" w:cs="Arial"/>
                <w:b/>
                <w:bCs/>
                <w:szCs w:val="24"/>
              </w:rPr>
              <w:t>）</w:t>
            </w:r>
          </w:p>
        </w:tc>
        <w:tc>
          <w:tcPr>
            <w:tcW w:w="1984" w:type="dxa"/>
            <w:shd w:val="clear" w:color="auto" w:fill="auto"/>
            <w:vAlign w:val="center"/>
          </w:tcPr>
          <w:p w14:paraId="4266D851" w14:textId="77777777" w:rsidR="0062768B" w:rsidRDefault="00136729">
            <w:pPr>
              <w:widowControl/>
              <w:adjustRightInd/>
              <w:spacing w:line="300" w:lineRule="auto"/>
              <w:jc w:val="center"/>
              <w:textAlignment w:val="auto"/>
              <w:rPr>
                <w:rFonts w:ascii="Arial" w:eastAsia="仿宋_GB2312" w:hAnsi="Arial" w:cs="Arial"/>
                <w:b/>
                <w:bCs/>
                <w:szCs w:val="24"/>
              </w:rPr>
            </w:pPr>
            <w:r>
              <w:rPr>
                <w:rFonts w:ascii="Arial" w:eastAsia="仿宋_GB2312" w:hAnsi="Arial" w:cs="Arial"/>
                <w:b/>
                <w:bCs/>
                <w:szCs w:val="24"/>
              </w:rPr>
              <w:t>熟地</w:t>
            </w:r>
            <w:r>
              <w:rPr>
                <w:rFonts w:ascii="Arial" w:eastAsia="仿宋_GB2312" w:hAnsi="Arial" w:cs="Arial" w:hint="eastAsia"/>
                <w:b/>
                <w:bCs/>
                <w:szCs w:val="24"/>
              </w:rPr>
              <w:t>价楼面</w:t>
            </w:r>
            <w:r>
              <w:rPr>
                <w:rFonts w:ascii="Arial" w:eastAsia="仿宋_GB2312" w:hAnsi="Arial" w:cs="Arial"/>
                <w:b/>
                <w:bCs/>
                <w:szCs w:val="24"/>
              </w:rPr>
              <w:t>单价</w:t>
            </w:r>
          </w:p>
          <w:p w14:paraId="7E85636E" w14:textId="77777777" w:rsidR="0062768B" w:rsidRDefault="00136729">
            <w:pPr>
              <w:widowControl/>
              <w:adjustRightInd/>
              <w:spacing w:line="300" w:lineRule="auto"/>
              <w:jc w:val="center"/>
              <w:textAlignment w:val="auto"/>
              <w:rPr>
                <w:rFonts w:ascii="Arial" w:eastAsia="仿宋_GB2312" w:hAnsi="Arial" w:cs="Arial"/>
                <w:b/>
                <w:bCs/>
                <w:szCs w:val="24"/>
              </w:rPr>
            </w:pPr>
            <w:r>
              <w:rPr>
                <w:rFonts w:ascii="Arial" w:eastAsia="仿宋_GB2312" w:hAnsi="Arial" w:cs="Arial"/>
                <w:b/>
                <w:bCs/>
                <w:szCs w:val="24"/>
              </w:rPr>
              <w:t>（元</w:t>
            </w:r>
            <w:r>
              <w:rPr>
                <w:rFonts w:ascii="Arial" w:eastAsia="仿宋_GB2312" w:hAnsi="Arial" w:cs="Arial"/>
                <w:b/>
                <w:bCs/>
                <w:szCs w:val="24"/>
              </w:rPr>
              <w:t>/</w:t>
            </w:r>
            <w:r>
              <w:rPr>
                <w:rFonts w:ascii="Arial" w:eastAsia="华文仿宋" w:hAnsi="Arial" w:cs="Arial"/>
                <w:b/>
                <w:bCs/>
                <w:szCs w:val="24"/>
              </w:rPr>
              <w:t>㎡</w:t>
            </w:r>
            <w:r>
              <w:rPr>
                <w:rFonts w:ascii="Arial" w:eastAsia="仿宋_GB2312" w:hAnsi="Arial" w:cs="Arial"/>
                <w:b/>
                <w:bCs/>
                <w:szCs w:val="24"/>
              </w:rPr>
              <w:t>）</w:t>
            </w:r>
          </w:p>
        </w:tc>
        <w:tc>
          <w:tcPr>
            <w:tcW w:w="2899" w:type="dxa"/>
            <w:shd w:val="clear" w:color="auto" w:fill="auto"/>
            <w:vAlign w:val="center"/>
          </w:tcPr>
          <w:p w14:paraId="5E446227" w14:textId="77777777" w:rsidR="0062768B" w:rsidRDefault="00136729">
            <w:pPr>
              <w:widowControl/>
              <w:adjustRightInd/>
              <w:spacing w:line="300" w:lineRule="auto"/>
              <w:jc w:val="center"/>
              <w:textAlignment w:val="auto"/>
              <w:rPr>
                <w:rFonts w:ascii="Arial" w:eastAsia="仿宋_GB2312" w:hAnsi="Arial" w:cs="Arial"/>
                <w:b/>
                <w:bCs/>
                <w:szCs w:val="24"/>
              </w:rPr>
            </w:pPr>
            <w:r>
              <w:rPr>
                <w:rFonts w:ascii="Arial" w:eastAsia="仿宋_GB2312" w:hAnsi="Arial" w:cs="Arial"/>
                <w:b/>
                <w:bCs/>
                <w:szCs w:val="24"/>
              </w:rPr>
              <w:t>熟地总价</w:t>
            </w:r>
          </w:p>
          <w:p w14:paraId="0076614A" w14:textId="77777777" w:rsidR="0062768B" w:rsidRDefault="00136729">
            <w:pPr>
              <w:widowControl/>
              <w:adjustRightInd/>
              <w:spacing w:line="300" w:lineRule="auto"/>
              <w:jc w:val="center"/>
              <w:textAlignment w:val="auto"/>
              <w:rPr>
                <w:rFonts w:ascii="Arial" w:eastAsia="仿宋_GB2312" w:hAnsi="Arial" w:cs="Arial"/>
                <w:b/>
                <w:bCs/>
                <w:szCs w:val="24"/>
              </w:rPr>
            </w:pPr>
            <w:r>
              <w:rPr>
                <w:rFonts w:ascii="Arial" w:eastAsia="仿宋_GB2312" w:hAnsi="Arial" w:cs="Arial"/>
                <w:b/>
                <w:bCs/>
                <w:szCs w:val="24"/>
              </w:rPr>
              <w:t>（万元</w:t>
            </w:r>
            <w:r>
              <w:rPr>
                <w:rFonts w:ascii="Arial" w:eastAsia="仿宋_GB2312" w:hAnsi="Arial" w:cs="Arial" w:hint="eastAsia"/>
                <w:b/>
                <w:bCs/>
                <w:szCs w:val="24"/>
              </w:rPr>
              <w:t>）</w:t>
            </w:r>
          </w:p>
        </w:tc>
      </w:tr>
      <w:tr w:rsidR="0062768B" w14:paraId="6DCD2F54" w14:textId="77777777">
        <w:trPr>
          <w:cantSplit/>
          <w:jc w:val="center"/>
        </w:trPr>
        <w:tc>
          <w:tcPr>
            <w:tcW w:w="2137" w:type="dxa"/>
            <w:shd w:val="clear" w:color="auto" w:fill="auto"/>
            <w:vAlign w:val="center"/>
          </w:tcPr>
          <w:p w14:paraId="1E6F2D65"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住宅</w:t>
            </w:r>
          </w:p>
        </w:tc>
        <w:tc>
          <w:tcPr>
            <w:tcW w:w="2052" w:type="dxa"/>
            <w:shd w:val="clear" w:color="auto" w:fill="auto"/>
            <w:vAlign w:val="center"/>
          </w:tcPr>
          <w:p w14:paraId="2A2D4CB1" w14:textId="77777777" w:rsidR="0062768B" w:rsidRDefault="00136729">
            <w:pPr>
              <w:spacing w:line="300" w:lineRule="auto"/>
              <w:jc w:val="center"/>
              <w:rPr>
                <w:rFonts w:ascii="Arial" w:hAnsi="Arial" w:cs="Arial"/>
              </w:rPr>
            </w:pPr>
            <w:r>
              <w:rPr>
                <w:rFonts w:ascii="Arial" w:hAnsi="Arial" w:cs="Arial"/>
              </w:rPr>
              <w:t>68148.54</w:t>
            </w:r>
          </w:p>
        </w:tc>
        <w:tc>
          <w:tcPr>
            <w:tcW w:w="1984" w:type="dxa"/>
            <w:shd w:val="clear" w:color="auto" w:fill="auto"/>
            <w:vAlign w:val="center"/>
          </w:tcPr>
          <w:p w14:paraId="26E3E357" w14:textId="77777777" w:rsidR="0062768B" w:rsidRDefault="00136729">
            <w:pPr>
              <w:spacing w:line="300" w:lineRule="auto"/>
              <w:jc w:val="center"/>
              <w:rPr>
                <w:rFonts w:ascii="Arial" w:hAnsi="Arial" w:cs="Arial"/>
                <w:szCs w:val="24"/>
              </w:rPr>
            </w:pPr>
            <w:r>
              <w:rPr>
                <w:rFonts w:ascii="Arial" w:hAnsi="Arial" w:cs="Arial"/>
              </w:rPr>
              <w:t>15150</w:t>
            </w:r>
          </w:p>
        </w:tc>
        <w:tc>
          <w:tcPr>
            <w:tcW w:w="2899" w:type="dxa"/>
            <w:shd w:val="clear" w:color="auto" w:fill="auto"/>
            <w:vAlign w:val="center"/>
          </w:tcPr>
          <w:p w14:paraId="0F954D8F" w14:textId="77777777" w:rsidR="0062768B" w:rsidRDefault="00136729">
            <w:pPr>
              <w:spacing w:line="300" w:lineRule="auto"/>
              <w:jc w:val="center"/>
              <w:rPr>
                <w:rFonts w:ascii="Arial" w:hAnsi="Arial" w:cs="Arial"/>
                <w:szCs w:val="24"/>
              </w:rPr>
            </w:pPr>
            <w:r>
              <w:rPr>
                <w:rFonts w:ascii="Arial" w:hAnsi="Arial" w:cs="Arial"/>
              </w:rPr>
              <w:t>103245.0381</w:t>
            </w:r>
          </w:p>
        </w:tc>
      </w:tr>
      <w:tr w:rsidR="0062768B" w14:paraId="1FC3FCC7" w14:textId="77777777">
        <w:trPr>
          <w:cantSplit/>
          <w:jc w:val="center"/>
        </w:trPr>
        <w:tc>
          <w:tcPr>
            <w:tcW w:w="2137" w:type="dxa"/>
            <w:shd w:val="clear" w:color="auto" w:fill="auto"/>
            <w:vAlign w:val="center"/>
          </w:tcPr>
          <w:p w14:paraId="739D952F" w14:textId="77777777" w:rsidR="0062768B" w:rsidRDefault="00136729">
            <w:pPr>
              <w:widowControl/>
              <w:adjustRightInd/>
              <w:spacing w:line="300" w:lineRule="auto"/>
              <w:jc w:val="center"/>
              <w:textAlignment w:val="auto"/>
              <w:rPr>
                <w:rFonts w:ascii="Arial" w:hAnsi="Arial" w:cs="Arial"/>
                <w:szCs w:val="24"/>
              </w:rPr>
            </w:pPr>
            <w:r>
              <w:rPr>
                <w:rFonts w:ascii="Arial" w:eastAsia="仿宋_GB2312" w:hAnsi="Arial" w:cs="Arial"/>
                <w:szCs w:val="24"/>
              </w:rPr>
              <w:t>商业</w:t>
            </w:r>
            <w:r>
              <w:rPr>
                <w:rFonts w:ascii="Arial" w:eastAsia="仿宋_GB2312" w:hAnsi="Arial" w:cs="Arial" w:hint="eastAsia"/>
                <w:szCs w:val="24"/>
              </w:rPr>
              <w:t>（其他</w:t>
            </w:r>
            <w:r>
              <w:rPr>
                <w:rFonts w:ascii="Arial" w:eastAsia="仿宋_GB2312" w:hAnsi="Arial" w:cs="Arial"/>
                <w:szCs w:val="24"/>
              </w:rPr>
              <w:t>商服</w:t>
            </w:r>
            <w:r>
              <w:rPr>
                <w:rFonts w:ascii="Arial" w:eastAsia="仿宋_GB2312" w:hAnsi="Arial" w:cs="Arial" w:hint="eastAsia"/>
                <w:szCs w:val="24"/>
              </w:rPr>
              <w:t>）</w:t>
            </w:r>
          </w:p>
        </w:tc>
        <w:tc>
          <w:tcPr>
            <w:tcW w:w="2052" w:type="dxa"/>
            <w:shd w:val="clear" w:color="auto" w:fill="auto"/>
            <w:vAlign w:val="center"/>
          </w:tcPr>
          <w:p w14:paraId="7F712D06" w14:textId="77777777" w:rsidR="0062768B" w:rsidRDefault="00136729">
            <w:pPr>
              <w:spacing w:line="300" w:lineRule="auto"/>
              <w:jc w:val="center"/>
              <w:rPr>
                <w:rFonts w:ascii="Arial" w:hAnsi="Arial" w:cs="Arial"/>
              </w:rPr>
            </w:pPr>
            <w:r>
              <w:rPr>
                <w:rFonts w:ascii="Arial" w:hAnsi="Arial" w:cs="Arial"/>
                <w:szCs w:val="24"/>
              </w:rPr>
              <w:t>——</w:t>
            </w:r>
          </w:p>
        </w:tc>
        <w:tc>
          <w:tcPr>
            <w:tcW w:w="1984" w:type="dxa"/>
            <w:shd w:val="clear" w:color="auto" w:fill="auto"/>
            <w:vAlign w:val="center"/>
          </w:tcPr>
          <w:p w14:paraId="33D9303F" w14:textId="77777777" w:rsidR="0062768B" w:rsidRDefault="00136729">
            <w:pPr>
              <w:spacing w:line="300" w:lineRule="auto"/>
              <w:jc w:val="center"/>
              <w:rPr>
                <w:rFonts w:ascii="Arial" w:hAnsi="Arial" w:cs="Arial"/>
                <w:szCs w:val="24"/>
              </w:rPr>
            </w:pPr>
            <w:r>
              <w:rPr>
                <w:rFonts w:ascii="Arial" w:hAnsi="Arial" w:cs="Arial"/>
              </w:rPr>
              <w:t>8128</w:t>
            </w:r>
          </w:p>
        </w:tc>
        <w:tc>
          <w:tcPr>
            <w:tcW w:w="2899" w:type="dxa"/>
            <w:shd w:val="clear" w:color="auto" w:fill="auto"/>
            <w:vAlign w:val="center"/>
          </w:tcPr>
          <w:p w14:paraId="2E1CBE79" w14:textId="77777777" w:rsidR="0062768B" w:rsidRDefault="00136729">
            <w:pPr>
              <w:spacing w:line="300" w:lineRule="auto"/>
              <w:jc w:val="center"/>
              <w:rPr>
                <w:rFonts w:ascii="Arial" w:hAnsi="Arial" w:cs="Arial"/>
                <w:szCs w:val="24"/>
              </w:rPr>
            </w:pPr>
            <w:r>
              <w:rPr>
                <w:rFonts w:ascii="Arial" w:hAnsi="Arial" w:cs="Arial"/>
                <w:szCs w:val="24"/>
              </w:rPr>
              <w:t>——</w:t>
            </w:r>
          </w:p>
        </w:tc>
      </w:tr>
      <w:tr w:rsidR="0062768B" w14:paraId="490ACC01" w14:textId="77777777">
        <w:trPr>
          <w:cantSplit/>
          <w:jc w:val="center"/>
        </w:trPr>
        <w:tc>
          <w:tcPr>
            <w:tcW w:w="2137" w:type="dxa"/>
            <w:shd w:val="clear" w:color="auto" w:fill="auto"/>
            <w:vAlign w:val="center"/>
          </w:tcPr>
          <w:p w14:paraId="3CC52972" w14:textId="77777777" w:rsidR="0062768B" w:rsidRDefault="00136729">
            <w:pPr>
              <w:widowControl/>
              <w:adjustRightInd/>
              <w:spacing w:line="300" w:lineRule="auto"/>
              <w:jc w:val="center"/>
              <w:textAlignment w:val="auto"/>
              <w:rPr>
                <w:rFonts w:ascii="Arial" w:hAnsi="Arial" w:cs="Arial"/>
                <w:szCs w:val="24"/>
              </w:rPr>
            </w:pPr>
            <w:r>
              <w:rPr>
                <w:rFonts w:ascii="Arial" w:eastAsia="仿宋_GB2312" w:hAnsi="Arial" w:cs="Arial" w:hint="eastAsia"/>
                <w:szCs w:val="24"/>
              </w:rPr>
              <w:t>公共服务</w:t>
            </w:r>
          </w:p>
        </w:tc>
        <w:tc>
          <w:tcPr>
            <w:tcW w:w="2052" w:type="dxa"/>
            <w:shd w:val="clear" w:color="auto" w:fill="auto"/>
            <w:vAlign w:val="center"/>
          </w:tcPr>
          <w:p w14:paraId="72D3DB5E" w14:textId="77777777" w:rsidR="0062768B" w:rsidRDefault="00136729">
            <w:pPr>
              <w:spacing w:line="300" w:lineRule="auto"/>
              <w:jc w:val="center"/>
              <w:rPr>
                <w:rFonts w:ascii="Arial" w:hAnsi="Arial" w:cs="Arial"/>
              </w:rPr>
            </w:pPr>
            <w:r>
              <w:rPr>
                <w:rFonts w:ascii="Arial" w:hAnsi="Arial" w:cs="Arial"/>
                <w:szCs w:val="24"/>
              </w:rPr>
              <w:t>——</w:t>
            </w:r>
          </w:p>
        </w:tc>
        <w:tc>
          <w:tcPr>
            <w:tcW w:w="1984" w:type="dxa"/>
            <w:shd w:val="clear" w:color="auto" w:fill="auto"/>
            <w:vAlign w:val="center"/>
          </w:tcPr>
          <w:p w14:paraId="4493A700" w14:textId="77777777" w:rsidR="0062768B" w:rsidRDefault="00136729">
            <w:pPr>
              <w:spacing w:line="300" w:lineRule="auto"/>
              <w:jc w:val="center"/>
              <w:rPr>
                <w:rFonts w:ascii="Arial" w:hAnsi="Arial" w:cs="Arial"/>
              </w:rPr>
            </w:pPr>
            <w:r>
              <w:rPr>
                <w:rFonts w:ascii="Arial" w:hAnsi="Arial" w:cs="Arial"/>
              </w:rPr>
              <w:t>3623</w:t>
            </w:r>
          </w:p>
        </w:tc>
        <w:tc>
          <w:tcPr>
            <w:tcW w:w="2899" w:type="dxa"/>
            <w:shd w:val="clear" w:color="auto" w:fill="auto"/>
            <w:vAlign w:val="center"/>
          </w:tcPr>
          <w:p w14:paraId="6F7A7C98" w14:textId="77777777" w:rsidR="0062768B" w:rsidRDefault="00136729">
            <w:pPr>
              <w:spacing w:line="300" w:lineRule="auto"/>
              <w:jc w:val="center"/>
              <w:rPr>
                <w:rFonts w:ascii="Arial" w:hAnsi="Arial" w:cs="Arial"/>
                <w:szCs w:val="24"/>
              </w:rPr>
            </w:pPr>
            <w:r>
              <w:rPr>
                <w:rFonts w:ascii="Arial" w:hAnsi="Arial" w:cs="Arial"/>
                <w:szCs w:val="24"/>
              </w:rPr>
              <w:t>——</w:t>
            </w:r>
          </w:p>
        </w:tc>
      </w:tr>
      <w:tr w:rsidR="0062768B" w14:paraId="0F812041" w14:textId="77777777">
        <w:trPr>
          <w:cantSplit/>
          <w:jc w:val="center"/>
        </w:trPr>
        <w:tc>
          <w:tcPr>
            <w:tcW w:w="2137" w:type="dxa"/>
            <w:shd w:val="clear" w:color="auto" w:fill="auto"/>
            <w:vAlign w:val="center"/>
          </w:tcPr>
          <w:p w14:paraId="3E4114B6"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合计</w:t>
            </w:r>
          </w:p>
        </w:tc>
        <w:tc>
          <w:tcPr>
            <w:tcW w:w="2052" w:type="dxa"/>
            <w:shd w:val="clear" w:color="auto" w:fill="auto"/>
            <w:vAlign w:val="center"/>
          </w:tcPr>
          <w:p w14:paraId="61C4557E" w14:textId="77777777" w:rsidR="0062768B" w:rsidRDefault="00136729">
            <w:pPr>
              <w:spacing w:line="300" w:lineRule="auto"/>
              <w:jc w:val="center"/>
              <w:rPr>
                <w:rFonts w:ascii="Arial" w:hAnsi="Arial" w:cs="Arial"/>
              </w:rPr>
            </w:pPr>
            <w:r>
              <w:rPr>
                <w:rFonts w:ascii="Arial" w:hAnsi="Arial" w:cs="Arial"/>
              </w:rPr>
              <w:t>68148.54</w:t>
            </w:r>
          </w:p>
        </w:tc>
        <w:tc>
          <w:tcPr>
            <w:tcW w:w="1984" w:type="dxa"/>
            <w:shd w:val="clear" w:color="auto" w:fill="auto"/>
            <w:vAlign w:val="center"/>
          </w:tcPr>
          <w:p w14:paraId="4410B8A3" w14:textId="77777777" w:rsidR="0062768B" w:rsidRDefault="00136729">
            <w:pPr>
              <w:spacing w:line="300" w:lineRule="auto"/>
              <w:jc w:val="center"/>
              <w:rPr>
                <w:rFonts w:ascii="Arial" w:hAnsi="Arial" w:cs="Arial"/>
                <w:szCs w:val="24"/>
              </w:rPr>
            </w:pPr>
            <w:r>
              <w:rPr>
                <w:rFonts w:ascii="Arial" w:hAnsi="Arial" w:cs="Arial"/>
                <w:szCs w:val="24"/>
              </w:rPr>
              <w:t>——</w:t>
            </w:r>
          </w:p>
        </w:tc>
        <w:tc>
          <w:tcPr>
            <w:tcW w:w="2899" w:type="dxa"/>
            <w:shd w:val="clear" w:color="auto" w:fill="auto"/>
            <w:vAlign w:val="center"/>
          </w:tcPr>
          <w:p w14:paraId="50881457" w14:textId="77777777" w:rsidR="0062768B" w:rsidRDefault="00136729">
            <w:pPr>
              <w:spacing w:line="300" w:lineRule="auto"/>
              <w:jc w:val="center"/>
              <w:rPr>
                <w:rFonts w:ascii="Arial" w:hAnsi="Arial" w:cs="Arial"/>
                <w:szCs w:val="24"/>
              </w:rPr>
            </w:pPr>
            <w:r>
              <w:rPr>
                <w:rFonts w:ascii="Arial" w:hAnsi="Arial" w:cs="Arial"/>
              </w:rPr>
              <w:t>103245.0381</w:t>
            </w:r>
          </w:p>
        </w:tc>
      </w:tr>
    </w:tbl>
    <w:p w14:paraId="67BF1E80" w14:textId="77777777" w:rsidR="0062768B" w:rsidRDefault="0062768B">
      <w:pPr>
        <w:spacing w:line="300" w:lineRule="auto"/>
        <w:jc w:val="both"/>
        <w:rPr>
          <w:rFonts w:ascii="Arial" w:eastAsia="仿宋_GB2312" w:hAnsi="Arial" w:cs="Arial"/>
          <w:b/>
          <w:sz w:val="28"/>
          <w:szCs w:val="28"/>
        </w:rPr>
      </w:pPr>
    </w:p>
    <w:p w14:paraId="2A01F9E1" w14:textId="77777777" w:rsidR="0062768B" w:rsidRDefault="00136729">
      <w:pPr>
        <w:spacing w:line="300" w:lineRule="auto"/>
        <w:jc w:val="both"/>
        <w:outlineLvl w:val="1"/>
        <w:rPr>
          <w:rFonts w:ascii="Arial" w:eastAsia="仿宋_GB2312" w:hAnsi="Arial" w:cs="Arial"/>
          <w:b/>
          <w:sz w:val="28"/>
        </w:rPr>
      </w:pPr>
      <w:bookmarkStart w:id="420" w:name="_Toc132016642"/>
      <w:bookmarkStart w:id="421" w:name="_Toc132016759"/>
      <w:bookmarkStart w:id="422" w:name="_Toc138063040"/>
      <w:r>
        <w:rPr>
          <w:rFonts w:ascii="Arial" w:eastAsia="仿宋_GB2312" w:hAnsi="Arial" w:cs="Arial" w:hint="eastAsia"/>
          <w:b/>
          <w:sz w:val="28"/>
        </w:rPr>
        <w:t>四</w:t>
      </w:r>
      <w:r>
        <w:rPr>
          <w:rFonts w:ascii="Arial" w:eastAsia="仿宋_GB2312" w:hAnsi="Arial" w:cs="Arial"/>
          <w:b/>
          <w:sz w:val="28"/>
        </w:rPr>
        <w:t>、政府土地出让收益</w:t>
      </w:r>
      <w:bookmarkEnd w:id="420"/>
      <w:bookmarkEnd w:id="421"/>
      <w:bookmarkEnd w:id="422"/>
    </w:p>
    <w:p w14:paraId="28DBFD5D" w14:textId="77777777" w:rsidR="0062768B" w:rsidRDefault="00136729">
      <w:pPr>
        <w:spacing w:line="300" w:lineRule="auto"/>
        <w:ind w:firstLineChars="200" w:firstLine="560"/>
        <w:jc w:val="both"/>
        <w:rPr>
          <w:rFonts w:ascii="Arial" w:eastAsia="仿宋_GB2312" w:hAnsi="Arial" w:cs="Arial"/>
          <w:sz w:val="28"/>
        </w:rPr>
      </w:pPr>
      <w:bookmarkStart w:id="423" w:name="_Toc481694024"/>
      <w:bookmarkStart w:id="424" w:name="_Toc482602043"/>
      <w:bookmarkStart w:id="425" w:name="_Toc482602829"/>
      <w:r>
        <w:rPr>
          <w:rFonts w:ascii="Arial" w:eastAsia="仿宋_GB2312" w:hAnsi="Arial" w:cs="Arial"/>
          <w:sz w:val="28"/>
        </w:rPr>
        <w:t>国有建设用地使用权出让政府土地收益</w:t>
      </w:r>
      <w:proofErr w:type="gramStart"/>
      <w:r>
        <w:rPr>
          <w:rFonts w:ascii="Arial" w:eastAsia="仿宋_GB2312" w:hAnsi="Arial" w:cs="Arial"/>
          <w:sz w:val="28"/>
        </w:rPr>
        <w:t>按照楼</w:t>
      </w:r>
      <w:proofErr w:type="gramEnd"/>
      <w:r>
        <w:rPr>
          <w:rFonts w:ascii="Arial" w:eastAsia="仿宋_GB2312" w:hAnsi="Arial" w:cs="Arial"/>
          <w:sz w:val="28"/>
        </w:rPr>
        <w:t>面熟地价及</w:t>
      </w:r>
      <w:proofErr w:type="gramStart"/>
      <w:r>
        <w:rPr>
          <w:rFonts w:ascii="Arial" w:eastAsia="仿宋_GB2312" w:hAnsi="Arial" w:cs="Arial"/>
          <w:sz w:val="28"/>
        </w:rPr>
        <w:t>各土地</w:t>
      </w:r>
      <w:proofErr w:type="gramEnd"/>
      <w:r>
        <w:rPr>
          <w:rFonts w:ascii="Arial" w:eastAsia="仿宋_GB2312" w:hAnsi="Arial" w:cs="Arial"/>
          <w:sz w:val="28"/>
        </w:rPr>
        <w:t>用途的政府土地收益比例确定。同一宗地包括多种土地用途或建筑功能的，按细分后的用途或功能的建筑规模或用地面积分</w:t>
      </w:r>
      <w:proofErr w:type="gramStart"/>
      <w:r>
        <w:rPr>
          <w:rFonts w:ascii="Arial" w:eastAsia="仿宋_GB2312" w:hAnsi="Arial" w:cs="Arial"/>
          <w:sz w:val="28"/>
        </w:rPr>
        <w:t>别计算</w:t>
      </w:r>
      <w:proofErr w:type="gramEnd"/>
      <w:r>
        <w:rPr>
          <w:rFonts w:ascii="Arial" w:eastAsia="仿宋_GB2312" w:hAnsi="Arial" w:cs="Arial"/>
          <w:sz w:val="28"/>
        </w:rPr>
        <w:t>求和。</w:t>
      </w:r>
      <w:r>
        <w:rPr>
          <w:rFonts w:ascii="Arial" w:eastAsia="仿宋_GB2312" w:hAnsi="Arial" w:cs="Arial"/>
          <w:sz w:val="28"/>
          <w:szCs w:val="28"/>
        </w:rPr>
        <w:t>参照</w:t>
      </w:r>
      <w:r>
        <w:rPr>
          <w:rFonts w:ascii="Arial" w:eastAsia="仿宋_GB2312" w:hAnsi="Arial" w:cs="Arial"/>
          <w:sz w:val="28"/>
        </w:rPr>
        <w:t>商业、办公、</w:t>
      </w:r>
      <w:r>
        <w:rPr>
          <w:rFonts w:ascii="Arial" w:eastAsia="仿宋_GB2312" w:hAnsi="Arial" w:cs="Arial" w:hint="eastAsia"/>
          <w:sz w:val="28"/>
        </w:rPr>
        <w:t>住宅、公共服务类基准地价的，</w:t>
      </w:r>
      <w:r>
        <w:rPr>
          <w:rFonts w:ascii="Arial" w:eastAsia="仿宋_GB2312" w:hAnsi="Arial" w:cs="Arial"/>
          <w:sz w:val="28"/>
        </w:rPr>
        <w:t>政府土地出让收益按照政府</w:t>
      </w:r>
      <w:proofErr w:type="gramStart"/>
      <w:r>
        <w:rPr>
          <w:rFonts w:ascii="Arial" w:eastAsia="仿宋_GB2312" w:hAnsi="Arial" w:cs="Arial"/>
          <w:sz w:val="28"/>
        </w:rPr>
        <w:t>审定楼</w:t>
      </w:r>
      <w:proofErr w:type="gramEnd"/>
      <w:r>
        <w:rPr>
          <w:rFonts w:ascii="Arial" w:eastAsia="仿宋_GB2312" w:hAnsi="Arial" w:cs="Arial"/>
          <w:sz w:val="28"/>
        </w:rPr>
        <w:t>面熟地价的</w:t>
      </w:r>
      <w:r>
        <w:rPr>
          <w:rFonts w:ascii="Arial" w:eastAsia="仿宋_GB2312" w:hAnsi="Arial" w:cs="Arial"/>
          <w:sz w:val="28"/>
        </w:rPr>
        <w:t>25%</w:t>
      </w:r>
      <w:r>
        <w:rPr>
          <w:rFonts w:ascii="Arial" w:eastAsia="仿宋_GB2312" w:hAnsi="Arial" w:cs="Arial"/>
          <w:sz w:val="28"/>
        </w:rPr>
        <w:t>确定。</w:t>
      </w:r>
      <w:bookmarkEnd w:id="423"/>
      <w:bookmarkEnd w:id="424"/>
      <w:bookmarkEnd w:id="425"/>
      <w:r>
        <w:rPr>
          <w:rFonts w:ascii="Arial" w:eastAsia="仿宋_GB2312" w:hAnsi="Arial" w:cs="Arial"/>
          <w:sz w:val="28"/>
        </w:rPr>
        <w:t>则估价对象各用途政府土地收益如下：</w:t>
      </w:r>
    </w:p>
    <w:p w14:paraId="1A939D59" w14:textId="77777777" w:rsidR="0062768B" w:rsidRDefault="00136729">
      <w:pPr>
        <w:spacing w:line="300" w:lineRule="auto"/>
        <w:ind w:firstLineChars="200" w:firstLine="562"/>
        <w:jc w:val="both"/>
        <w:rPr>
          <w:rFonts w:ascii="Arial" w:eastAsia="仿宋_GB2312" w:hAnsi="Arial" w:cs="Arial"/>
          <w:b/>
          <w:sz w:val="28"/>
        </w:rPr>
      </w:pPr>
      <w:r>
        <w:rPr>
          <w:rFonts w:ascii="Arial" w:eastAsia="仿宋_GB2312" w:hAnsi="Arial" w:cs="Arial"/>
          <w:b/>
          <w:sz w:val="28"/>
        </w:rPr>
        <w:t>估价对象各用途政府土地收益如下：</w:t>
      </w:r>
    </w:p>
    <w:p w14:paraId="2C081A87"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住宅</w:t>
      </w:r>
      <w:r>
        <w:rPr>
          <w:rFonts w:ascii="Arial" w:eastAsia="仿宋_GB2312" w:hAnsi="Arial" w:cs="Arial"/>
          <w:sz w:val="28"/>
        </w:rPr>
        <w:t>用途政府土地出让收益楼面单价</w:t>
      </w:r>
    </w:p>
    <w:p w14:paraId="4DEE738D"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szCs w:val="28"/>
        </w:rPr>
        <w:t>15150</w:t>
      </w:r>
      <w:r>
        <w:rPr>
          <w:rFonts w:ascii="Arial" w:eastAsia="仿宋_GB2312" w:hAnsi="Arial" w:cs="Arial"/>
          <w:sz w:val="28"/>
        </w:rPr>
        <w:t>×25%</w:t>
      </w:r>
    </w:p>
    <w:p w14:paraId="4FD3BF24"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sz w:val="28"/>
        </w:rPr>
        <w:lastRenderedPageBreak/>
        <w:t>=</w:t>
      </w:r>
      <w:r>
        <w:rPr>
          <w:rFonts w:ascii="Arial" w:eastAsia="仿宋_GB2312" w:hAnsi="Arial" w:cs="Arial" w:hint="eastAsia"/>
          <w:sz w:val="28"/>
          <w:szCs w:val="28"/>
        </w:rPr>
        <w:t xml:space="preserve"> </w:t>
      </w:r>
      <w:r>
        <w:rPr>
          <w:rFonts w:ascii="Arial" w:eastAsia="仿宋_GB2312" w:hAnsi="Arial" w:cs="Arial"/>
          <w:sz w:val="28"/>
          <w:szCs w:val="28"/>
        </w:rPr>
        <w:t>3788</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14:paraId="09589688"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sz w:val="28"/>
        </w:rPr>
        <w:t>商业</w:t>
      </w:r>
      <w:r>
        <w:rPr>
          <w:rFonts w:ascii="Arial" w:eastAsia="仿宋_GB2312" w:hAnsi="Arial" w:cs="Arial" w:hint="eastAsia"/>
          <w:sz w:val="28"/>
        </w:rPr>
        <w:t>（其他商服）</w:t>
      </w:r>
      <w:r>
        <w:rPr>
          <w:rFonts w:ascii="Arial" w:eastAsia="仿宋_GB2312" w:hAnsi="Arial" w:cs="Arial"/>
          <w:sz w:val="28"/>
        </w:rPr>
        <w:t>用途政府土地出让收益楼面单价</w:t>
      </w:r>
    </w:p>
    <w:p w14:paraId="269399B4"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szCs w:val="28"/>
        </w:rPr>
        <w:t xml:space="preserve"> </w:t>
      </w:r>
      <w:r>
        <w:rPr>
          <w:rFonts w:ascii="Arial" w:eastAsia="仿宋_GB2312" w:hAnsi="Arial" w:cs="Arial"/>
          <w:sz w:val="28"/>
          <w:szCs w:val="28"/>
        </w:rPr>
        <w:t>8128</w:t>
      </w:r>
      <w:r>
        <w:rPr>
          <w:rFonts w:ascii="Arial" w:eastAsia="仿宋_GB2312" w:hAnsi="Arial" w:cs="Arial"/>
          <w:sz w:val="28"/>
        </w:rPr>
        <w:t>×25%</w:t>
      </w:r>
    </w:p>
    <w:p w14:paraId="077C4E02"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szCs w:val="28"/>
        </w:rPr>
        <w:t xml:space="preserve"> </w:t>
      </w:r>
      <w:r>
        <w:rPr>
          <w:rFonts w:ascii="Arial" w:eastAsia="仿宋_GB2312" w:hAnsi="Arial" w:cs="Arial"/>
          <w:sz w:val="28"/>
          <w:szCs w:val="28"/>
        </w:rPr>
        <w:t>2032</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14:paraId="46C95E5F"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公共服务</w:t>
      </w:r>
      <w:r>
        <w:rPr>
          <w:rFonts w:ascii="Arial" w:eastAsia="仿宋_GB2312" w:hAnsi="Arial" w:cs="Arial"/>
          <w:sz w:val="28"/>
        </w:rPr>
        <w:t>用途政府土地出让收益楼面单价</w:t>
      </w:r>
    </w:p>
    <w:p w14:paraId="36362C78"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szCs w:val="28"/>
        </w:rPr>
        <w:t xml:space="preserve"> </w:t>
      </w:r>
      <w:r>
        <w:rPr>
          <w:rFonts w:ascii="Arial" w:eastAsia="仿宋_GB2312" w:hAnsi="Arial" w:cs="Arial"/>
          <w:sz w:val="28"/>
          <w:szCs w:val="28"/>
        </w:rPr>
        <w:t>3623</w:t>
      </w:r>
      <w:r>
        <w:rPr>
          <w:rFonts w:ascii="Arial" w:eastAsia="仿宋_GB2312" w:hAnsi="Arial" w:cs="Arial"/>
          <w:sz w:val="28"/>
        </w:rPr>
        <w:t>×25%</w:t>
      </w:r>
    </w:p>
    <w:p w14:paraId="5754B5C8"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szCs w:val="28"/>
        </w:rPr>
        <w:t xml:space="preserve"> </w:t>
      </w:r>
      <w:r>
        <w:rPr>
          <w:rFonts w:ascii="Arial" w:eastAsia="仿宋_GB2312" w:hAnsi="Arial" w:cs="Arial"/>
          <w:sz w:val="28"/>
          <w:szCs w:val="28"/>
        </w:rPr>
        <w:t>906</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14:paraId="67CEB0B7" w14:textId="77777777" w:rsidR="0062768B" w:rsidRDefault="00136729">
      <w:pPr>
        <w:spacing w:line="300" w:lineRule="auto"/>
        <w:ind w:firstLineChars="200" w:firstLine="562"/>
        <w:jc w:val="both"/>
        <w:rPr>
          <w:rFonts w:ascii="Arial" w:eastAsia="仿宋_GB2312" w:hAnsi="Arial" w:cs="Arial"/>
          <w:b/>
          <w:sz w:val="28"/>
        </w:rPr>
      </w:pPr>
      <w:r>
        <w:rPr>
          <w:rFonts w:ascii="Arial" w:eastAsia="仿宋_GB2312" w:hAnsi="Arial" w:cs="Arial"/>
          <w:b/>
          <w:sz w:val="28"/>
        </w:rPr>
        <w:t>估价对象政府土地总收益如下：</w:t>
      </w:r>
      <w:r>
        <w:rPr>
          <w:rFonts w:ascii="Arial" w:eastAsia="仿宋_GB2312" w:hAnsi="Arial" w:cs="Arial"/>
          <w:b/>
          <w:sz w:val="28"/>
        </w:rPr>
        <w:t xml:space="preserve"> </w:t>
      </w:r>
    </w:p>
    <w:p w14:paraId="7F5E4E5E"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住宅</w:t>
      </w:r>
      <w:r>
        <w:rPr>
          <w:rFonts w:ascii="Arial" w:eastAsia="仿宋_GB2312" w:hAnsi="Arial" w:cs="Arial"/>
          <w:sz w:val="28"/>
        </w:rPr>
        <w:t>用途政府土地出让收益总</w:t>
      </w:r>
      <w:r>
        <w:rPr>
          <w:rFonts w:ascii="Arial" w:eastAsia="仿宋_GB2312" w:hAnsi="Arial" w:cs="Arial" w:hint="eastAsia"/>
          <w:sz w:val="28"/>
        </w:rPr>
        <w:t>价</w:t>
      </w:r>
    </w:p>
    <w:p w14:paraId="5FF16FF2"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szCs w:val="28"/>
        </w:rPr>
        <w:t xml:space="preserve"> </w:t>
      </w:r>
      <w:r>
        <w:rPr>
          <w:rFonts w:ascii="Arial" w:eastAsia="仿宋_GB2312" w:hAnsi="Arial" w:cs="Arial"/>
          <w:sz w:val="28"/>
          <w:szCs w:val="28"/>
        </w:rPr>
        <w:t>3788×68148.54÷10000</w:t>
      </w:r>
    </w:p>
    <w:p w14:paraId="4C60843C"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szCs w:val="28"/>
        </w:rPr>
        <w:t>25814.6670</w:t>
      </w:r>
      <w:r>
        <w:rPr>
          <w:rFonts w:ascii="Arial" w:eastAsia="仿宋_GB2312" w:hAnsi="Arial" w:cs="Arial"/>
          <w:sz w:val="28"/>
          <w:szCs w:val="28"/>
        </w:rPr>
        <w:t>（</w:t>
      </w:r>
      <w:r>
        <w:rPr>
          <w:rFonts w:ascii="Arial" w:eastAsia="仿宋_GB2312" w:hAnsi="Arial" w:cs="Arial"/>
          <w:sz w:val="28"/>
        </w:rPr>
        <w:t>万元）</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2136"/>
        <w:gridCol w:w="1831"/>
        <w:gridCol w:w="2746"/>
        <w:gridCol w:w="2359"/>
      </w:tblGrid>
      <w:tr w:rsidR="0062768B" w14:paraId="43AF4DB6" w14:textId="77777777">
        <w:trPr>
          <w:cantSplit/>
          <w:jc w:val="center"/>
        </w:trPr>
        <w:tc>
          <w:tcPr>
            <w:tcW w:w="2136" w:type="dxa"/>
            <w:shd w:val="clear" w:color="auto" w:fill="auto"/>
            <w:vAlign w:val="center"/>
          </w:tcPr>
          <w:p w14:paraId="117C075C" w14:textId="77777777" w:rsidR="0062768B" w:rsidRDefault="00136729">
            <w:pPr>
              <w:widowControl/>
              <w:adjustRightInd/>
              <w:spacing w:line="300" w:lineRule="auto"/>
              <w:jc w:val="center"/>
              <w:textAlignment w:val="auto"/>
              <w:rPr>
                <w:rFonts w:ascii="Arial" w:eastAsia="仿宋_GB2312" w:hAnsi="Arial" w:cs="Arial"/>
                <w:b/>
                <w:bCs/>
                <w:szCs w:val="24"/>
              </w:rPr>
            </w:pPr>
            <w:r>
              <w:rPr>
                <w:rFonts w:ascii="Arial" w:eastAsia="仿宋_GB2312" w:hAnsi="Arial" w:cs="Arial"/>
                <w:b/>
                <w:bCs/>
                <w:szCs w:val="24"/>
              </w:rPr>
              <w:t>用途</w:t>
            </w:r>
          </w:p>
        </w:tc>
        <w:tc>
          <w:tcPr>
            <w:tcW w:w="1831" w:type="dxa"/>
            <w:shd w:val="clear" w:color="auto" w:fill="auto"/>
            <w:vAlign w:val="center"/>
          </w:tcPr>
          <w:p w14:paraId="5E330EC1" w14:textId="77777777" w:rsidR="0062768B" w:rsidRDefault="00136729">
            <w:pPr>
              <w:widowControl/>
              <w:adjustRightInd/>
              <w:spacing w:line="300" w:lineRule="auto"/>
              <w:jc w:val="center"/>
              <w:textAlignment w:val="auto"/>
              <w:rPr>
                <w:rFonts w:ascii="Arial" w:eastAsia="仿宋_GB2312" w:hAnsi="Arial" w:cs="Arial"/>
                <w:b/>
                <w:bCs/>
                <w:szCs w:val="24"/>
              </w:rPr>
            </w:pPr>
            <w:r>
              <w:rPr>
                <w:rFonts w:ascii="Arial" w:eastAsia="仿宋_GB2312" w:hAnsi="Arial" w:cs="Arial"/>
                <w:b/>
                <w:bCs/>
                <w:szCs w:val="24"/>
              </w:rPr>
              <w:t>出让建筑规模（</w:t>
            </w:r>
            <w:r>
              <w:rPr>
                <w:rFonts w:ascii="Arial" w:eastAsia="华文仿宋" w:hAnsi="Arial" w:cs="Arial"/>
                <w:b/>
                <w:bCs/>
                <w:szCs w:val="24"/>
              </w:rPr>
              <w:t>㎡</w:t>
            </w:r>
            <w:r>
              <w:rPr>
                <w:rFonts w:ascii="Arial" w:eastAsia="仿宋_GB2312" w:hAnsi="Arial" w:cs="Arial"/>
                <w:b/>
                <w:bCs/>
                <w:szCs w:val="24"/>
              </w:rPr>
              <w:t>）</w:t>
            </w:r>
          </w:p>
        </w:tc>
        <w:tc>
          <w:tcPr>
            <w:tcW w:w="2746" w:type="dxa"/>
            <w:shd w:val="clear" w:color="auto" w:fill="auto"/>
            <w:vAlign w:val="center"/>
          </w:tcPr>
          <w:p w14:paraId="67C9D864" w14:textId="77777777" w:rsidR="0062768B" w:rsidRDefault="00136729">
            <w:pPr>
              <w:widowControl/>
              <w:adjustRightInd/>
              <w:spacing w:line="300" w:lineRule="auto"/>
              <w:jc w:val="center"/>
              <w:textAlignment w:val="auto"/>
              <w:rPr>
                <w:rFonts w:ascii="Arial" w:eastAsia="仿宋_GB2312" w:hAnsi="Arial" w:cs="Arial"/>
                <w:b/>
                <w:bCs/>
                <w:szCs w:val="24"/>
              </w:rPr>
            </w:pPr>
            <w:r>
              <w:rPr>
                <w:rFonts w:ascii="Arial" w:eastAsia="仿宋_GB2312" w:hAnsi="Arial" w:cs="Arial"/>
                <w:b/>
                <w:bCs/>
                <w:szCs w:val="24"/>
              </w:rPr>
              <w:t>政府土地出让收益</w:t>
            </w:r>
            <w:r>
              <w:rPr>
                <w:rFonts w:ascii="Arial" w:eastAsia="仿宋_GB2312" w:hAnsi="Arial" w:cs="Arial" w:hint="eastAsia"/>
                <w:b/>
                <w:bCs/>
                <w:szCs w:val="24"/>
              </w:rPr>
              <w:t>楼面</w:t>
            </w:r>
            <w:r>
              <w:rPr>
                <w:rFonts w:ascii="Arial" w:eastAsia="仿宋_GB2312" w:hAnsi="Arial" w:cs="Arial"/>
                <w:b/>
                <w:bCs/>
                <w:szCs w:val="24"/>
              </w:rPr>
              <w:t>单价（元</w:t>
            </w:r>
            <w:r>
              <w:rPr>
                <w:rFonts w:ascii="Arial" w:eastAsia="仿宋_GB2312" w:hAnsi="Arial" w:cs="Arial"/>
                <w:b/>
                <w:bCs/>
                <w:szCs w:val="24"/>
              </w:rPr>
              <w:t>/</w:t>
            </w:r>
            <w:r>
              <w:rPr>
                <w:rFonts w:ascii="Arial" w:eastAsia="华文仿宋" w:hAnsi="Arial" w:cs="Arial"/>
                <w:b/>
                <w:bCs/>
                <w:szCs w:val="24"/>
              </w:rPr>
              <w:t>㎡</w:t>
            </w:r>
            <w:r>
              <w:rPr>
                <w:rFonts w:ascii="Arial" w:eastAsia="仿宋_GB2312" w:hAnsi="Arial" w:cs="Arial"/>
                <w:b/>
                <w:bCs/>
                <w:szCs w:val="24"/>
              </w:rPr>
              <w:t>）</w:t>
            </w:r>
          </w:p>
        </w:tc>
        <w:tc>
          <w:tcPr>
            <w:tcW w:w="2359" w:type="dxa"/>
            <w:shd w:val="clear" w:color="auto" w:fill="auto"/>
            <w:vAlign w:val="center"/>
          </w:tcPr>
          <w:p w14:paraId="457F676B" w14:textId="77777777" w:rsidR="0062768B" w:rsidRDefault="00136729">
            <w:pPr>
              <w:widowControl/>
              <w:adjustRightInd/>
              <w:spacing w:line="300" w:lineRule="auto"/>
              <w:jc w:val="center"/>
              <w:textAlignment w:val="auto"/>
              <w:rPr>
                <w:rFonts w:ascii="Arial" w:eastAsia="仿宋_GB2312" w:hAnsi="Arial" w:cs="Arial"/>
                <w:b/>
                <w:bCs/>
                <w:szCs w:val="24"/>
              </w:rPr>
            </w:pPr>
            <w:r>
              <w:rPr>
                <w:rFonts w:ascii="Arial" w:eastAsia="仿宋_GB2312" w:hAnsi="Arial" w:cs="Arial"/>
                <w:b/>
                <w:bCs/>
                <w:szCs w:val="24"/>
              </w:rPr>
              <w:t>政府土地出让收益总价（万元</w:t>
            </w:r>
            <w:r>
              <w:rPr>
                <w:rFonts w:ascii="Arial" w:eastAsia="仿宋_GB2312" w:hAnsi="Arial" w:cs="Arial" w:hint="eastAsia"/>
                <w:b/>
                <w:bCs/>
                <w:szCs w:val="24"/>
              </w:rPr>
              <w:t>）</w:t>
            </w:r>
          </w:p>
        </w:tc>
      </w:tr>
      <w:tr w:rsidR="0062768B" w14:paraId="4B6C8E7F" w14:textId="77777777">
        <w:trPr>
          <w:cantSplit/>
          <w:jc w:val="center"/>
        </w:trPr>
        <w:tc>
          <w:tcPr>
            <w:tcW w:w="2136" w:type="dxa"/>
            <w:shd w:val="clear" w:color="auto" w:fill="auto"/>
            <w:vAlign w:val="center"/>
          </w:tcPr>
          <w:p w14:paraId="374510CA"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住宅</w:t>
            </w:r>
          </w:p>
        </w:tc>
        <w:tc>
          <w:tcPr>
            <w:tcW w:w="1831" w:type="dxa"/>
            <w:shd w:val="clear" w:color="auto" w:fill="auto"/>
            <w:vAlign w:val="center"/>
          </w:tcPr>
          <w:p w14:paraId="6FA1EEC5" w14:textId="77777777" w:rsidR="0062768B" w:rsidRDefault="00136729">
            <w:pPr>
              <w:spacing w:line="300" w:lineRule="auto"/>
              <w:jc w:val="center"/>
              <w:rPr>
                <w:rFonts w:ascii="Arial" w:hAnsi="Arial" w:cs="Arial"/>
              </w:rPr>
            </w:pPr>
            <w:r>
              <w:rPr>
                <w:rFonts w:ascii="Arial" w:hAnsi="Arial" w:cs="Arial"/>
              </w:rPr>
              <w:t>68148.54</w:t>
            </w:r>
          </w:p>
        </w:tc>
        <w:tc>
          <w:tcPr>
            <w:tcW w:w="2746" w:type="dxa"/>
            <w:shd w:val="clear" w:color="auto" w:fill="auto"/>
            <w:vAlign w:val="center"/>
          </w:tcPr>
          <w:p w14:paraId="3251F028" w14:textId="77777777" w:rsidR="0062768B" w:rsidRDefault="00136729">
            <w:pPr>
              <w:spacing w:line="300" w:lineRule="auto"/>
              <w:jc w:val="center"/>
              <w:rPr>
                <w:rFonts w:ascii="Arial" w:hAnsi="Arial" w:cs="Arial"/>
                <w:szCs w:val="24"/>
              </w:rPr>
            </w:pPr>
            <w:r>
              <w:rPr>
                <w:rFonts w:ascii="Arial" w:hAnsi="Arial" w:cs="Arial" w:hint="eastAsia"/>
              </w:rPr>
              <w:t>3788</w:t>
            </w:r>
          </w:p>
        </w:tc>
        <w:tc>
          <w:tcPr>
            <w:tcW w:w="2359" w:type="dxa"/>
            <w:shd w:val="clear" w:color="auto" w:fill="auto"/>
            <w:vAlign w:val="center"/>
          </w:tcPr>
          <w:p w14:paraId="0C76FA4A" w14:textId="77777777" w:rsidR="0062768B" w:rsidRDefault="00136729">
            <w:pPr>
              <w:spacing w:line="300" w:lineRule="auto"/>
              <w:jc w:val="center"/>
              <w:rPr>
                <w:rFonts w:ascii="Arial" w:hAnsi="Arial" w:cs="Arial"/>
                <w:szCs w:val="24"/>
              </w:rPr>
            </w:pPr>
            <w:r>
              <w:rPr>
                <w:rFonts w:ascii="Arial" w:hAnsi="Arial" w:cs="Arial"/>
              </w:rPr>
              <w:t>25814.6670</w:t>
            </w:r>
          </w:p>
        </w:tc>
      </w:tr>
      <w:tr w:rsidR="0062768B" w14:paraId="445DF806" w14:textId="77777777">
        <w:trPr>
          <w:cantSplit/>
          <w:jc w:val="center"/>
        </w:trPr>
        <w:tc>
          <w:tcPr>
            <w:tcW w:w="2136" w:type="dxa"/>
            <w:shd w:val="clear" w:color="auto" w:fill="auto"/>
            <w:vAlign w:val="center"/>
          </w:tcPr>
          <w:p w14:paraId="1EA37F05" w14:textId="77777777" w:rsidR="0062768B" w:rsidRDefault="00136729">
            <w:pPr>
              <w:widowControl/>
              <w:adjustRightInd/>
              <w:spacing w:line="300" w:lineRule="auto"/>
              <w:jc w:val="center"/>
              <w:textAlignment w:val="auto"/>
              <w:rPr>
                <w:rFonts w:ascii="Arial" w:hAnsi="Arial" w:cs="Arial"/>
                <w:szCs w:val="24"/>
              </w:rPr>
            </w:pPr>
            <w:r>
              <w:rPr>
                <w:rFonts w:ascii="Arial" w:eastAsia="仿宋_GB2312" w:hAnsi="Arial" w:cs="Arial"/>
                <w:szCs w:val="24"/>
              </w:rPr>
              <w:t>商业</w:t>
            </w:r>
            <w:r>
              <w:rPr>
                <w:rFonts w:ascii="Arial" w:eastAsia="仿宋_GB2312" w:hAnsi="Arial" w:cs="Arial" w:hint="eastAsia"/>
                <w:szCs w:val="24"/>
              </w:rPr>
              <w:t>（其他</w:t>
            </w:r>
            <w:r>
              <w:rPr>
                <w:rFonts w:ascii="Arial" w:eastAsia="仿宋_GB2312" w:hAnsi="Arial" w:cs="Arial"/>
                <w:szCs w:val="24"/>
              </w:rPr>
              <w:t>商服</w:t>
            </w:r>
            <w:r>
              <w:rPr>
                <w:rFonts w:ascii="Arial" w:eastAsia="仿宋_GB2312" w:hAnsi="Arial" w:cs="Arial" w:hint="eastAsia"/>
                <w:szCs w:val="24"/>
              </w:rPr>
              <w:t>）</w:t>
            </w:r>
          </w:p>
        </w:tc>
        <w:tc>
          <w:tcPr>
            <w:tcW w:w="1831" w:type="dxa"/>
            <w:shd w:val="clear" w:color="auto" w:fill="auto"/>
            <w:vAlign w:val="center"/>
          </w:tcPr>
          <w:p w14:paraId="014CB757" w14:textId="77777777" w:rsidR="0062768B" w:rsidRDefault="00136729">
            <w:pPr>
              <w:spacing w:line="300" w:lineRule="auto"/>
              <w:jc w:val="center"/>
              <w:rPr>
                <w:rFonts w:ascii="Arial" w:hAnsi="Arial" w:cs="Arial"/>
              </w:rPr>
            </w:pPr>
            <w:r>
              <w:rPr>
                <w:rFonts w:ascii="Arial" w:hAnsi="Arial" w:cs="Arial"/>
                <w:szCs w:val="24"/>
              </w:rPr>
              <w:t>——</w:t>
            </w:r>
          </w:p>
        </w:tc>
        <w:tc>
          <w:tcPr>
            <w:tcW w:w="2746" w:type="dxa"/>
            <w:shd w:val="clear" w:color="auto" w:fill="auto"/>
            <w:vAlign w:val="center"/>
          </w:tcPr>
          <w:p w14:paraId="772233E2" w14:textId="77777777" w:rsidR="0062768B" w:rsidRDefault="00136729">
            <w:pPr>
              <w:spacing w:line="300" w:lineRule="auto"/>
              <w:jc w:val="center"/>
              <w:rPr>
                <w:rFonts w:ascii="Arial" w:hAnsi="Arial" w:cs="Arial"/>
                <w:szCs w:val="24"/>
              </w:rPr>
            </w:pPr>
            <w:r>
              <w:rPr>
                <w:rFonts w:ascii="Arial" w:hAnsi="Arial" w:cs="Arial"/>
              </w:rPr>
              <w:t>2032</w:t>
            </w:r>
          </w:p>
        </w:tc>
        <w:tc>
          <w:tcPr>
            <w:tcW w:w="2359" w:type="dxa"/>
            <w:shd w:val="clear" w:color="auto" w:fill="auto"/>
            <w:vAlign w:val="center"/>
          </w:tcPr>
          <w:p w14:paraId="762D568B" w14:textId="77777777" w:rsidR="0062768B" w:rsidRDefault="00136729">
            <w:pPr>
              <w:spacing w:line="300" w:lineRule="auto"/>
              <w:jc w:val="center"/>
              <w:rPr>
                <w:rFonts w:ascii="Arial" w:hAnsi="Arial" w:cs="Arial"/>
                <w:szCs w:val="24"/>
              </w:rPr>
            </w:pPr>
            <w:r>
              <w:rPr>
                <w:rFonts w:ascii="Arial" w:hAnsi="Arial" w:cs="Arial"/>
                <w:szCs w:val="24"/>
              </w:rPr>
              <w:t>——</w:t>
            </w:r>
          </w:p>
        </w:tc>
      </w:tr>
      <w:tr w:rsidR="0062768B" w14:paraId="3F448565" w14:textId="77777777">
        <w:trPr>
          <w:cantSplit/>
          <w:jc w:val="center"/>
        </w:trPr>
        <w:tc>
          <w:tcPr>
            <w:tcW w:w="2136" w:type="dxa"/>
            <w:shd w:val="clear" w:color="auto" w:fill="auto"/>
            <w:vAlign w:val="center"/>
          </w:tcPr>
          <w:p w14:paraId="6400DCD0" w14:textId="77777777" w:rsidR="0062768B" w:rsidRDefault="00136729" w:rsidP="004532BF">
            <w:pPr>
              <w:widowControl/>
              <w:adjustRightInd/>
              <w:spacing w:line="300" w:lineRule="auto"/>
              <w:jc w:val="center"/>
              <w:textAlignment w:val="auto"/>
              <w:rPr>
                <w:rFonts w:ascii="Arial" w:hAnsi="Arial" w:cs="Arial"/>
                <w:szCs w:val="24"/>
              </w:rPr>
            </w:pPr>
            <w:r>
              <w:rPr>
                <w:rFonts w:ascii="Arial" w:eastAsia="仿宋_GB2312" w:hAnsi="Arial" w:cs="Arial" w:hint="eastAsia"/>
                <w:szCs w:val="24"/>
              </w:rPr>
              <w:t>公共服务</w:t>
            </w:r>
          </w:p>
        </w:tc>
        <w:tc>
          <w:tcPr>
            <w:tcW w:w="1831" w:type="dxa"/>
            <w:shd w:val="clear" w:color="auto" w:fill="auto"/>
            <w:vAlign w:val="center"/>
          </w:tcPr>
          <w:p w14:paraId="10240137" w14:textId="77777777" w:rsidR="0062768B" w:rsidRDefault="00136729">
            <w:pPr>
              <w:spacing w:line="300" w:lineRule="auto"/>
              <w:jc w:val="center"/>
              <w:rPr>
                <w:rFonts w:ascii="Arial" w:hAnsi="Arial" w:cs="Arial"/>
              </w:rPr>
            </w:pPr>
            <w:r>
              <w:rPr>
                <w:rFonts w:ascii="Arial" w:hAnsi="Arial" w:cs="Arial"/>
                <w:szCs w:val="24"/>
              </w:rPr>
              <w:t>——</w:t>
            </w:r>
          </w:p>
        </w:tc>
        <w:tc>
          <w:tcPr>
            <w:tcW w:w="2746" w:type="dxa"/>
            <w:shd w:val="clear" w:color="auto" w:fill="auto"/>
            <w:vAlign w:val="center"/>
          </w:tcPr>
          <w:p w14:paraId="504F52CD" w14:textId="77777777" w:rsidR="0062768B" w:rsidRDefault="00136729">
            <w:pPr>
              <w:spacing w:line="300" w:lineRule="auto"/>
              <w:jc w:val="center"/>
              <w:rPr>
                <w:rFonts w:ascii="Arial" w:hAnsi="Arial" w:cs="Arial"/>
              </w:rPr>
            </w:pPr>
            <w:r>
              <w:rPr>
                <w:rFonts w:ascii="Arial" w:hAnsi="Arial" w:cs="Arial"/>
              </w:rPr>
              <w:t>906</w:t>
            </w:r>
          </w:p>
        </w:tc>
        <w:tc>
          <w:tcPr>
            <w:tcW w:w="2359" w:type="dxa"/>
            <w:shd w:val="clear" w:color="auto" w:fill="auto"/>
            <w:vAlign w:val="center"/>
          </w:tcPr>
          <w:p w14:paraId="0E2868AE" w14:textId="77777777" w:rsidR="0062768B" w:rsidRDefault="00136729">
            <w:pPr>
              <w:spacing w:line="300" w:lineRule="auto"/>
              <w:jc w:val="center"/>
              <w:rPr>
                <w:rFonts w:ascii="Arial" w:hAnsi="Arial" w:cs="Arial"/>
                <w:szCs w:val="24"/>
              </w:rPr>
            </w:pPr>
            <w:r>
              <w:rPr>
                <w:rFonts w:ascii="Arial" w:hAnsi="Arial" w:cs="Arial"/>
                <w:szCs w:val="24"/>
              </w:rPr>
              <w:t>——</w:t>
            </w:r>
          </w:p>
        </w:tc>
      </w:tr>
      <w:tr w:rsidR="0062768B" w14:paraId="62B4E58B" w14:textId="77777777">
        <w:trPr>
          <w:cantSplit/>
          <w:jc w:val="center"/>
        </w:trPr>
        <w:tc>
          <w:tcPr>
            <w:tcW w:w="2136" w:type="dxa"/>
            <w:shd w:val="clear" w:color="auto" w:fill="auto"/>
            <w:vAlign w:val="center"/>
          </w:tcPr>
          <w:p w14:paraId="42BE57A5"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合计</w:t>
            </w:r>
          </w:p>
        </w:tc>
        <w:tc>
          <w:tcPr>
            <w:tcW w:w="1831" w:type="dxa"/>
            <w:shd w:val="clear" w:color="auto" w:fill="auto"/>
            <w:vAlign w:val="center"/>
          </w:tcPr>
          <w:p w14:paraId="1B353A9F" w14:textId="77777777" w:rsidR="0062768B" w:rsidRDefault="00136729">
            <w:pPr>
              <w:spacing w:line="300" w:lineRule="auto"/>
              <w:jc w:val="center"/>
              <w:rPr>
                <w:rFonts w:ascii="Arial" w:hAnsi="Arial" w:cs="Arial"/>
              </w:rPr>
            </w:pPr>
            <w:r>
              <w:rPr>
                <w:rFonts w:ascii="Arial" w:hAnsi="Arial" w:cs="Arial"/>
              </w:rPr>
              <w:t>68148.54</w:t>
            </w:r>
          </w:p>
        </w:tc>
        <w:tc>
          <w:tcPr>
            <w:tcW w:w="2746" w:type="dxa"/>
            <w:shd w:val="clear" w:color="auto" w:fill="auto"/>
            <w:vAlign w:val="center"/>
          </w:tcPr>
          <w:p w14:paraId="6416ABE5" w14:textId="77777777" w:rsidR="0062768B" w:rsidRDefault="00136729">
            <w:pPr>
              <w:spacing w:line="300" w:lineRule="auto"/>
              <w:jc w:val="center"/>
              <w:rPr>
                <w:rFonts w:ascii="Arial" w:hAnsi="Arial" w:cs="Arial"/>
                <w:szCs w:val="24"/>
              </w:rPr>
            </w:pPr>
            <w:r>
              <w:rPr>
                <w:rFonts w:ascii="Arial" w:hAnsi="Arial" w:cs="Arial"/>
                <w:szCs w:val="24"/>
              </w:rPr>
              <w:t>——</w:t>
            </w:r>
          </w:p>
        </w:tc>
        <w:tc>
          <w:tcPr>
            <w:tcW w:w="2359" w:type="dxa"/>
            <w:shd w:val="clear" w:color="auto" w:fill="auto"/>
            <w:vAlign w:val="center"/>
          </w:tcPr>
          <w:p w14:paraId="54CD4AA1" w14:textId="77777777" w:rsidR="0062768B" w:rsidRDefault="00136729">
            <w:pPr>
              <w:spacing w:line="300" w:lineRule="auto"/>
              <w:jc w:val="center"/>
              <w:rPr>
                <w:rFonts w:ascii="Arial" w:hAnsi="Arial" w:cs="Arial"/>
                <w:szCs w:val="24"/>
              </w:rPr>
            </w:pPr>
            <w:r>
              <w:rPr>
                <w:rFonts w:ascii="Arial" w:hAnsi="Arial" w:cs="Arial"/>
              </w:rPr>
              <w:t>25814.6670</w:t>
            </w:r>
          </w:p>
        </w:tc>
      </w:tr>
    </w:tbl>
    <w:p w14:paraId="50D6E448" w14:textId="77777777" w:rsidR="0062768B" w:rsidRDefault="0062768B">
      <w:pPr>
        <w:snapToGrid w:val="0"/>
        <w:spacing w:line="300" w:lineRule="auto"/>
        <w:ind w:firstLine="556"/>
        <w:rPr>
          <w:rFonts w:ascii="Arial" w:eastAsia="仿宋_GB2312" w:hAnsi="Arial" w:cs="Arial"/>
          <w:sz w:val="28"/>
        </w:rPr>
      </w:pPr>
    </w:p>
    <w:p w14:paraId="5F006F60" w14:textId="77777777" w:rsidR="0062768B" w:rsidRDefault="00136729">
      <w:pPr>
        <w:spacing w:line="300" w:lineRule="auto"/>
        <w:jc w:val="both"/>
        <w:outlineLvl w:val="1"/>
        <w:rPr>
          <w:rFonts w:ascii="Arial" w:eastAsia="仿宋_GB2312" w:hAnsi="Arial" w:cs="Arial"/>
          <w:b/>
          <w:sz w:val="28"/>
        </w:rPr>
      </w:pPr>
      <w:bookmarkStart w:id="426" w:name="_Toc132016760"/>
      <w:bookmarkStart w:id="427" w:name="_Toc132016643"/>
      <w:bookmarkStart w:id="428" w:name="_Toc138063041"/>
      <w:r>
        <w:rPr>
          <w:rFonts w:ascii="Arial" w:eastAsia="仿宋_GB2312" w:hAnsi="Arial" w:cs="Arial" w:hint="eastAsia"/>
          <w:b/>
          <w:sz w:val="28"/>
        </w:rPr>
        <w:t>五、近三年同区域土地市场情况分析</w:t>
      </w:r>
      <w:bookmarkEnd w:id="426"/>
      <w:bookmarkEnd w:id="427"/>
      <w:bookmarkEnd w:id="428"/>
    </w:p>
    <w:p w14:paraId="2EBDB22F" w14:textId="77777777" w:rsidR="0062768B" w:rsidRDefault="00136729">
      <w:pPr>
        <w:snapToGrid w:val="0"/>
        <w:spacing w:line="300" w:lineRule="auto"/>
        <w:ind w:firstLine="556"/>
        <w:rPr>
          <w:rFonts w:ascii="Arial" w:eastAsia="仿宋" w:hAnsi="Arial" w:cs="Arial"/>
          <w:sz w:val="28"/>
        </w:rPr>
      </w:pPr>
      <w:r>
        <w:rPr>
          <w:rFonts w:ascii="Arial" w:eastAsia="仿宋" w:hAnsi="Arial" w:cs="Arial"/>
          <w:sz w:val="28"/>
        </w:rPr>
        <w:t>近三年（</w:t>
      </w:r>
      <w:r>
        <w:rPr>
          <w:rFonts w:ascii="Arial" w:eastAsia="仿宋" w:hAnsi="Arial" w:cs="Arial"/>
          <w:sz w:val="28"/>
        </w:rPr>
        <w:t>2020-2022</w:t>
      </w:r>
      <w:r>
        <w:rPr>
          <w:rFonts w:ascii="Arial" w:eastAsia="仿宋" w:hAnsi="Arial" w:cs="Arial"/>
          <w:sz w:val="28"/>
        </w:rPr>
        <w:t>年）</w:t>
      </w:r>
      <w:r>
        <w:rPr>
          <w:rFonts w:ascii="Arial" w:eastAsia="仿宋" w:hAnsi="Arial" w:cs="Arial" w:hint="eastAsia"/>
          <w:sz w:val="28"/>
        </w:rPr>
        <w:t>顺义</w:t>
      </w:r>
      <w:r>
        <w:rPr>
          <w:rFonts w:ascii="Arial" w:eastAsia="仿宋" w:hAnsi="Arial" w:cs="Arial"/>
          <w:sz w:val="28"/>
        </w:rPr>
        <w:t>区内共成交</w:t>
      </w:r>
      <w:r>
        <w:rPr>
          <w:rFonts w:ascii="Arial" w:eastAsia="仿宋" w:hAnsi="Arial" w:cs="Arial"/>
          <w:sz w:val="28"/>
        </w:rPr>
        <w:t>14</w:t>
      </w:r>
      <w:r>
        <w:rPr>
          <w:rFonts w:ascii="Arial" w:eastAsia="仿宋" w:hAnsi="Arial" w:cs="Arial"/>
          <w:sz w:val="28"/>
        </w:rPr>
        <w:t>宗居住</w:t>
      </w:r>
      <w:proofErr w:type="gramStart"/>
      <w:r>
        <w:rPr>
          <w:rFonts w:ascii="Arial" w:eastAsia="仿宋" w:hAnsi="Arial" w:cs="Arial"/>
          <w:sz w:val="28"/>
        </w:rPr>
        <w:t>类招拍挂</w:t>
      </w:r>
      <w:proofErr w:type="gramEnd"/>
      <w:r>
        <w:rPr>
          <w:rFonts w:ascii="Arial" w:eastAsia="仿宋" w:hAnsi="Arial" w:cs="Arial"/>
          <w:sz w:val="28"/>
        </w:rPr>
        <w:t>出让项目，宗地位置图及详细情况见下图及下表：</w:t>
      </w:r>
    </w:p>
    <w:p w14:paraId="3E6975AA" w14:textId="77777777" w:rsidR="0062768B" w:rsidRDefault="00136729">
      <w:pPr>
        <w:snapToGrid w:val="0"/>
        <w:spacing w:line="300" w:lineRule="auto"/>
        <w:ind w:firstLine="556"/>
        <w:rPr>
          <w:rFonts w:ascii="Arial" w:eastAsia="仿宋_GB2312" w:hAnsi="Arial" w:cs="Arial"/>
          <w:sz w:val="28"/>
        </w:rPr>
        <w:sectPr w:rsidR="0062768B">
          <w:pgSz w:w="11906" w:h="16838"/>
          <w:pgMar w:top="1418" w:right="1418" w:bottom="1134" w:left="1418" w:header="851" w:footer="992" w:gutter="0"/>
          <w:cols w:space="720"/>
          <w:docGrid w:linePitch="312"/>
        </w:sectPr>
      </w:pPr>
      <w:r>
        <w:rPr>
          <w:noProof/>
        </w:rPr>
        <w:lastRenderedPageBreak/>
        <w:drawing>
          <wp:inline distT="0" distB="0" distL="0" distR="0" wp14:anchorId="084C0C7C" wp14:editId="68879BFB">
            <wp:extent cx="4880610" cy="4146550"/>
            <wp:effectExtent l="0" t="0" r="0" b="0"/>
            <wp:docPr id="48" name="图片 1" descr="C:\Users\kz\Pictures\顺义.jpg顺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C:\Users\kz\Pictures\顺义.jpg顺义"/>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4880610" cy="4146550"/>
                    </a:xfrm>
                    <a:prstGeom prst="rect">
                      <a:avLst/>
                    </a:prstGeom>
                    <a:noFill/>
                    <a:ln>
                      <a:noFill/>
                    </a:ln>
                  </pic:spPr>
                </pic:pic>
              </a:graphicData>
            </a:graphic>
          </wp:inline>
        </w:drawing>
      </w: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599"/>
        <w:gridCol w:w="4589"/>
        <w:gridCol w:w="2113"/>
        <w:gridCol w:w="2092"/>
        <w:gridCol w:w="1521"/>
        <w:gridCol w:w="1796"/>
        <w:gridCol w:w="1860"/>
      </w:tblGrid>
      <w:tr w:rsidR="0062768B" w14:paraId="3FBB618E" w14:textId="77777777">
        <w:trPr>
          <w:trHeight w:val="255"/>
          <w:tblHeader/>
          <w:jc w:val="center"/>
        </w:trPr>
        <w:tc>
          <w:tcPr>
            <w:tcW w:w="599" w:type="dxa"/>
            <w:tcBorders>
              <w:top w:val="single" w:sz="4" w:space="0" w:color="auto"/>
              <w:left w:val="single" w:sz="4" w:space="0" w:color="auto"/>
              <w:bottom w:val="single" w:sz="4" w:space="0" w:color="auto"/>
              <w:right w:val="single" w:sz="4" w:space="0" w:color="auto"/>
            </w:tcBorders>
            <w:noWrap/>
            <w:vAlign w:val="center"/>
          </w:tcPr>
          <w:p w14:paraId="6ED3C443" w14:textId="77777777" w:rsidR="0062768B" w:rsidRDefault="00136729">
            <w:pPr>
              <w:widowControl/>
              <w:spacing w:line="240" w:lineRule="exact"/>
              <w:jc w:val="both"/>
              <w:rPr>
                <w:rFonts w:ascii="Arial" w:eastAsia="仿宋" w:hAnsi="Arial" w:cs="Arial"/>
                <w:b/>
                <w:sz w:val="18"/>
                <w:szCs w:val="18"/>
              </w:rPr>
            </w:pPr>
            <w:r>
              <w:rPr>
                <w:rFonts w:ascii="Arial" w:eastAsia="仿宋" w:hAnsi="Arial" w:cs="Arial"/>
                <w:b/>
                <w:sz w:val="18"/>
                <w:szCs w:val="18"/>
              </w:rPr>
              <w:lastRenderedPageBreak/>
              <w:t>序号</w:t>
            </w:r>
          </w:p>
        </w:tc>
        <w:tc>
          <w:tcPr>
            <w:tcW w:w="4589" w:type="dxa"/>
            <w:tcBorders>
              <w:top w:val="single" w:sz="4" w:space="0" w:color="auto"/>
              <w:left w:val="nil"/>
              <w:bottom w:val="single" w:sz="4" w:space="0" w:color="auto"/>
              <w:right w:val="single" w:sz="4" w:space="0" w:color="auto"/>
            </w:tcBorders>
            <w:vAlign w:val="center"/>
          </w:tcPr>
          <w:p w14:paraId="4D1D1F72" w14:textId="77777777" w:rsidR="0062768B" w:rsidRDefault="00136729">
            <w:pPr>
              <w:widowControl/>
              <w:spacing w:line="240" w:lineRule="exact"/>
              <w:jc w:val="both"/>
              <w:rPr>
                <w:rFonts w:ascii="Arial" w:eastAsia="仿宋" w:hAnsi="Arial" w:cs="Arial"/>
                <w:b/>
                <w:sz w:val="18"/>
                <w:szCs w:val="18"/>
              </w:rPr>
            </w:pPr>
            <w:r>
              <w:rPr>
                <w:rFonts w:ascii="Arial" w:eastAsia="仿宋" w:hAnsi="Arial" w:cs="Arial"/>
                <w:b/>
                <w:sz w:val="18"/>
                <w:szCs w:val="18"/>
              </w:rPr>
              <w:t>地块名称</w:t>
            </w:r>
          </w:p>
        </w:tc>
        <w:tc>
          <w:tcPr>
            <w:tcW w:w="2113" w:type="dxa"/>
            <w:tcBorders>
              <w:top w:val="single" w:sz="4" w:space="0" w:color="auto"/>
              <w:left w:val="nil"/>
              <w:bottom w:val="single" w:sz="4" w:space="0" w:color="auto"/>
              <w:right w:val="single" w:sz="4" w:space="0" w:color="auto"/>
            </w:tcBorders>
            <w:vAlign w:val="center"/>
          </w:tcPr>
          <w:p w14:paraId="714C41D6" w14:textId="77777777" w:rsidR="0062768B" w:rsidRDefault="00136729">
            <w:pPr>
              <w:widowControl/>
              <w:spacing w:line="240" w:lineRule="exact"/>
              <w:jc w:val="both"/>
              <w:rPr>
                <w:rFonts w:ascii="Arial" w:eastAsia="仿宋" w:hAnsi="Arial" w:cs="Arial"/>
                <w:b/>
                <w:sz w:val="18"/>
                <w:szCs w:val="18"/>
              </w:rPr>
            </w:pPr>
            <w:r>
              <w:rPr>
                <w:rFonts w:ascii="Arial" w:eastAsia="仿宋" w:hAnsi="Arial" w:cs="Arial"/>
                <w:b/>
                <w:sz w:val="18"/>
                <w:szCs w:val="18"/>
              </w:rPr>
              <w:t>容积率</w:t>
            </w:r>
          </w:p>
        </w:tc>
        <w:tc>
          <w:tcPr>
            <w:tcW w:w="2092" w:type="dxa"/>
            <w:tcBorders>
              <w:top w:val="single" w:sz="4" w:space="0" w:color="auto"/>
              <w:left w:val="nil"/>
              <w:bottom w:val="single" w:sz="4" w:space="0" w:color="auto"/>
              <w:right w:val="single" w:sz="4" w:space="0" w:color="auto"/>
            </w:tcBorders>
            <w:vAlign w:val="center"/>
          </w:tcPr>
          <w:p w14:paraId="15869E63" w14:textId="77777777" w:rsidR="0062768B" w:rsidRDefault="00136729">
            <w:pPr>
              <w:widowControl/>
              <w:spacing w:line="240" w:lineRule="exact"/>
              <w:jc w:val="both"/>
              <w:rPr>
                <w:rFonts w:ascii="Arial" w:eastAsia="仿宋" w:hAnsi="Arial" w:cs="Arial"/>
                <w:b/>
                <w:sz w:val="18"/>
                <w:szCs w:val="18"/>
              </w:rPr>
            </w:pPr>
            <w:r>
              <w:rPr>
                <w:rFonts w:ascii="Arial" w:eastAsia="仿宋" w:hAnsi="Arial" w:cs="Arial"/>
                <w:b/>
                <w:sz w:val="18"/>
                <w:szCs w:val="18"/>
              </w:rPr>
              <w:t>土地用途</w:t>
            </w:r>
          </w:p>
        </w:tc>
        <w:tc>
          <w:tcPr>
            <w:tcW w:w="1521" w:type="dxa"/>
            <w:tcBorders>
              <w:top w:val="single" w:sz="4" w:space="0" w:color="auto"/>
              <w:left w:val="nil"/>
              <w:bottom w:val="single" w:sz="4" w:space="0" w:color="auto"/>
              <w:right w:val="single" w:sz="4" w:space="0" w:color="auto"/>
            </w:tcBorders>
            <w:vAlign w:val="center"/>
          </w:tcPr>
          <w:p w14:paraId="68770851" w14:textId="77777777" w:rsidR="0062768B" w:rsidRDefault="00136729">
            <w:pPr>
              <w:widowControl/>
              <w:spacing w:line="240" w:lineRule="exact"/>
              <w:jc w:val="both"/>
              <w:rPr>
                <w:rFonts w:ascii="Arial" w:eastAsia="仿宋" w:hAnsi="Arial" w:cs="Arial"/>
                <w:b/>
                <w:sz w:val="18"/>
                <w:szCs w:val="18"/>
              </w:rPr>
            </w:pPr>
            <w:r>
              <w:rPr>
                <w:rFonts w:ascii="Arial" w:eastAsia="仿宋" w:hAnsi="Arial" w:cs="Arial"/>
                <w:b/>
                <w:sz w:val="18"/>
                <w:szCs w:val="18"/>
              </w:rPr>
              <w:t>成交日期</w:t>
            </w:r>
          </w:p>
        </w:tc>
        <w:tc>
          <w:tcPr>
            <w:tcW w:w="1796" w:type="dxa"/>
            <w:tcBorders>
              <w:top w:val="single" w:sz="4" w:space="0" w:color="auto"/>
              <w:left w:val="nil"/>
              <w:bottom w:val="single" w:sz="4" w:space="0" w:color="auto"/>
              <w:right w:val="single" w:sz="4" w:space="0" w:color="auto"/>
            </w:tcBorders>
            <w:vAlign w:val="center"/>
          </w:tcPr>
          <w:p w14:paraId="3986E8CA" w14:textId="77777777" w:rsidR="0062768B" w:rsidRDefault="00136729">
            <w:pPr>
              <w:widowControl/>
              <w:spacing w:line="240" w:lineRule="exact"/>
              <w:jc w:val="both"/>
              <w:rPr>
                <w:rFonts w:ascii="Arial" w:eastAsia="仿宋" w:hAnsi="Arial" w:cs="Arial"/>
                <w:b/>
                <w:sz w:val="18"/>
                <w:szCs w:val="18"/>
              </w:rPr>
            </w:pPr>
            <w:r>
              <w:rPr>
                <w:rFonts w:ascii="Arial" w:eastAsia="仿宋" w:hAnsi="Arial" w:cs="Arial"/>
                <w:b/>
                <w:sz w:val="18"/>
                <w:szCs w:val="18"/>
              </w:rPr>
              <w:t>审定楼面地价</w:t>
            </w:r>
          </w:p>
          <w:p w14:paraId="079D4D4D" w14:textId="77777777" w:rsidR="0062768B" w:rsidRDefault="00136729">
            <w:pPr>
              <w:widowControl/>
              <w:spacing w:line="240" w:lineRule="exact"/>
              <w:jc w:val="both"/>
              <w:rPr>
                <w:rFonts w:ascii="Arial" w:eastAsia="仿宋" w:hAnsi="Arial" w:cs="Arial"/>
                <w:b/>
                <w:sz w:val="18"/>
                <w:szCs w:val="18"/>
              </w:rPr>
            </w:pPr>
            <w:r>
              <w:rPr>
                <w:rFonts w:ascii="Arial" w:eastAsia="仿宋" w:hAnsi="Arial" w:cs="Arial"/>
                <w:b/>
                <w:sz w:val="18"/>
                <w:szCs w:val="18"/>
              </w:rPr>
              <w:t>(</w:t>
            </w:r>
            <w:r>
              <w:rPr>
                <w:rFonts w:ascii="Arial" w:eastAsia="仿宋" w:hAnsi="Arial" w:cs="Arial"/>
                <w:b/>
                <w:sz w:val="18"/>
                <w:szCs w:val="18"/>
              </w:rPr>
              <w:t>元</w:t>
            </w:r>
            <w:r>
              <w:rPr>
                <w:rFonts w:ascii="Arial" w:eastAsia="仿宋" w:hAnsi="Arial" w:cs="Arial"/>
                <w:b/>
                <w:sz w:val="18"/>
                <w:szCs w:val="18"/>
              </w:rPr>
              <w:t>/</w:t>
            </w:r>
            <w:r>
              <w:rPr>
                <w:rFonts w:ascii="Arial" w:eastAsia="仿宋" w:hAnsi="Arial" w:cs="Arial"/>
                <w:b/>
                <w:sz w:val="18"/>
                <w:szCs w:val="18"/>
              </w:rPr>
              <w:t>㎡</w:t>
            </w:r>
            <w:r>
              <w:rPr>
                <w:rFonts w:ascii="Arial" w:eastAsia="仿宋" w:hAnsi="Arial" w:cs="Arial"/>
                <w:b/>
                <w:sz w:val="18"/>
                <w:szCs w:val="18"/>
              </w:rPr>
              <w:t>)</w:t>
            </w:r>
          </w:p>
        </w:tc>
        <w:tc>
          <w:tcPr>
            <w:tcW w:w="1860" w:type="dxa"/>
            <w:tcBorders>
              <w:top w:val="single" w:sz="4" w:space="0" w:color="auto"/>
              <w:left w:val="nil"/>
              <w:bottom w:val="single" w:sz="4" w:space="0" w:color="auto"/>
              <w:right w:val="single" w:sz="4" w:space="0" w:color="auto"/>
            </w:tcBorders>
            <w:vAlign w:val="center"/>
          </w:tcPr>
          <w:p w14:paraId="38AB3420" w14:textId="77777777" w:rsidR="0062768B" w:rsidRDefault="00136729">
            <w:pPr>
              <w:widowControl/>
              <w:spacing w:line="240" w:lineRule="exact"/>
              <w:jc w:val="both"/>
              <w:rPr>
                <w:rFonts w:ascii="Arial" w:eastAsia="仿宋" w:hAnsi="Arial" w:cs="Arial"/>
                <w:b/>
                <w:sz w:val="18"/>
                <w:szCs w:val="18"/>
              </w:rPr>
            </w:pPr>
            <w:r>
              <w:rPr>
                <w:rFonts w:ascii="Arial" w:eastAsia="仿宋" w:hAnsi="Arial" w:cs="Arial"/>
                <w:b/>
                <w:sz w:val="18"/>
                <w:szCs w:val="18"/>
              </w:rPr>
              <w:t>成交楼面地价</w:t>
            </w:r>
          </w:p>
          <w:p w14:paraId="1AFB8F76" w14:textId="77777777" w:rsidR="0062768B" w:rsidRDefault="00136729">
            <w:pPr>
              <w:widowControl/>
              <w:spacing w:line="240" w:lineRule="exact"/>
              <w:jc w:val="both"/>
              <w:rPr>
                <w:rFonts w:ascii="Arial" w:eastAsia="仿宋" w:hAnsi="Arial" w:cs="Arial"/>
                <w:b/>
                <w:sz w:val="18"/>
                <w:szCs w:val="18"/>
              </w:rPr>
            </w:pPr>
            <w:r>
              <w:rPr>
                <w:rFonts w:ascii="Arial" w:eastAsia="仿宋" w:hAnsi="Arial" w:cs="Arial"/>
                <w:b/>
                <w:sz w:val="18"/>
                <w:szCs w:val="18"/>
              </w:rPr>
              <w:t>(</w:t>
            </w:r>
            <w:r>
              <w:rPr>
                <w:rFonts w:ascii="Arial" w:eastAsia="仿宋" w:hAnsi="Arial" w:cs="Arial"/>
                <w:b/>
                <w:sz w:val="18"/>
                <w:szCs w:val="18"/>
              </w:rPr>
              <w:t>元</w:t>
            </w:r>
            <w:r>
              <w:rPr>
                <w:rFonts w:ascii="Arial" w:eastAsia="仿宋" w:hAnsi="Arial" w:cs="Arial"/>
                <w:b/>
                <w:sz w:val="18"/>
                <w:szCs w:val="18"/>
              </w:rPr>
              <w:t>/</w:t>
            </w:r>
            <w:r>
              <w:rPr>
                <w:rFonts w:ascii="Arial" w:eastAsia="仿宋" w:hAnsi="Arial" w:cs="Arial"/>
                <w:b/>
                <w:sz w:val="18"/>
                <w:szCs w:val="18"/>
              </w:rPr>
              <w:t>㎡</w:t>
            </w:r>
            <w:r>
              <w:rPr>
                <w:rFonts w:ascii="Arial" w:eastAsia="仿宋" w:hAnsi="Arial" w:cs="Arial"/>
                <w:b/>
                <w:sz w:val="18"/>
                <w:szCs w:val="18"/>
              </w:rPr>
              <w:t>)</w:t>
            </w:r>
          </w:p>
        </w:tc>
      </w:tr>
      <w:tr w:rsidR="0062768B" w14:paraId="199A613D" w14:textId="77777777">
        <w:trPr>
          <w:trHeight w:val="90"/>
          <w:jc w:val="center"/>
        </w:trPr>
        <w:tc>
          <w:tcPr>
            <w:tcW w:w="599" w:type="dxa"/>
            <w:tcBorders>
              <w:top w:val="nil"/>
              <w:left w:val="single" w:sz="4" w:space="0" w:color="auto"/>
              <w:bottom w:val="single" w:sz="4" w:space="0" w:color="auto"/>
              <w:right w:val="single" w:sz="4" w:space="0" w:color="auto"/>
            </w:tcBorders>
            <w:noWrap/>
            <w:vAlign w:val="center"/>
          </w:tcPr>
          <w:p w14:paraId="129A6D90"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w:t>
            </w:r>
          </w:p>
        </w:tc>
        <w:tc>
          <w:tcPr>
            <w:tcW w:w="4589" w:type="dxa"/>
            <w:tcBorders>
              <w:top w:val="nil"/>
              <w:left w:val="nil"/>
              <w:bottom w:val="single" w:sz="4" w:space="0" w:color="auto"/>
              <w:right w:val="single" w:sz="4" w:space="0" w:color="auto"/>
            </w:tcBorders>
            <w:vAlign w:val="center"/>
          </w:tcPr>
          <w:p w14:paraId="4969F325"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顺义区顺义新城第</w:t>
            </w:r>
            <w:r>
              <w:rPr>
                <w:rFonts w:ascii="Arial" w:eastAsia="仿宋" w:hAnsi="Arial" w:cs="Arial"/>
                <w:sz w:val="18"/>
                <w:szCs w:val="18"/>
              </w:rPr>
              <w:t>5</w:t>
            </w:r>
            <w:r>
              <w:rPr>
                <w:rFonts w:ascii="Arial" w:eastAsia="仿宋" w:hAnsi="Arial" w:cs="Arial"/>
                <w:sz w:val="18"/>
                <w:szCs w:val="18"/>
              </w:rPr>
              <w:t>街区</w:t>
            </w:r>
            <w:r>
              <w:rPr>
                <w:rFonts w:ascii="Arial" w:eastAsia="仿宋" w:hAnsi="Arial" w:cs="Arial"/>
                <w:sz w:val="18"/>
                <w:szCs w:val="18"/>
              </w:rPr>
              <w:t>SY00-0005-6021</w:t>
            </w:r>
            <w:r>
              <w:rPr>
                <w:rFonts w:ascii="Arial" w:eastAsia="仿宋" w:hAnsi="Arial" w:cs="Arial"/>
                <w:sz w:val="18"/>
                <w:szCs w:val="18"/>
              </w:rPr>
              <w:t>、</w:t>
            </w:r>
            <w:r>
              <w:rPr>
                <w:rFonts w:ascii="Arial" w:eastAsia="仿宋" w:hAnsi="Arial" w:cs="Arial"/>
                <w:sz w:val="18"/>
                <w:szCs w:val="18"/>
              </w:rPr>
              <w:t>6024</w:t>
            </w:r>
            <w:r>
              <w:rPr>
                <w:rFonts w:ascii="Arial" w:eastAsia="仿宋" w:hAnsi="Arial" w:cs="Arial"/>
                <w:sz w:val="18"/>
                <w:szCs w:val="18"/>
              </w:rPr>
              <w:t>、</w:t>
            </w:r>
            <w:r>
              <w:rPr>
                <w:rFonts w:ascii="Arial" w:eastAsia="仿宋" w:hAnsi="Arial" w:cs="Arial"/>
                <w:sz w:val="18"/>
                <w:szCs w:val="18"/>
              </w:rPr>
              <w:t>6033</w:t>
            </w:r>
            <w:r>
              <w:rPr>
                <w:rFonts w:ascii="Arial" w:eastAsia="仿宋" w:hAnsi="Arial" w:cs="Arial"/>
                <w:sz w:val="18"/>
                <w:szCs w:val="18"/>
              </w:rPr>
              <w:t>、</w:t>
            </w:r>
            <w:r>
              <w:rPr>
                <w:rFonts w:ascii="Arial" w:eastAsia="仿宋" w:hAnsi="Arial" w:cs="Arial"/>
                <w:sz w:val="18"/>
                <w:szCs w:val="18"/>
              </w:rPr>
              <w:t>6034</w:t>
            </w:r>
            <w:r>
              <w:rPr>
                <w:rFonts w:ascii="Arial" w:eastAsia="仿宋" w:hAnsi="Arial" w:cs="Arial"/>
                <w:sz w:val="18"/>
                <w:szCs w:val="18"/>
              </w:rPr>
              <w:t>、</w:t>
            </w:r>
            <w:r>
              <w:rPr>
                <w:rFonts w:ascii="Arial" w:eastAsia="仿宋" w:hAnsi="Arial" w:cs="Arial"/>
                <w:sz w:val="18"/>
                <w:szCs w:val="18"/>
              </w:rPr>
              <w:t>6035</w:t>
            </w:r>
            <w:r>
              <w:rPr>
                <w:rFonts w:ascii="Arial" w:eastAsia="仿宋" w:hAnsi="Arial" w:cs="Arial"/>
                <w:sz w:val="18"/>
                <w:szCs w:val="18"/>
              </w:rPr>
              <w:t>地块</w:t>
            </w: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r>
              <w:rPr>
                <w:rFonts w:ascii="Arial" w:eastAsia="仿宋" w:hAnsi="Arial" w:cs="Arial"/>
                <w:sz w:val="18"/>
                <w:szCs w:val="18"/>
              </w:rPr>
              <w:t>A334</w:t>
            </w:r>
            <w:r>
              <w:rPr>
                <w:rFonts w:ascii="Arial" w:eastAsia="仿宋" w:hAnsi="Arial" w:cs="Arial"/>
                <w:sz w:val="18"/>
                <w:szCs w:val="18"/>
              </w:rPr>
              <w:t>托幼用地</w:t>
            </w:r>
          </w:p>
        </w:tc>
        <w:tc>
          <w:tcPr>
            <w:tcW w:w="2113" w:type="dxa"/>
            <w:tcBorders>
              <w:top w:val="nil"/>
              <w:left w:val="nil"/>
              <w:bottom w:val="single" w:sz="4" w:space="0" w:color="auto"/>
              <w:right w:val="single" w:sz="4" w:space="0" w:color="auto"/>
            </w:tcBorders>
            <w:vAlign w:val="center"/>
          </w:tcPr>
          <w:p w14:paraId="00A1B760"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sy00-0005-6021</w:t>
            </w:r>
            <w:r>
              <w:rPr>
                <w:rFonts w:ascii="Arial" w:eastAsia="仿宋" w:hAnsi="Arial" w:cs="Arial"/>
                <w:sz w:val="18"/>
                <w:szCs w:val="18"/>
              </w:rPr>
              <w:t>、</w:t>
            </w:r>
            <w:r>
              <w:rPr>
                <w:rFonts w:ascii="Arial" w:eastAsia="仿宋" w:hAnsi="Arial" w:cs="Arial"/>
                <w:sz w:val="18"/>
                <w:szCs w:val="18"/>
              </w:rPr>
              <w:t>6024</w:t>
            </w:r>
            <w:r>
              <w:rPr>
                <w:rFonts w:ascii="Arial" w:eastAsia="仿宋" w:hAnsi="Arial" w:cs="Arial"/>
                <w:sz w:val="18"/>
                <w:szCs w:val="18"/>
              </w:rPr>
              <w:t>、</w:t>
            </w:r>
            <w:r>
              <w:rPr>
                <w:rFonts w:ascii="Arial" w:eastAsia="仿宋" w:hAnsi="Arial" w:cs="Arial"/>
                <w:sz w:val="18"/>
                <w:szCs w:val="18"/>
              </w:rPr>
              <w:t>6035</w:t>
            </w:r>
            <w:r>
              <w:rPr>
                <w:rFonts w:ascii="Arial" w:eastAsia="仿宋" w:hAnsi="Arial" w:cs="Arial"/>
                <w:sz w:val="18"/>
                <w:szCs w:val="18"/>
              </w:rPr>
              <w:t>容积率</w:t>
            </w:r>
            <w:r>
              <w:rPr>
                <w:rFonts w:ascii="Arial" w:eastAsia="仿宋" w:hAnsi="Arial" w:cs="Arial"/>
                <w:sz w:val="18"/>
                <w:szCs w:val="18"/>
              </w:rPr>
              <w:t>1.6,</w:t>
            </w:r>
          </w:p>
          <w:p w14:paraId="570484B0"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6033</w:t>
            </w:r>
            <w:r>
              <w:rPr>
                <w:rFonts w:ascii="Arial" w:eastAsia="仿宋" w:hAnsi="Arial" w:cs="Arial"/>
                <w:sz w:val="18"/>
                <w:szCs w:val="18"/>
              </w:rPr>
              <w:t>容积率</w:t>
            </w:r>
            <w:r>
              <w:rPr>
                <w:rFonts w:ascii="Arial" w:eastAsia="仿宋" w:hAnsi="Arial" w:cs="Arial"/>
                <w:sz w:val="18"/>
                <w:szCs w:val="18"/>
              </w:rPr>
              <w:t>1.8</w:t>
            </w:r>
          </w:p>
        </w:tc>
        <w:tc>
          <w:tcPr>
            <w:tcW w:w="2092" w:type="dxa"/>
            <w:tcBorders>
              <w:top w:val="nil"/>
              <w:left w:val="nil"/>
              <w:bottom w:val="single" w:sz="4" w:space="0" w:color="auto"/>
              <w:right w:val="single" w:sz="4" w:space="0" w:color="auto"/>
            </w:tcBorders>
            <w:vAlign w:val="center"/>
          </w:tcPr>
          <w:p w14:paraId="63633139"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类居住用地、托幼用地</w:t>
            </w:r>
          </w:p>
        </w:tc>
        <w:tc>
          <w:tcPr>
            <w:tcW w:w="1521" w:type="dxa"/>
            <w:tcBorders>
              <w:top w:val="nil"/>
              <w:left w:val="nil"/>
              <w:bottom w:val="single" w:sz="4" w:space="0" w:color="auto"/>
              <w:right w:val="single" w:sz="4" w:space="0" w:color="auto"/>
            </w:tcBorders>
            <w:vAlign w:val="center"/>
          </w:tcPr>
          <w:p w14:paraId="6F64427A"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2022/9/22</w:t>
            </w:r>
          </w:p>
        </w:tc>
        <w:tc>
          <w:tcPr>
            <w:tcW w:w="1796" w:type="dxa"/>
            <w:tcBorders>
              <w:top w:val="nil"/>
              <w:left w:val="nil"/>
              <w:bottom w:val="single" w:sz="4" w:space="0" w:color="auto"/>
              <w:right w:val="single" w:sz="4" w:space="0" w:color="auto"/>
            </w:tcBorders>
            <w:vAlign w:val="center"/>
          </w:tcPr>
          <w:p w14:paraId="74573C4D"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11648</w:t>
            </w:r>
          </w:p>
        </w:tc>
        <w:tc>
          <w:tcPr>
            <w:tcW w:w="1860" w:type="dxa"/>
            <w:tcBorders>
              <w:top w:val="nil"/>
              <w:left w:val="nil"/>
              <w:bottom w:val="single" w:sz="4" w:space="0" w:color="auto"/>
              <w:right w:val="single" w:sz="4" w:space="0" w:color="auto"/>
            </w:tcBorders>
            <w:vAlign w:val="center"/>
          </w:tcPr>
          <w:p w14:paraId="51B14B16"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11277</w:t>
            </w:r>
          </w:p>
        </w:tc>
      </w:tr>
      <w:tr w:rsidR="0062768B" w14:paraId="182BE008" w14:textId="77777777">
        <w:trPr>
          <w:trHeight w:val="90"/>
          <w:jc w:val="center"/>
        </w:trPr>
        <w:tc>
          <w:tcPr>
            <w:tcW w:w="599" w:type="dxa"/>
            <w:tcBorders>
              <w:top w:val="nil"/>
              <w:left w:val="single" w:sz="4" w:space="0" w:color="auto"/>
              <w:bottom w:val="single" w:sz="4" w:space="0" w:color="auto"/>
              <w:right w:val="single" w:sz="4" w:space="0" w:color="auto"/>
            </w:tcBorders>
            <w:noWrap/>
            <w:vAlign w:val="center"/>
          </w:tcPr>
          <w:p w14:paraId="52911742"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w:t>
            </w:r>
          </w:p>
        </w:tc>
        <w:tc>
          <w:tcPr>
            <w:tcW w:w="4589" w:type="dxa"/>
            <w:tcBorders>
              <w:top w:val="nil"/>
              <w:left w:val="nil"/>
              <w:bottom w:val="single" w:sz="4" w:space="0" w:color="auto"/>
              <w:right w:val="single" w:sz="4" w:space="0" w:color="auto"/>
            </w:tcBorders>
            <w:vAlign w:val="center"/>
          </w:tcPr>
          <w:p w14:paraId="23361E5D"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顺义区顺义新城第</w:t>
            </w:r>
            <w:r>
              <w:rPr>
                <w:rFonts w:ascii="Arial" w:eastAsia="仿宋" w:hAnsi="Arial" w:cs="Arial"/>
                <w:sz w:val="18"/>
                <w:szCs w:val="18"/>
              </w:rPr>
              <w:t>1</w:t>
            </w:r>
            <w:r>
              <w:rPr>
                <w:rFonts w:ascii="Arial" w:eastAsia="仿宋" w:hAnsi="Arial" w:cs="Arial"/>
                <w:sz w:val="18"/>
                <w:szCs w:val="18"/>
              </w:rPr>
              <w:t>街区</w:t>
            </w:r>
            <w:r>
              <w:rPr>
                <w:rFonts w:ascii="Arial" w:eastAsia="仿宋" w:hAnsi="Arial" w:cs="Arial"/>
                <w:sz w:val="18"/>
                <w:szCs w:val="18"/>
              </w:rPr>
              <w:t>SY00-0001-0320</w:t>
            </w:r>
            <w:r>
              <w:rPr>
                <w:rFonts w:ascii="Arial" w:eastAsia="仿宋" w:hAnsi="Arial" w:cs="Arial"/>
                <w:sz w:val="18"/>
                <w:szCs w:val="18"/>
              </w:rPr>
              <w:t>地块</w:t>
            </w: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p>
        </w:tc>
        <w:tc>
          <w:tcPr>
            <w:tcW w:w="2113" w:type="dxa"/>
            <w:tcBorders>
              <w:top w:val="nil"/>
              <w:left w:val="nil"/>
              <w:bottom w:val="single" w:sz="4" w:space="0" w:color="auto"/>
              <w:right w:val="single" w:sz="4" w:space="0" w:color="auto"/>
            </w:tcBorders>
            <w:vAlign w:val="center"/>
          </w:tcPr>
          <w:p w14:paraId="6E379206"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1.6</w:t>
            </w:r>
          </w:p>
        </w:tc>
        <w:tc>
          <w:tcPr>
            <w:tcW w:w="2092" w:type="dxa"/>
            <w:tcBorders>
              <w:top w:val="nil"/>
              <w:left w:val="nil"/>
              <w:bottom w:val="single" w:sz="4" w:space="0" w:color="auto"/>
              <w:right w:val="single" w:sz="4" w:space="0" w:color="auto"/>
            </w:tcBorders>
            <w:vAlign w:val="center"/>
          </w:tcPr>
          <w:p w14:paraId="64E9F1E1"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p>
        </w:tc>
        <w:tc>
          <w:tcPr>
            <w:tcW w:w="1521" w:type="dxa"/>
            <w:tcBorders>
              <w:top w:val="nil"/>
              <w:left w:val="nil"/>
              <w:bottom w:val="single" w:sz="4" w:space="0" w:color="auto"/>
              <w:right w:val="single" w:sz="4" w:space="0" w:color="auto"/>
            </w:tcBorders>
            <w:vAlign w:val="center"/>
          </w:tcPr>
          <w:p w14:paraId="7DF12EC2"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2022/9/22</w:t>
            </w:r>
          </w:p>
        </w:tc>
        <w:tc>
          <w:tcPr>
            <w:tcW w:w="1796" w:type="dxa"/>
            <w:tcBorders>
              <w:top w:val="nil"/>
              <w:left w:val="nil"/>
              <w:bottom w:val="single" w:sz="4" w:space="0" w:color="auto"/>
              <w:right w:val="single" w:sz="4" w:space="0" w:color="auto"/>
            </w:tcBorders>
            <w:vAlign w:val="center"/>
          </w:tcPr>
          <w:p w14:paraId="289BC981"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19872</w:t>
            </w:r>
          </w:p>
        </w:tc>
        <w:tc>
          <w:tcPr>
            <w:tcW w:w="1860" w:type="dxa"/>
            <w:tcBorders>
              <w:top w:val="nil"/>
              <w:left w:val="nil"/>
              <w:bottom w:val="single" w:sz="4" w:space="0" w:color="auto"/>
              <w:right w:val="single" w:sz="4" w:space="0" w:color="auto"/>
            </w:tcBorders>
            <w:vAlign w:val="center"/>
          </w:tcPr>
          <w:p w14:paraId="7B8E2B9B"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21949</w:t>
            </w:r>
          </w:p>
        </w:tc>
      </w:tr>
      <w:tr w:rsidR="0062768B" w14:paraId="4632E599" w14:textId="77777777">
        <w:trPr>
          <w:trHeight w:val="1275"/>
          <w:jc w:val="center"/>
        </w:trPr>
        <w:tc>
          <w:tcPr>
            <w:tcW w:w="599" w:type="dxa"/>
            <w:tcBorders>
              <w:top w:val="nil"/>
              <w:left w:val="single" w:sz="4" w:space="0" w:color="auto"/>
              <w:bottom w:val="single" w:sz="4" w:space="0" w:color="auto"/>
              <w:right w:val="single" w:sz="4" w:space="0" w:color="auto"/>
            </w:tcBorders>
            <w:noWrap/>
            <w:vAlign w:val="center"/>
          </w:tcPr>
          <w:p w14:paraId="663E5D28"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3</w:t>
            </w:r>
          </w:p>
        </w:tc>
        <w:tc>
          <w:tcPr>
            <w:tcW w:w="4589" w:type="dxa"/>
            <w:tcBorders>
              <w:top w:val="nil"/>
              <w:left w:val="nil"/>
              <w:bottom w:val="single" w:sz="4" w:space="0" w:color="auto"/>
              <w:right w:val="single" w:sz="4" w:space="0" w:color="auto"/>
            </w:tcBorders>
            <w:vAlign w:val="center"/>
          </w:tcPr>
          <w:p w14:paraId="0188C7F6"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顺义区顺义新城第</w:t>
            </w:r>
            <w:r>
              <w:rPr>
                <w:rFonts w:ascii="Arial" w:eastAsia="仿宋" w:hAnsi="Arial" w:cs="Arial"/>
                <w:sz w:val="18"/>
                <w:szCs w:val="18"/>
              </w:rPr>
              <w:t>19</w:t>
            </w:r>
            <w:r>
              <w:rPr>
                <w:rFonts w:ascii="Arial" w:eastAsia="仿宋" w:hAnsi="Arial" w:cs="Arial"/>
                <w:sz w:val="18"/>
                <w:szCs w:val="18"/>
              </w:rPr>
              <w:t>街区</w:t>
            </w:r>
            <w:r>
              <w:rPr>
                <w:rFonts w:ascii="Arial" w:eastAsia="仿宋" w:hAnsi="Arial" w:cs="Arial"/>
                <w:sz w:val="18"/>
                <w:szCs w:val="18"/>
              </w:rPr>
              <w:t>19-85</w:t>
            </w:r>
            <w:r>
              <w:rPr>
                <w:rFonts w:ascii="Arial" w:eastAsia="仿宋" w:hAnsi="Arial" w:cs="Arial"/>
                <w:sz w:val="18"/>
                <w:szCs w:val="18"/>
              </w:rPr>
              <w:t>、</w:t>
            </w:r>
            <w:r>
              <w:rPr>
                <w:rFonts w:ascii="Arial" w:eastAsia="仿宋" w:hAnsi="Arial" w:cs="Arial"/>
                <w:sz w:val="18"/>
                <w:szCs w:val="18"/>
              </w:rPr>
              <w:t>86</w:t>
            </w:r>
            <w:r>
              <w:rPr>
                <w:rFonts w:ascii="Arial" w:eastAsia="仿宋" w:hAnsi="Arial" w:cs="Arial"/>
                <w:sz w:val="18"/>
                <w:szCs w:val="18"/>
              </w:rPr>
              <w:t>地块</w:t>
            </w: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r>
              <w:rPr>
                <w:rFonts w:ascii="Arial" w:eastAsia="仿宋" w:hAnsi="Arial" w:cs="Arial"/>
                <w:sz w:val="18"/>
                <w:szCs w:val="18"/>
              </w:rPr>
              <w:t>A334</w:t>
            </w:r>
            <w:r>
              <w:rPr>
                <w:rFonts w:ascii="Arial" w:eastAsia="仿宋" w:hAnsi="Arial" w:cs="Arial"/>
                <w:sz w:val="18"/>
                <w:szCs w:val="18"/>
              </w:rPr>
              <w:t>托幼用地</w:t>
            </w:r>
          </w:p>
        </w:tc>
        <w:tc>
          <w:tcPr>
            <w:tcW w:w="2113" w:type="dxa"/>
            <w:tcBorders>
              <w:top w:val="nil"/>
              <w:left w:val="nil"/>
              <w:bottom w:val="single" w:sz="4" w:space="0" w:color="auto"/>
              <w:right w:val="single" w:sz="4" w:space="0" w:color="auto"/>
            </w:tcBorders>
            <w:vAlign w:val="center"/>
          </w:tcPr>
          <w:p w14:paraId="776BE894"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19-85</w:t>
            </w:r>
            <w:r>
              <w:rPr>
                <w:rFonts w:ascii="Arial" w:eastAsia="仿宋" w:hAnsi="Arial" w:cs="Arial"/>
                <w:sz w:val="18"/>
                <w:szCs w:val="18"/>
              </w:rPr>
              <w:t>地块容积率</w:t>
            </w:r>
            <w:r>
              <w:rPr>
                <w:rFonts w:ascii="Arial" w:eastAsia="仿宋" w:hAnsi="Arial" w:cs="Arial"/>
                <w:sz w:val="18"/>
                <w:szCs w:val="18"/>
              </w:rPr>
              <w:t>1.2,</w:t>
            </w:r>
          </w:p>
          <w:p w14:paraId="01C66929"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19-86</w:t>
            </w:r>
            <w:r>
              <w:rPr>
                <w:rFonts w:ascii="Arial" w:eastAsia="仿宋" w:hAnsi="Arial" w:cs="Arial"/>
                <w:sz w:val="18"/>
                <w:szCs w:val="18"/>
              </w:rPr>
              <w:t>地块容积率</w:t>
            </w:r>
            <w:r>
              <w:rPr>
                <w:rFonts w:ascii="Arial" w:eastAsia="仿宋" w:hAnsi="Arial" w:cs="Arial"/>
                <w:sz w:val="18"/>
                <w:szCs w:val="18"/>
              </w:rPr>
              <w:t>0.8</w:t>
            </w:r>
          </w:p>
        </w:tc>
        <w:tc>
          <w:tcPr>
            <w:tcW w:w="2092" w:type="dxa"/>
            <w:tcBorders>
              <w:top w:val="nil"/>
              <w:left w:val="nil"/>
              <w:bottom w:val="single" w:sz="4" w:space="0" w:color="auto"/>
              <w:right w:val="single" w:sz="4" w:space="0" w:color="auto"/>
            </w:tcBorders>
            <w:vAlign w:val="center"/>
          </w:tcPr>
          <w:p w14:paraId="33BCFE6C"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类居住用地、托幼用地</w:t>
            </w:r>
          </w:p>
        </w:tc>
        <w:tc>
          <w:tcPr>
            <w:tcW w:w="1521" w:type="dxa"/>
            <w:tcBorders>
              <w:top w:val="nil"/>
              <w:left w:val="nil"/>
              <w:bottom w:val="single" w:sz="4" w:space="0" w:color="auto"/>
              <w:right w:val="single" w:sz="4" w:space="0" w:color="auto"/>
            </w:tcBorders>
            <w:vAlign w:val="center"/>
          </w:tcPr>
          <w:p w14:paraId="7479355F"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2022/6/1</w:t>
            </w:r>
          </w:p>
        </w:tc>
        <w:tc>
          <w:tcPr>
            <w:tcW w:w="1796" w:type="dxa"/>
            <w:tcBorders>
              <w:top w:val="nil"/>
              <w:left w:val="nil"/>
              <w:bottom w:val="single" w:sz="4" w:space="0" w:color="auto"/>
              <w:right w:val="single" w:sz="4" w:space="0" w:color="auto"/>
            </w:tcBorders>
            <w:vAlign w:val="center"/>
          </w:tcPr>
          <w:p w14:paraId="690180EF"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21766</w:t>
            </w:r>
          </w:p>
        </w:tc>
        <w:tc>
          <w:tcPr>
            <w:tcW w:w="1860" w:type="dxa"/>
            <w:tcBorders>
              <w:top w:val="nil"/>
              <w:left w:val="nil"/>
              <w:bottom w:val="single" w:sz="4" w:space="0" w:color="auto"/>
              <w:right w:val="single" w:sz="4" w:space="0" w:color="auto"/>
            </w:tcBorders>
            <w:vAlign w:val="center"/>
          </w:tcPr>
          <w:p w14:paraId="79BC41BD"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29210</w:t>
            </w:r>
          </w:p>
        </w:tc>
      </w:tr>
      <w:tr w:rsidR="0062768B" w14:paraId="1CC10A0E" w14:textId="77777777">
        <w:trPr>
          <w:trHeight w:val="1020"/>
          <w:jc w:val="center"/>
        </w:trPr>
        <w:tc>
          <w:tcPr>
            <w:tcW w:w="599" w:type="dxa"/>
            <w:tcBorders>
              <w:top w:val="nil"/>
              <w:left w:val="single" w:sz="4" w:space="0" w:color="auto"/>
              <w:bottom w:val="single" w:sz="4" w:space="0" w:color="auto"/>
              <w:right w:val="single" w:sz="4" w:space="0" w:color="auto"/>
            </w:tcBorders>
            <w:noWrap/>
            <w:vAlign w:val="center"/>
          </w:tcPr>
          <w:p w14:paraId="299EF4D4"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4</w:t>
            </w:r>
          </w:p>
        </w:tc>
        <w:tc>
          <w:tcPr>
            <w:tcW w:w="4589" w:type="dxa"/>
            <w:tcBorders>
              <w:top w:val="nil"/>
              <w:left w:val="nil"/>
              <w:bottom w:val="single" w:sz="4" w:space="0" w:color="auto"/>
              <w:right w:val="single" w:sz="4" w:space="0" w:color="auto"/>
            </w:tcBorders>
            <w:vAlign w:val="center"/>
          </w:tcPr>
          <w:p w14:paraId="52231F1D"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顺义区薛大人庄村剩余</w:t>
            </w:r>
            <w:r>
              <w:rPr>
                <w:rFonts w:ascii="Arial" w:eastAsia="仿宋" w:hAnsi="Arial" w:cs="Arial"/>
                <w:sz w:val="18"/>
                <w:szCs w:val="18"/>
              </w:rPr>
              <w:t>2</w:t>
            </w:r>
            <w:r>
              <w:rPr>
                <w:rFonts w:ascii="Arial" w:eastAsia="仿宋" w:hAnsi="Arial" w:cs="Arial"/>
                <w:sz w:val="18"/>
                <w:szCs w:val="18"/>
              </w:rPr>
              <w:t>号地块土地一级开发项目</w:t>
            </w:r>
            <w:r>
              <w:rPr>
                <w:rFonts w:ascii="Arial" w:eastAsia="仿宋" w:hAnsi="Arial" w:cs="Arial"/>
                <w:sz w:val="18"/>
                <w:szCs w:val="18"/>
              </w:rPr>
              <w:t>SY00-0025 -6001</w:t>
            </w:r>
            <w:r>
              <w:rPr>
                <w:rFonts w:ascii="Arial" w:eastAsia="仿宋" w:hAnsi="Arial" w:cs="Arial"/>
                <w:sz w:val="18"/>
                <w:szCs w:val="18"/>
              </w:rPr>
              <w:t>、</w:t>
            </w:r>
            <w:r>
              <w:rPr>
                <w:rFonts w:ascii="Arial" w:eastAsia="仿宋" w:hAnsi="Arial" w:cs="Arial"/>
                <w:sz w:val="18"/>
                <w:szCs w:val="18"/>
              </w:rPr>
              <w:t>6003</w:t>
            </w:r>
            <w:r>
              <w:rPr>
                <w:rFonts w:ascii="Arial" w:eastAsia="仿宋" w:hAnsi="Arial" w:cs="Arial"/>
                <w:sz w:val="18"/>
                <w:szCs w:val="18"/>
              </w:rPr>
              <w:t>地块</w:t>
            </w: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r>
              <w:rPr>
                <w:rFonts w:ascii="Arial" w:eastAsia="仿宋" w:hAnsi="Arial" w:cs="Arial"/>
                <w:sz w:val="18"/>
                <w:szCs w:val="18"/>
              </w:rPr>
              <w:t>A334</w:t>
            </w:r>
            <w:r>
              <w:rPr>
                <w:rFonts w:ascii="Arial" w:eastAsia="仿宋" w:hAnsi="Arial" w:cs="Arial"/>
                <w:sz w:val="18"/>
                <w:szCs w:val="18"/>
              </w:rPr>
              <w:t>托幼用地</w:t>
            </w:r>
          </w:p>
        </w:tc>
        <w:tc>
          <w:tcPr>
            <w:tcW w:w="2113" w:type="dxa"/>
            <w:tcBorders>
              <w:top w:val="nil"/>
              <w:left w:val="nil"/>
              <w:bottom w:val="single" w:sz="4" w:space="0" w:color="auto"/>
              <w:right w:val="single" w:sz="4" w:space="0" w:color="auto"/>
            </w:tcBorders>
            <w:vAlign w:val="center"/>
          </w:tcPr>
          <w:p w14:paraId="286D7AEC"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sy00-0025-6001</w:t>
            </w:r>
            <w:r>
              <w:rPr>
                <w:rFonts w:ascii="Arial" w:eastAsia="仿宋" w:hAnsi="Arial" w:cs="Arial"/>
                <w:sz w:val="18"/>
                <w:szCs w:val="18"/>
              </w:rPr>
              <w:t>地块容积率</w:t>
            </w:r>
            <w:r>
              <w:rPr>
                <w:rFonts w:ascii="Arial" w:eastAsia="仿宋" w:hAnsi="Arial" w:cs="Arial"/>
                <w:sz w:val="18"/>
                <w:szCs w:val="18"/>
              </w:rPr>
              <w:t>1.6;</w:t>
            </w:r>
          </w:p>
          <w:p w14:paraId="0B116BFB"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sy00-0025-6003</w:t>
            </w:r>
            <w:r>
              <w:rPr>
                <w:rFonts w:ascii="Arial" w:eastAsia="仿宋" w:hAnsi="Arial" w:cs="Arial"/>
                <w:sz w:val="18"/>
                <w:szCs w:val="18"/>
              </w:rPr>
              <w:t>地块容积率</w:t>
            </w:r>
            <w:r>
              <w:rPr>
                <w:rFonts w:ascii="Arial" w:eastAsia="仿宋" w:hAnsi="Arial" w:cs="Arial"/>
                <w:sz w:val="18"/>
                <w:szCs w:val="18"/>
              </w:rPr>
              <w:t>0.8</w:t>
            </w:r>
          </w:p>
        </w:tc>
        <w:tc>
          <w:tcPr>
            <w:tcW w:w="2092" w:type="dxa"/>
            <w:tcBorders>
              <w:top w:val="nil"/>
              <w:left w:val="nil"/>
              <w:bottom w:val="single" w:sz="4" w:space="0" w:color="auto"/>
              <w:right w:val="single" w:sz="4" w:space="0" w:color="auto"/>
            </w:tcBorders>
            <w:vAlign w:val="center"/>
          </w:tcPr>
          <w:p w14:paraId="36683129"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类居住用地、托幼用地</w:t>
            </w:r>
          </w:p>
        </w:tc>
        <w:tc>
          <w:tcPr>
            <w:tcW w:w="1521" w:type="dxa"/>
            <w:tcBorders>
              <w:top w:val="nil"/>
              <w:left w:val="nil"/>
              <w:bottom w:val="single" w:sz="4" w:space="0" w:color="auto"/>
              <w:right w:val="single" w:sz="4" w:space="0" w:color="auto"/>
            </w:tcBorders>
            <w:vAlign w:val="center"/>
          </w:tcPr>
          <w:p w14:paraId="5632B57B"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2022/6/1</w:t>
            </w:r>
          </w:p>
        </w:tc>
        <w:tc>
          <w:tcPr>
            <w:tcW w:w="1796" w:type="dxa"/>
            <w:tcBorders>
              <w:top w:val="nil"/>
              <w:left w:val="nil"/>
              <w:bottom w:val="single" w:sz="4" w:space="0" w:color="auto"/>
              <w:right w:val="single" w:sz="4" w:space="0" w:color="auto"/>
            </w:tcBorders>
            <w:vAlign w:val="center"/>
          </w:tcPr>
          <w:p w14:paraId="72690360"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22609</w:t>
            </w:r>
          </w:p>
        </w:tc>
        <w:tc>
          <w:tcPr>
            <w:tcW w:w="1860" w:type="dxa"/>
            <w:tcBorders>
              <w:top w:val="nil"/>
              <w:left w:val="nil"/>
              <w:bottom w:val="single" w:sz="4" w:space="0" w:color="auto"/>
              <w:right w:val="single" w:sz="4" w:space="0" w:color="auto"/>
            </w:tcBorders>
            <w:vAlign w:val="center"/>
          </w:tcPr>
          <w:p w14:paraId="41B375F5"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31111</w:t>
            </w:r>
          </w:p>
        </w:tc>
      </w:tr>
      <w:tr w:rsidR="0062768B" w14:paraId="3D6CB613" w14:textId="77777777">
        <w:trPr>
          <w:trHeight w:val="1020"/>
          <w:jc w:val="center"/>
        </w:trPr>
        <w:tc>
          <w:tcPr>
            <w:tcW w:w="599" w:type="dxa"/>
            <w:tcBorders>
              <w:top w:val="nil"/>
              <w:left w:val="single" w:sz="4" w:space="0" w:color="auto"/>
              <w:bottom w:val="single" w:sz="4" w:space="0" w:color="auto"/>
              <w:right w:val="single" w:sz="4" w:space="0" w:color="auto"/>
            </w:tcBorders>
            <w:noWrap/>
            <w:vAlign w:val="center"/>
          </w:tcPr>
          <w:p w14:paraId="34AB6A97"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5</w:t>
            </w:r>
          </w:p>
        </w:tc>
        <w:tc>
          <w:tcPr>
            <w:tcW w:w="4589" w:type="dxa"/>
            <w:tcBorders>
              <w:top w:val="nil"/>
              <w:left w:val="nil"/>
              <w:bottom w:val="single" w:sz="4" w:space="0" w:color="auto"/>
              <w:right w:val="single" w:sz="4" w:space="0" w:color="auto"/>
            </w:tcBorders>
            <w:vAlign w:val="center"/>
          </w:tcPr>
          <w:p w14:paraId="2F2502D7"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顺义区顺义新城第</w:t>
            </w:r>
            <w:r>
              <w:rPr>
                <w:rFonts w:ascii="Arial" w:eastAsia="仿宋" w:hAnsi="Arial" w:cs="Arial"/>
                <w:sz w:val="18"/>
                <w:szCs w:val="18"/>
              </w:rPr>
              <w:t>13</w:t>
            </w:r>
            <w:r>
              <w:rPr>
                <w:rFonts w:ascii="Arial" w:eastAsia="仿宋" w:hAnsi="Arial" w:cs="Arial"/>
                <w:sz w:val="18"/>
                <w:szCs w:val="18"/>
              </w:rPr>
              <w:t>街区</w:t>
            </w:r>
            <w:r>
              <w:rPr>
                <w:rFonts w:ascii="Arial" w:eastAsia="仿宋" w:hAnsi="Arial" w:cs="Arial"/>
                <w:sz w:val="18"/>
                <w:szCs w:val="18"/>
              </w:rPr>
              <w:t>SY00-0013-6049</w:t>
            </w:r>
            <w:r>
              <w:rPr>
                <w:rFonts w:ascii="Arial" w:eastAsia="仿宋" w:hAnsi="Arial" w:cs="Arial"/>
                <w:sz w:val="18"/>
                <w:szCs w:val="18"/>
              </w:rPr>
              <w:t>、</w:t>
            </w:r>
            <w:r>
              <w:rPr>
                <w:rFonts w:ascii="Arial" w:eastAsia="仿宋" w:hAnsi="Arial" w:cs="Arial"/>
                <w:sz w:val="18"/>
                <w:szCs w:val="18"/>
              </w:rPr>
              <w:t>6050</w:t>
            </w:r>
            <w:r>
              <w:rPr>
                <w:rFonts w:ascii="Arial" w:eastAsia="仿宋" w:hAnsi="Arial" w:cs="Arial"/>
                <w:sz w:val="18"/>
                <w:szCs w:val="18"/>
              </w:rPr>
              <w:t>、</w:t>
            </w:r>
            <w:r>
              <w:rPr>
                <w:rFonts w:ascii="Arial" w:eastAsia="仿宋" w:hAnsi="Arial" w:cs="Arial"/>
                <w:sz w:val="18"/>
                <w:szCs w:val="18"/>
              </w:rPr>
              <w:t>6052</w:t>
            </w:r>
            <w:r>
              <w:rPr>
                <w:rFonts w:ascii="Arial" w:eastAsia="仿宋" w:hAnsi="Arial" w:cs="Arial"/>
                <w:sz w:val="18"/>
                <w:szCs w:val="18"/>
              </w:rPr>
              <w:t>、</w:t>
            </w:r>
            <w:r>
              <w:rPr>
                <w:rFonts w:ascii="Arial" w:eastAsia="仿宋" w:hAnsi="Arial" w:cs="Arial"/>
                <w:sz w:val="18"/>
                <w:szCs w:val="18"/>
              </w:rPr>
              <w:t>6053</w:t>
            </w:r>
            <w:r>
              <w:rPr>
                <w:rFonts w:ascii="Arial" w:eastAsia="仿宋" w:hAnsi="Arial" w:cs="Arial"/>
                <w:sz w:val="18"/>
                <w:szCs w:val="18"/>
              </w:rPr>
              <w:t>地块</w:t>
            </w: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r>
              <w:rPr>
                <w:rFonts w:ascii="Arial" w:eastAsia="仿宋" w:hAnsi="Arial" w:cs="Arial"/>
                <w:sz w:val="18"/>
                <w:szCs w:val="18"/>
              </w:rPr>
              <w:t>B4</w:t>
            </w:r>
            <w:r>
              <w:rPr>
                <w:rFonts w:ascii="Arial" w:eastAsia="仿宋" w:hAnsi="Arial" w:cs="Arial"/>
                <w:sz w:val="18"/>
                <w:szCs w:val="18"/>
              </w:rPr>
              <w:t>综合性商业金融服务业用地</w:t>
            </w:r>
          </w:p>
        </w:tc>
        <w:tc>
          <w:tcPr>
            <w:tcW w:w="2113" w:type="dxa"/>
            <w:tcBorders>
              <w:top w:val="nil"/>
              <w:left w:val="nil"/>
              <w:bottom w:val="single" w:sz="4" w:space="0" w:color="auto"/>
              <w:right w:val="single" w:sz="4" w:space="0" w:color="auto"/>
            </w:tcBorders>
            <w:vAlign w:val="center"/>
          </w:tcPr>
          <w:p w14:paraId="39EABFBB"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1.6</w:t>
            </w:r>
          </w:p>
        </w:tc>
        <w:tc>
          <w:tcPr>
            <w:tcW w:w="2092" w:type="dxa"/>
            <w:tcBorders>
              <w:top w:val="nil"/>
              <w:left w:val="nil"/>
              <w:bottom w:val="single" w:sz="4" w:space="0" w:color="auto"/>
              <w:right w:val="single" w:sz="4" w:space="0" w:color="auto"/>
            </w:tcBorders>
            <w:vAlign w:val="center"/>
          </w:tcPr>
          <w:p w14:paraId="7DCA49AA"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p>
        </w:tc>
        <w:tc>
          <w:tcPr>
            <w:tcW w:w="1521" w:type="dxa"/>
            <w:tcBorders>
              <w:top w:val="nil"/>
              <w:left w:val="nil"/>
              <w:bottom w:val="single" w:sz="4" w:space="0" w:color="auto"/>
              <w:right w:val="single" w:sz="4" w:space="0" w:color="auto"/>
            </w:tcBorders>
            <w:vAlign w:val="center"/>
          </w:tcPr>
          <w:p w14:paraId="5478EBB4"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2022/2/16</w:t>
            </w:r>
          </w:p>
        </w:tc>
        <w:tc>
          <w:tcPr>
            <w:tcW w:w="1796" w:type="dxa"/>
            <w:tcBorders>
              <w:top w:val="nil"/>
              <w:left w:val="nil"/>
              <w:bottom w:val="single" w:sz="4" w:space="0" w:color="auto"/>
              <w:right w:val="single" w:sz="4" w:space="0" w:color="auto"/>
            </w:tcBorders>
            <w:vAlign w:val="center"/>
          </w:tcPr>
          <w:p w14:paraId="3DF7366D"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19803</w:t>
            </w:r>
          </w:p>
        </w:tc>
        <w:tc>
          <w:tcPr>
            <w:tcW w:w="1860" w:type="dxa"/>
            <w:tcBorders>
              <w:top w:val="nil"/>
              <w:left w:val="nil"/>
              <w:bottom w:val="single" w:sz="4" w:space="0" w:color="auto"/>
              <w:right w:val="single" w:sz="4" w:space="0" w:color="auto"/>
            </w:tcBorders>
            <w:vAlign w:val="center"/>
          </w:tcPr>
          <w:p w14:paraId="4FEFCBDD"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19858</w:t>
            </w:r>
          </w:p>
        </w:tc>
      </w:tr>
      <w:tr w:rsidR="0062768B" w14:paraId="194990A6" w14:textId="77777777">
        <w:trPr>
          <w:trHeight w:val="765"/>
          <w:jc w:val="center"/>
        </w:trPr>
        <w:tc>
          <w:tcPr>
            <w:tcW w:w="599" w:type="dxa"/>
            <w:tcBorders>
              <w:top w:val="nil"/>
              <w:left w:val="single" w:sz="4" w:space="0" w:color="auto"/>
              <w:bottom w:val="single" w:sz="4" w:space="0" w:color="auto"/>
              <w:right w:val="single" w:sz="4" w:space="0" w:color="auto"/>
            </w:tcBorders>
            <w:noWrap/>
            <w:vAlign w:val="center"/>
          </w:tcPr>
          <w:p w14:paraId="0E91DA1C"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6</w:t>
            </w:r>
          </w:p>
        </w:tc>
        <w:tc>
          <w:tcPr>
            <w:tcW w:w="4589" w:type="dxa"/>
            <w:tcBorders>
              <w:top w:val="nil"/>
              <w:left w:val="nil"/>
              <w:bottom w:val="single" w:sz="4" w:space="0" w:color="auto"/>
              <w:right w:val="single" w:sz="4" w:space="0" w:color="auto"/>
            </w:tcBorders>
            <w:vAlign w:val="center"/>
          </w:tcPr>
          <w:p w14:paraId="0C692A88"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顺义区顺义新城第</w:t>
            </w:r>
            <w:r>
              <w:rPr>
                <w:rFonts w:ascii="Arial" w:eastAsia="仿宋" w:hAnsi="Arial" w:cs="Arial"/>
                <w:sz w:val="18"/>
                <w:szCs w:val="18"/>
              </w:rPr>
              <w:t>5</w:t>
            </w:r>
            <w:r>
              <w:rPr>
                <w:rFonts w:ascii="Arial" w:eastAsia="仿宋" w:hAnsi="Arial" w:cs="Arial"/>
                <w:sz w:val="18"/>
                <w:szCs w:val="18"/>
              </w:rPr>
              <w:t>街区平各庄旧村改造项目</w:t>
            </w:r>
            <w:r>
              <w:rPr>
                <w:rFonts w:ascii="Arial" w:eastAsia="仿宋" w:hAnsi="Arial" w:cs="Arial"/>
                <w:sz w:val="18"/>
                <w:szCs w:val="18"/>
              </w:rPr>
              <w:t>SY00-0005-6045</w:t>
            </w:r>
            <w:r>
              <w:rPr>
                <w:rFonts w:ascii="Arial" w:eastAsia="仿宋" w:hAnsi="Arial" w:cs="Arial"/>
                <w:sz w:val="18"/>
                <w:szCs w:val="18"/>
              </w:rPr>
              <w:t>、</w:t>
            </w:r>
            <w:r>
              <w:rPr>
                <w:rFonts w:ascii="Arial" w:eastAsia="仿宋" w:hAnsi="Arial" w:cs="Arial"/>
                <w:sz w:val="18"/>
                <w:szCs w:val="18"/>
              </w:rPr>
              <w:t>6046</w:t>
            </w:r>
            <w:r>
              <w:rPr>
                <w:rFonts w:ascii="Arial" w:eastAsia="仿宋" w:hAnsi="Arial" w:cs="Arial"/>
                <w:sz w:val="18"/>
                <w:szCs w:val="18"/>
              </w:rPr>
              <w:t>地块</w:t>
            </w: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r>
              <w:rPr>
                <w:rFonts w:ascii="Arial" w:eastAsia="仿宋" w:hAnsi="Arial" w:cs="Arial"/>
                <w:sz w:val="18"/>
                <w:szCs w:val="18"/>
              </w:rPr>
              <w:t>A334</w:t>
            </w:r>
            <w:r>
              <w:rPr>
                <w:rFonts w:ascii="Arial" w:eastAsia="仿宋" w:hAnsi="Arial" w:cs="Arial"/>
                <w:sz w:val="18"/>
                <w:szCs w:val="18"/>
              </w:rPr>
              <w:t>托幼用地</w:t>
            </w:r>
          </w:p>
        </w:tc>
        <w:tc>
          <w:tcPr>
            <w:tcW w:w="2113" w:type="dxa"/>
            <w:tcBorders>
              <w:top w:val="nil"/>
              <w:left w:val="nil"/>
              <w:bottom w:val="single" w:sz="4" w:space="0" w:color="auto"/>
              <w:right w:val="single" w:sz="4" w:space="0" w:color="auto"/>
            </w:tcBorders>
            <w:vAlign w:val="center"/>
          </w:tcPr>
          <w:p w14:paraId="39916C63"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sy00-0005-6046</w:t>
            </w:r>
            <w:r>
              <w:rPr>
                <w:rFonts w:ascii="Arial" w:eastAsia="仿宋" w:hAnsi="Arial" w:cs="Arial"/>
                <w:sz w:val="18"/>
                <w:szCs w:val="18"/>
              </w:rPr>
              <w:t>地块容积率</w:t>
            </w:r>
            <w:r>
              <w:rPr>
                <w:rFonts w:ascii="Arial" w:eastAsia="仿宋" w:hAnsi="Arial" w:cs="Arial"/>
                <w:sz w:val="18"/>
                <w:szCs w:val="18"/>
              </w:rPr>
              <w:t>2.0,</w:t>
            </w:r>
          </w:p>
          <w:p w14:paraId="1AF7E8A9"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sy00-0005-6045</w:t>
            </w:r>
            <w:r>
              <w:rPr>
                <w:rFonts w:ascii="Arial" w:eastAsia="仿宋" w:hAnsi="Arial" w:cs="Arial"/>
                <w:sz w:val="18"/>
                <w:szCs w:val="18"/>
              </w:rPr>
              <w:t>地块容积率</w:t>
            </w:r>
            <w:r>
              <w:rPr>
                <w:rFonts w:ascii="Arial" w:eastAsia="仿宋" w:hAnsi="Arial" w:cs="Arial"/>
                <w:sz w:val="18"/>
                <w:szCs w:val="18"/>
              </w:rPr>
              <w:t>0.8</w:t>
            </w:r>
          </w:p>
        </w:tc>
        <w:tc>
          <w:tcPr>
            <w:tcW w:w="2092" w:type="dxa"/>
            <w:tcBorders>
              <w:top w:val="nil"/>
              <w:left w:val="nil"/>
              <w:bottom w:val="single" w:sz="4" w:space="0" w:color="auto"/>
              <w:right w:val="single" w:sz="4" w:space="0" w:color="auto"/>
            </w:tcBorders>
            <w:vAlign w:val="center"/>
          </w:tcPr>
          <w:p w14:paraId="33A554F1"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r>
              <w:rPr>
                <w:rFonts w:ascii="Arial" w:eastAsia="仿宋" w:hAnsi="Arial" w:cs="Arial"/>
                <w:sz w:val="18"/>
                <w:szCs w:val="18"/>
              </w:rPr>
              <w:t>A334</w:t>
            </w:r>
            <w:r>
              <w:rPr>
                <w:rFonts w:ascii="Arial" w:eastAsia="仿宋" w:hAnsi="Arial" w:cs="Arial"/>
                <w:sz w:val="18"/>
                <w:szCs w:val="18"/>
              </w:rPr>
              <w:t>托幼用地</w:t>
            </w:r>
          </w:p>
        </w:tc>
        <w:tc>
          <w:tcPr>
            <w:tcW w:w="1521" w:type="dxa"/>
            <w:tcBorders>
              <w:top w:val="nil"/>
              <w:left w:val="nil"/>
              <w:bottom w:val="single" w:sz="4" w:space="0" w:color="auto"/>
              <w:right w:val="single" w:sz="4" w:space="0" w:color="auto"/>
            </w:tcBorders>
            <w:vAlign w:val="center"/>
          </w:tcPr>
          <w:p w14:paraId="68B86835"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2022/2/16</w:t>
            </w:r>
          </w:p>
        </w:tc>
        <w:tc>
          <w:tcPr>
            <w:tcW w:w="1796" w:type="dxa"/>
            <w:tcBorders>
              <w:top w:val="nil"/>
              <w:left w:val="nil"/>
              <w:bottom w:val="single" w:sz="4" w:space="0" w:color="auto"/>
              <w:right w:val="single" w:sz="4" w:space="0" w:color="auto"/>
            </w:tcBorders>
            <w:vAlign w:val="center"/>
          </w:tcPr>
          <w:p w14:paraId="05829E1C"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19581</w:t>
            </w:r>
          </w:p>
        </w:tc>
        <w:tc>
          <w:tcPr>
            <w:tcW w:w="1860" w:type="dxa"/>
            <w:tcBorders>
              <w:top w:val="nil"/>
              <w:left w:val="nil"/>
              <w:bottom w:val="single" w:sz="4" w:space="0" w:color="auto"/>
              <w:right w:val="single" w:sz="4" w:space="0" w:color="auto"/>
            </w:tcBorders>
            <w:vAlign w:val="center"/>
          </w:tcPr>
          <w:p w14:paraId="7EF85E60"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19739</w:t>
            </w:r>
          </w:p>
        </w:tc>
      </w:tr>
      <w:tr w:rsidR="0062768B" w14:paraId="31AF8CBF" w14:textId="77777777">
        <w:trPr>
          <w:trHeight w:val="1020"/>
          <w:jc w:val="center"/>
        </w:trPr>
        <w:tc>
          <w:tcPr>
            <w:tcW w:w="599" w:type="dxa"/>
            <w:tcBorders>
              <w:top w:val="nil"/>
              <w:left w:val="single" w:sz="4" w:space="0" w:color="auto"/>
              <w:bottom w:val="single" w:sz="4" w:space="0" w:color="auto"/>
              <w:right w:val="single" w:sz="4" w:space="0" w:color="auto"/>
            </w:tcBorders>
            <w:noWrap/>
            <w:vAlign w:val="center"/>
          </w:tcPr>
          <w:p w14:paraId="363EE8E0"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7</w:t>
            </w:r>
          </w:p>
        </w:tc>
        <w:tc>
          <w:tcPr>
            <w:tcW w:w="4589" w:type="dxa"/>
            <w:tcBorders>
              <w:top w:val="nil"/>
              <w:left w:val="nil"/>
              <w:bottom w:val="single" w:sz="4" w:space="0" w:color="auto"/>
              <w:right w:val="single" w:sz="4" w:space="0" w:color="auto"/>
            </w:tcBorders>
            <w:vAlign w:val="center"/>
          </w:tcPr>
          <w:p w14:paraId="2678B889"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顺义新城第</w:t>
            </w:r>
            <w:r>
              <w:rPr>
                <w:rFonts w:ascii="Arial" w:eastAsia="仿宋" w:hAnsi="Arial" w:cs="Arial"/>
                <w:sz w:val="18"/>
                <w:szCs w:val="18"/>
              </w:rPr>
              <w:t>23</w:t>
            </w:r>
            <w:r>
              <w:rPr>
                <w:rFonts w:ascii="Arial" w:eastAsia="仿宋" w:hAnsi="Arial" w:cs="Arial"/>
                <w:sz w:val="18"/>
                <w:szCs w:val="18"/>
              </w:rPr>
              <w:t>街区新国展三期项目（原</w:t>
            </w:r>
            <w:r>
              <w:rPr>
                <w:rFonts w:ascii="Arial" w:eastAsia="仿宋" w:hAnsi="Arial" w:cs="Arial"/>
                <w:sz w:val="18"/>
                <w:szCs w:val="18"/>
              </w:rPr>
              <w:t>22</w:t>
            </w:r>
            <w:r>
              <w:rPr>
                <w:rFonts w:ascii="Arial" w:eastAsia="仿宋" w:hAnsi="Arial" w:cs="Arial"/>
                <w:sz w:val="18"/>
                <w:szCs w:val="18"/>
              </w:rPr>
              <w:t>街区南部）</w:t>
            </w:r>
            <w:r>
              <w:rPr>
                <w:rFonts w:ascii="Arial" w:eastAsia="仿宋" w:hAnsi="Arial" w:cs="Arial"/>
                <w:sz w:val="18"/>
                <w:szCs w:val="18"/>
              </w:rPr>
              <w:t>22-02-007-1</w:t>
            </w:r>
            <w:r>
              <w:rPr>
                <w:rFonts w:ascii="Arial" w:eastAsia="仿宋" w:hAnsi="Arial" w:cs="Arial"/>
                <w:sz w:val="18"/>
                <w:szCs w:val="18"/>
              </w:rPr>
              <w:t>、</w:t>
            </w:r>
            <w:r>
              <w:rPr>
                <w:rFonts w:ascii="Arial" w:eastAsia="仿宋" w:hAnsi="Arial" w:cs="Arial"/>
                <w:sz w:val="18"/>
                <w:szCs w:val="18"/>
              </w:rPr>
              <w:t>22-02-007-2</w:t>
            </w:r>
            <w:r>
              <w:rPr>
                <w:rFonts w:ascii="Arial" w:eastAsia="仿宋" w:hAnsi="Arial" w:cs="Arial"/>
                <w:sz w:val="18"/>
                <w:szCs w:val="18"/>
              </w:rPr>
              <w:t>地块</w:t>
            </w: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p>
        </w:tc>
        <w:tc>
          <w:tcPr>
            <w:tcW w:w="2113" w:type="dxa"/>
            <w:tcBorders>
              <w:top w:val="nil"/>
              <w:left w:val="nil"/>
              <w:bottom w:val="single" w:sz="4" w:space="0" w:color="auto"/>
              <w:right w:val="single" w:sz="4" w:space="0" w:color="auto"/>
            </w:tcBorders>
            <w:vAlign w:val="center"/>
          </w:tcPr>
          <w:p w14:paraId="004C2D79"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≤2.5</w:t>
            </w:r>
          </w:p>
        </w:tc>
        <w:tc>
          <w:tcPr>
            <w:tcW w:w="2092" w:type="dxa"/>
            <w:tcBorders>
              <w:top w:val="nil"/>
              <w:left w:val="nil"/>
              <w:bottom w:val="single" w:sz="4" w:space="0" w:color="auto"/>
              <w:right w:val="single" w:sz="4" w:space="0" w:color="auto"/>
            </w:tcBorders>
            <w:vAlign w:val="center"/>
          </w:tcPr>
          <w:p w14:paraId="05793C4C"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p>
        </w:tc>
        <w:tc>
          <w:tcPr>
            <w:tcW w:w="1521" w:type="dxa"/>
            <w:tcBorders>
              <w:top w:val="nil"/>
              <w:left w:val="nil"/>
              <w:bottom w:val="single" w:sz="4" w:space="0" w:color="auto"/>
              <w:right w:val="single" w:sz="4" w:space="0" w:color="auto"/>
            </w:tcBorders>
            <w:vAlign w:val="center"/>
          </w:tcPr>
          <w:p w14:paraId="170AF213"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2021/2/2</w:t>
            </w:r>
          </w:p>
        </w:tc>
        <w:tc>
          <w:tcPr>
            <w:tcW w:w="1796" w:type="dxa"/>
            <w:tcBorders>
              <w:top w:val="nil"/>
              <w:left w:val="nil"/>
              <w:bottom w:val="single" w:sz="4" w:space="0" w:color="auto"/>
              <w:right w:val="single" w:sz="4" w:space="0" w:color="auto"/>
            </w:tcBorders>
            <w:vAlign w:val="center"/>
          </w:tcPr>
          <w:p w14:paraId="19F5892C"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18980</w:t>
            </w:r>
          </w:p>
        </w:tc>
        <w:tc>
          <w:tcPr>
            <w:tcW w:w="1860" w:type="dxa"/>
            <w:tcBorders>
              <w:top w:val="nil"/>
              <w:left w:val="nil"/>
              <w:bottom w:val="single" w:sz="4" w:space="0" w:color="auto"/>
              <w:right w:val="single" w:sz="4" w:space="0" w:color="auto"/>
            </w:tcBorders>
            <w:vAlign w:val="center"/>
          </w:tcPr>
          <w:p w14:paraId="7B9C2E77"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26808</w:t>
            </w:r>
          </w:p>
        </w:tc>
      </w:tr>
      <w:tr w:rsidR="0062768B" w14:paraId="109F5615" w14:textId="77777777">
        <w:trPr>
          <w:trHeight w:val="765"/>
          <w:jc w:val="center"/>
        </w:trPr>
        <w:tc>
          <w:tcPr>
            <w:tcW w:w="599" w:type="dxa"/>
            <w:tcBorders>
              <w:top w:val="nil"/>
              <w:left w:val="single" w:sz="4" w:space="0" w:color="auto"/>
              <w:bottom w:val="single" w:sz="4" w:space="0" w:color="auto"/>
              <w:right w:val="single" w:sz="4" w:space="0" w:color="auto"/>
            </w:tcBorders>
            <w:noWrap/>
            <w:vAlign w:val="center"/>
          </w:tcPr>
          <w:p w14:paraId="36B740D9"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8</w:t>
            </w:r>
          </w:p>
        </w:tc>
        <w:tc>
          <w:tcPr>
            <w:tcW w:w="4589" w:type="dxa"/>
            <w:tcBorders>
              <w:top w:val="nil"/>
              <w:left w:val="nil"/>
              <w:bottom w:val="single" w:sz="4" w:space="0" w:color="auto"/>
              <w:right w:val="single" w:sz="4" w:space="0" w:color="auto"/>
            </w:tcBorders>
            <w:vAlign w:val="center"/>
          </w:tcPr>
          <w:p w14:paraId="2F3F86EC"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顺义区顺义新城第</w:t>
            </w:r>
            <w:r>
              <w:rPr>
                <w:rFonts w:ascii="Arial" w:eastAsia="仿宋" w:hAnsi="Arial" w:cs="Arial"/>
                <w:sz w:val="18"/>
                <w:szCs w:val="18"/>
              </w:rPr>
              <w:t>13</w:t>
            </w:r>
            <w:r>
              <w:rPr>
                <w:rFonts w:ascii="Arial" w:eastAsia="仿宋" w:hAnsi="Arial" w:cs="Arial"/>
                <w:sz w:val="18"/>
                <w:szCs w:val="18"/>
              </w:rPr>
              <w:t>街区</w:t>
            </w:r>
            <w:r>
              <w:rPr>
                <w:rFonts w:ascii="Arial" w:eastAsia="仿宋" w:hAnsi="Arial" w:cs="Arial"/>
                <w:sz w:val="18"/>
                <w:szCs w:val="18"/>
              </w:rPr>
              <w:t>SY00-0013-6055</w:t>
            </w:r>
            <w:r>
              <w:rPr>
                <w:rFonts w:ascii="Arial" w:eastAsia="仿宋" w:hAnsi="Arial" w:cs="Arial"/>
                <w:sz w:val="18"/>
                <w:szCs w:val="18"/>
              </w:rPr>
              <w:t>、</w:t>
            </w:r>
            <w:r>
              <w:rPr>
                <w:rFonts w:ascii="Arial" w:eastAsia="仿宋" w:hAnsi="Arial" w:cs="Arial"/>
                <w:sz w:val="18"/>
                <w:szCs w:val="18"/>
              </w:rPr>
              <w:t>6056</w:t>
            </w:r>
            <w:r>
              <w:rPr>
                <w:rFonts w:ascii="Arial" w:eastAsia="仿宋" w:hAnsi="Arial" w:cs="Arial"/>
                <w:sz w:val="18"/>
                <w:szCs w:val="18"/>
              </w:rPr>
              <w:t>地块</w:t>
            </w: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p>
        </w:tc>
        <w:tc>
          <w:tcPr>
            <w:tcW w:w="2113" w:type="dxa"/>
            <w:tcBorders>
              <w:top w:val="nil"/>
              <w:left w:val="nil"/>
              <w:bottom w:val="single" w:sz="4" w:space="0" w:color="auto"/>
              <w:right w:val="single" w:sz="4" w:space="0" w:color="auto"/>
            </w:tcBorders>
            <w:vAlign w:val="center"/>
          </w:tcPr>
          <w:p w14:paraId="3327C727"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≤1.6</w:t>
            </w:r>
          </w:p>
        </w:tc>
        <w:tc>
          <w:tcPr>
            <w:tcW w:w="2092" w:type="dxa"/>
            <w:tcBorders>
              <w:top w:val="nil"/>
              <w:left w:val="nil"/>
              <w:bottom w:val="single" w:sz="4" w:space="0" w:color="auto"/>
              <w:right w:val="single" w:sz="4" w:space="0" w:color="auto"/>
            </w:tcBorders>
            <w:vAlign w:val="center"/>
          </w:tcPr>
          <w:p w14:paraId="180FFE95"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p>
        </w:tc>
        <w:tc>
          <w:tcPr>
            <w:tcW w:w="1521" w:type="dxa"/>
            <w:tcBorders>
              <w:top w:val="nil"/>
              <w:left w:val="nil"/>
              <w:bottom w:val="single" w:sz="4" w:space="0" w:color="auto"/>
              <w:right w:val="single" w:sz="4" w:space="0" w:color="auto"/>
            </w:tcBorders>
            <w:vAlign w:val="center"/>
          </w:tcPr>
          <w:p w14:paraId="38A664AF"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2021/1/26</w:t>
            </w:r>
          </w:p>
        </w:tc>
        <w:tc>
          <w:tcPr>
            <w:tcW w:w="1796" w:type="dxa"/>
            <w:tcBorders>
              <w:top w:val="nil"/>
              <w:left w:val="nil"/>
              <w:bottom w:val="single" w:sz="4" w:space="0" w:color="auto"/>
              <w:right w:val="single" w:sz="4" w:space="0" w:color="auto"/>
            </w:tcBorders>
            <w:vAlign w:val="center"/>
          </w:tcPr>
          <w:p w14:paraId="62715D25"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19271</w:t>
            </w:r>
          </w:p>
        </w:tc>
        <w:tc>
          <w:tcPr>
            <w:tcW w:w="1860" w:type="dxa"/>
            <w:tcBorders>
              <w:top w:val="nil"/>
              <w:left w:val="nil"/>
              <w:bottom w:val="single" w:sz="4" w:space="0" w:color="auto"/>
              <w:right w:val="single" w:sz="4" w:space="0" w:color="auto"/>
            </w:tcBorders>
            <w:vAlign w:val="center"/>
          </w:tcPr>
          <w:p w14:paraId="320F50E6"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22396</w:t>
            </w:r>
          </w:p>
        </w:tc>
      </w:tr>
      <w:tr w:rsidR="0062768B" w14:paraId="14CB7137" w14:textId="77777777">
        <w:trPr>
          <w:trHeight w:val="765"/>
          <w:jc w:val="center"/>
        </w:trPr>
        <w:tc>
          <w:tcPr>
            <w:tcW w:w="599" w:type="dxa"/>
            <w:tcBorders>
              <w:top w:val="nil"/>
              <w:left w:val="single" w:sz="4" w:space="0" w:color="auto"/>
              <w:bottom w:val="single" w:sz="4" w:space="0" w:color="auto"/>
              <w:right w:val="single" w:sz="4" w:space="0" w:color="auto"/>
            </w:tcBorders>
            <w:noWrap/>
            <w:vAlign w:val="center"/>
          </w:tcPr>
          <w:p w14:paraId="4BB624E4"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lastRenderedPageBreak/>
              <w:t>9</w:t>
            </w:r>
          </w:p>
        </w:tc>
        <w:tc>
          <w:tcPr>
            <w:tcW w:w="4589" w:type="dxa"/>
            <w:tcBorders>
              <w:top w:val="nil"/>
              <w:left w:val="nil"/>
              <w:bottom w:val="single" w:sz="4" w:space="0" w:color="auto"/>
              <w:right w:val="single" w:sz="4" w:space="0" w:color="auto"/>
            </w:tcBorders>
            <w:vAlign w:val="center"/>
          </w:tcPr>
          <w:p w14:paraId="25B220B0"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顺义区顺义新城第</w:t>
            </w:r>
            <w:r>
              <w:rPr>
                <w:rFonts w:ascii="Arial" w:eastAsia="仿宋" w:hAnsi="Arial" w:cs="Arial"/>
                <w:sz w:val="18"/>
                <w:szCs w:val="18"/>
              </w:rPr>
              <w:t>13</w:t>
            </w:r>
            <w:r>
              <w:rPr>
                <w:rFonts w:ascii="Arial" w:eastAsia="仿宋" w:hAnsi="Arial" w:cs="Arial"/>
                <w:sz w:val="18"/>
                <w:szCs w:val="18"/>
              </w:rPr>
              <w:t>街区</w:t>
            </w:r>
            <w:r>
              <w:rPr>
                <w:rFonts w:ascii="Arial" w:eastAsia="仿宋" w:hAnsi="Arial" w:cs="Arial"/>
                <w:sz w:val="18"/>
                <w:szCs w:val="18"/>
              </w:rPr>
              <w:t>SY00-0013-6060</w:t>
            </w:r>
            <w:r>
              <w:rPr>
                <w:rFonts w:ascii="Arial" w:eastAsia="仿宋" w:hAnsi="Arial" w:cs="Arial"/>
                <w:sz w:val="18"/>
                <w:szCs w:val="18"/>
              </w:rPr>
              <w:t>、</w:t>
            </w:r>
            <w:r>
              <w:rPr>
                <w:rFonts w:ascii="Arial" w:eastAsia="仿宋" w:hAnsi="Arial" w:cs="Arial"/>
                <w:sz w:val="18"/>
                <w:szCs w:val="18"/>
              </w:rPr>
              <w:t>6066</w:t>
            </w:r>
            <w:r>
              <w:rPr>
                <w:rFonts w:ascii="Arial" w:eastAsia="仿宋" w:hAnsi="Arial" w:cs="Arial"/>
                <w:sz w:val="18"/>
                <w:szCs w:val="18"/>
              </w:rPr>
              <w:t>、</w:t>
            </w:r>
            <w:r>
              <w:rPr>
                <w:rFonts w:ascii="Arial" w:eastAsia="仿宋" w:hAnsi="Arial" w:cs="Arial"/>
                <w:sz w:val="18"/>
                <w:szCs w:val="18"/>
              </w:rPr>
              <w:t>6067</w:t>
            </w:r>
            <w:r>
              <w:rPr>
                <w:rFonts w:ascii="Arial" w:eastAsia="仿宋" w:hAnsi="Arial" w:cs="Arial"/>
                <w:sz w:val="18"/>
                <w:szCs w:val="18"/>
              </w:rPr>
              <w:t>地块</w:t>
            </w: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r>
              <w:rPr>
                <w:rFonts w:ascii="Arial" w:eastAsia="仿宋" w:hAnsi="Arial" w:cs="Arial"/>
                <w:sz w:val="18"/>
                <w:szCs w:val="18"/>
              </w:rPr>
              <w:t>6058</w:t>
            </w:r>
            <w:r>
              <w:rPr>
                <w:rFonts w:ascii="Arial" w:eastAsia="仿宋" w:hAnsi="Arial" w:cs="Arial"/>
                <w:sz w:val="18"/>
                <w:szCs w:val="18"/>
              </w:rPr>
              <w:t>地块商业用地、</w:t>
            </w:r>
            <w:r>
              <w:rPr>
                <w:rFonts w:ascii="Arial" w:eastAsia="仿宋" w:hAnsi="Arial" w:cs="Arial"/>
                <w:sz w:val="18"/>
                <w:szCs w:val="18"/>
              </w:rPr>
              <w:t>6063</w:t>
            </w:r>
            <w:r>
              <w:rPr>
                <w:rFonts w:ascii="Arial" w:eastAsia="仿宋" w:hAnsi="Arial" w:cs="Arial"/>
                <w:sz w:val="18"/>
                <w:szCs w:val="18"/>
              </w:rPr>
              <w:t>地块综合性商业金融服务业用地、</w:t>
            </w:r>
            <w:r>
              <w:rPr>
                <w:rFonts w:ascii="Arial" w:eastAsia="仿宋" w:hAnsi="Arial" w:cs="Arial"/>
                <w:sz w:val="18"/>
                <w:szCs w:val="18"/>
              </w:rPr>
              <w:t>6065</w:t>
            </w:r>
            <w:r>
              <w:rPr>
                <w:rFonts w:ascii="Arial" w:eastAsia="仿宋" w:hAnsi="Arial" w:cs="Arial"/>
                <w:sz w:val="18"/>
                <w:szCs w:val="18"/>
              </w:rPr>
              <w:t>地块托幼用地</w:t>
            </w:r>
          </w:p>
        </w:tc>
        <w:tc>
          <w:tcPr>
            <w:tcW w:w="2113" w:type="dxa"/>
            <w:tcBorders>
              <w:top w:val="nil"/>
              <w:left w:val="nil"/>
              <w:bottom w:val="single" w:sz="4" w:space="0" w:color="auto"/>
              <w:right w:val="single" w:sz="4" w:space="0" w:color="auto"/>
            </w:tcBorders>
            <w:vAlign w:val="center"/>
          </w:tcPr>
          <w:p w14:paraId="3D9CBBF5"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sy00-0013-6060</w:t>
            </w:r>
            <w:r>
              <w:rPr>
                <w:rFonts w:ascii="Arial" w:eastAsia="仿宋" w:hAnsi="Arial" w:cs="Arial"/>
                <w:sz w:val="18"/>
                <w:szCs w:val="18"/>
              </w:rPr>
              <w:t>、</w:t>
            </w:r>
            <w:r>
              <w:rPr>
                <w:rFonts w:ascii="Arial" w:eastAsia="仿宋" w:hAnsi="Arial" w:cs="Arial"/>
                <w:sz w:val="18"/>
                <w:szCs w:val="18"/>
              </w:rPr>
              <w:t>6063≤2;sy00-0013-6066</w:t>
            </w:r>
            <w:r>
              <w:rPr>
                <w:rFonts w:ascii="Arial" w:eastAsia="仿宋" w:hAnsi="Arial" w:cs="Arial"/>
                <w:sz w:val="18"/>
                <w:szCs w:val="18"/>
              </w:rPr>
              <w:t>、</w:t>
            </w:r>
            <w:r>
              <w:rPr>
                <w:rFonts w:ascii="Arial" w:eastAsia="仿宋" w:hAnsi="Arial" w:cs="Arial"/>
                <w:sz w:val="18"/>
                <w:szCs w:val="18"/>
              </w:rPr>
              <w:t>6067≤1.6;sy00-0013-6058≤2.5;sy00-0013-6065≤0.8</w:t>
            </w:r>
          </w:p>
        </w:tc>
        <w:tc>
          <w:tcPr>
            <w:tcW w:w="2092" w:type="dxa"/>
            <w:tcBorders>
              <w:top w:val="nil"/>
              <w:left w:val="nil"/>
              <w:bottom w:val="single" w:sz="4" w:space="0" w:color="auto"/>
              <w:right w:val="single" w:sz="4" w:space="0" w:color="auto"/>
            </w:tcBorders>
            <w:vAlign w:val="center"/>
          </w:tcPr>
          <w:p w14:paraId="40E36C70"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类居住用地、商业用地、综合性商业金融服务业用地、托幼用地</w:t>
            </w:r>
          </w:p>
        </w:tc>
        <w:tc>
          <w:tcPr>
            <w:tcW w:w="1521" w:type="dxa"/>
            <w:tcBorders>
              <w:top w:val="nil"/>
              <w:left w:val="nil"/>
              <w:bottom w:val="single" w:sz="4" w:space="0" w:color="auto"/>
              <w:right w:val="single" w:sz="4" w:space="0" w:color="auto"/>
            </w:tcBorders>
            <w:vAlign w:val="center"/>
          </w:tcPr>
          <w:p w14:paraId="6FC3D4A2"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2021/1/26</w:t>
            </w:r>
          </w:p>
        </w:tc>
        <w:tc>
          <w:tcPr>
            <w:tcW w:w="1796" w:type="dxa"/>
            <w:tcBorders>
              <w:top w:val="nil"/>
              <w:left w:val="nil"/>
              <w:bottom w:val="single" w:sz="4" w:space="0" w:color="auto"/>
              <w:right w:val="single" w:sz="4" w:space="0" w:color="auto"/>
            </w:tcBorders>
            <w:vAlign w:val="center"/>
          </w:tcPr>
          <w:p w14:paraId="46C143C9"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19271</w:t>
            </w:r>
          </w:p>
        </w:tc>
        <w:tc>
          <w:tcPr>
            <w:tcW w:w="1860" w:type="dxa"/>
            <w:tcBorders>
              <w:top w:val="nil"/>
              <w:left w:val="nil"/>
              <w:bottom w:val="single" w:sz="4" w:space="0" w:color="auto"/>
              <w:right w:val="single" w:sz="4" w:space="0" w:color="auto"/>
            </w:tcBorders>
            <w:vAlign w:val="center"/>
          </w:tcPr>
          <w:p w14:paraId="7F525673"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19391</w:t>
            </w:r>
          </w:p>
        </w:tc>
      </w:tr>
      <w:tr w:rsidR="0062768B" w14:paraId="71DB96C7" w14:textId="77777777">
        <w:trPr>
          <w:trHeight w:val="1020"/>
          <w:jc w:val="center"/>
        </w:trPr>
        <w:tc>
          <w:tcPr>
            <w:tcW w:w="599" w:type="dxa"/>
            <w:tcBorders>
              <w:top w:val="nil"/>
              <w:left w:val="single" w:sz="4" w:space="0" w:color="auto"/>
              <w:bottom w:val="single" w:sz="4" w:space="0" w:color="auto"/>
              <w:right w:val="single" w:sz="4" w:space="0" w:color="auto"/>
            </w:tcBorders>
            <w:noWrap/>
            <w:vAlign w:val="center"/>
          </w:tcPr>
          <w:p w14:paraId="5BC31323"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10</w:t>
            </w:r>
          </w:p>
        </w:tc>
        <w:tc>
          <w:tcPr>
            <w:tcW w:w="4589" w:type="dxa"/>
            <w:tcBorders>
              <w:top w:val="nil"/>
              <w:left w:val="nil"/>
              <w:bottom w:val="single" w:sz="4" w:space="0" w:color="auto"/>
              <w:right w:val="single" w:sz="4" w:space="0" w:color="auto"/>
            </w:tcBorders>
            <w:vAlign w:val="center"/>
          </w:tcPr>
          <w:p w14:paraId="65C1FC7B"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顺义区仁和镇临河村棚户区改造土地开发</w:t>
            </w:r>
            <w:r>
              <w:rPr>
                <w:rFonts w:ascii="Arial" w:eastAsia="仿宋" w:hAnsi="Arial" w:cs="Arial"/>
                <w:sz w:val="18"/>
                <w:szCs w:val="18"/>
              </w:rPr>
              <w:t>C</w:t>
            </w:r>
            <w:r>
              <w:rPr>
                <w:rFonts w:ascii="Arial" w:eastAsia="仿宋" w:hAnsi="Arial" w:cs="Arial"/>
                <w:sz w:val="18"/>
                <w:szCs w:val="18"/>
              </w:rPr>
              <w:t>片区</w:t>
            </w:r>
            <w:r>
              <w:rPr>
                <w:rFonts w:ascii="Arial" w:eastAsia="仿宋" w:hAnsi="Arial" w:cs="Arial"/>
                <w:sz w:val="18"/>
                <w:szCs w:val="18"/>
              </w:rPr>
              <w:t>SY00-0007-6057</w:t>
            </w:r>
            <w:r>
              <w:rPr>
                <w:rFonts w:ascii="Arial" w:eastAsia="仿宋" w:hAnsi="Arial" w:cs="Arial"/>
                <w:sz w:val="18"/>
                <w:szCs w:val="18"/>
              </w:rPr>
              <w:t>等地块</w:t>
            </w: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类居住用地、商业用地、其他类多功能用地、公交场站设施用地和社区卫生服务中心用地</w:t>
            </w:r>
          </w:p>
        </w:tc>
        <w:tc>
          <w:tcPr>
            <w:tcW w:w="2113" w:type="dxa"/>
            <w:tcBorders>
              <w:top w:val="nil"/>
              <w:left w:val="nil"/>
              <w:bottom w:val="single" w:sz="4" w:space="0" w:color="auto"/>
              <w:right w:val="single" w:sz="4" w:space="0" w:color="auto"/>
            </w:tcBorders>
            <w:vAlign w:val="center"/>
          </w:tcPr>
          <w:p w14:paraId="5DFFE18F"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r2≤1.6,</w:t>
            </w:r>
            <w:r>
              <w:rPr>
                <w:rFonts w:ascii="Arial" w:eastAsia="仿宋" w:hAnsi="Arial" w:cs="Arial"/>
                <w:sz w:val="18"/>
                <w:szCs w:val="18"/>
              </w:rPr>
              <w:t>商业、多功能</w:t>
            </w:r>
            <w:r>
              <w:rPr>
                <w:rFonts w:ascii="Arial" w:eastAsia="仿宋" w:hAnsi="Arial" w:cs="Arial"/>
                <w:sz w:val="18"/>
                <w:szCs w:val="18"/>
              </w:rPr>
              <w:t>≤2.5,</w:t>
            </w:r>
            <w:r>
              <w:rPr>
                <w:rFonts w:ascii="Arial" w:eastAsia="仿宋" w:hAnsi="Arial" w:cs="Arial"/>
                <w:sz w:val="18"/>
                <w:szCs w:val="18"/>
              </w:rPr>
              <w:t>公交场站</w:t>
            </w:r>
            <w:r>
              <w:rPr>
                <w:rFonts w:ascii="Arial" w:eastAsia="仿宋" w:hAnsi="Arial" w:cs="Arial"/>
                <w:sz w:val="18"/>
                <w:szCs w:val="18"/>
              </w:rPr>
              <w:t>≤0.6,</w:t>
            </w:r>
            <w:r>
              <w:rPr>
                <w:rFonts w:ascii="Arial" w:eastAsia="仿宋" w:hAnsi="Arial" w:cs="Arial"/>
                <w:sz w:val="18"/>
                <w:szCs w:val="18"/>
              </w:rPr>
              <w:t>社区卫生</w:t>
            </w:r>
            <w:r>
              <w:rPr>
                <w:rFonts w:ascii="Arial" w:eastAsia="仿宋" w:hAnsi="Arial" w:cs="Arial"/>
                <w:sz w:val="18"/>
                <w:szCs w:val="18"/>
              </w:rPr>
              <w:t>≤0.8</w:t>
            </w:r>
          </w:p>
        </w:tc>
        <w:tc>
          <w:tcPr>
            <w:tcW w:w="2092" w:type="dxa"/>
            <w:tcBorders>
              <w:top w:val="nil"/>
              <w:left w:val="nil"/>
              <w:bottom w:val="single" w:sz="4" w:space="0" w:color="auto"/>
              <w:right w:val="single" w:sz="4" w:space="0" w:color="auto"/>
            </w:tcBorders>
            <w:vAlign w:val="center"/>
          </w:tcPr>
          <w:p w14:paraId="3C7D13D9"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类居住用地、商业用地、其他类多功能用地、公交场站设施用地、社区卫生服务中心用地</w:t>
            </w:r>
          </w:p>
        </w:tc>
        <w:tc>
          <w:tcPr>
            <w:tcW w:w="1521" w:type="dxa"/>
            <w:tcBorders>
              <w:top w:val="nil"/>
              <w:left w:val="nil"/>
              <w:bottom w:val="single" w:sz="4" w:space="0" w:color="auto"/>
              <w:right w:val="single" w:sz="4" w:space="0" w:color="auto"/>
            </w:tcBorders>
            <w:vAlign w:val="center"/>
          </w:tcPr>
          <w:p w14:paraId="256F5110"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2020/8/27</w:t>
            </w:r>
          </w:p>
        </w:tc>
        <w:tc>
          <w:tcPr>
            <w:tcW w:w="1796" w:type="dxa"/>
            <w:tcBorders>
              <w:top w:val="nil"/>
              <w:left w:val="nil"/>
              <w:bottom w:val="single" w:sz="4" w:space="0" w:color="auto"/>
              <w:right w:val="single" w:sz="4" w:space="0" w:color="auto"/>
            </w:tcBorders>
            <w:vAlign w:val="center"/>
          </w:tcPr>
          <w:p w14:paraId="3A859580"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18196</w:t>
            </w:r>
          </w:p>
        </w:tc>
        <w:tc>
          <w:tcPr>
            <w:tcW w:w="1860" w:type="dxa"/>
            <w:tcBorders>
              <w:top w:val="nil"/>
              <w:left w:val="nil"/>
              <w:bottom w:val="single" w:sz="4" w:space="0" w:color="auto"/>
              <w:right w:val="single" w:sz="4" w:space="0" w:color="auto"/>
            </w:tcBorders>
            <w:vAlign w:val="center"/>
          </w:tcPr>
          <w:p w14:paraId="31C51C4D"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18977</w:t>
            </w:r>
          </w:p>
        </w:tc>
      </w:tr>
      <w:tr w:rsidR="0062768B" w14:paraId="4E9BF197" w14:textId="77777777">
        <w:trPr>
          <w:trHeight w:val="765"/>
          <w:jc w:val="center"/>
        </w:trPr>
        <w:tc>
          <w:tcPr>
            <w:tcW w:w="599" w:type="dxa"/>
            <w:tcBorders>
              <w:top w:val="nil"/>
              <w:left w:val="single" w:sz="4" w:space="0" w:color="auto"/>
              <w:bottom w:val="single" w:sz="4" w:space="0" w:color="auto"/>
              <w:right w:val="single" w:sz="4" w:space="0" w:color="auto"/>
            </w:tcBorders>
            <w:noWrap/>
            <w:vAlign w:val="center"/>
          </w:tcPr>
          <w:p w14:paraId="10344436"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11</w:t>
            </w:r>
          </w:p>
        </w:tc>
        <w:tc>
          <w:tcPr>
            <w:tcW w:w="4589" w:type="dxa"/>
            <w:tcBorders>
              <w:top w:val="nil"/>
              <w:left w:val="nil"/>
              <w:bottom w:val="single" w:sz="4" w:space="0" w:color="auto"/>
              <w:right w:val="single" w:sz="4" w:space="0" w:color="auto"/>
            </w:tcBorders>
            <w:vAlign w:val="center"/>
          </w:tcPr>
          <w:p w14:paraId="40297F18"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顺义区仁和镇临河村棚户区改造土地开发</w:t>
            </w:r>
            <w:r>
              <w:rPr>
                <w:rFonts w:ascii="Arial" w:eastAsia="仿宋" w:hAnsi="Arial" w:cs="Arial"/>
                <w:sz w:val="18"/>
                <w:szCs w:val="18"/>
              </w:rPr>
              <w:t>B</w:t>
            </w:r>
            <w:r>
              <w:rPr>
                <w:rFonts w:ascii="Arial" w:eastAsia="仿宋" w:hAnsi="Arial" w:cs="Arial"/>
                <w:sz w:val="18"/>
                <w:szCs w:val="18"/>
              </w:rPr>
              <w:t>片区</w:t>
            </w:r>
            <w:r>
              <w:rPr>
                <w:rFonts w:ascii="Arial" w:eastAsia="仿宋" w:hAnsi="Arial" w:cs="Arial"/>
                <w:sz w:val="18"/>
                <w:szCs w:val="18"/>
              </w:rPr>
              <w:t>SY00-0007-6080</w:t>
            </w:r>
            <w:r>
              <w:rPr>
                <w:rFonts w:ascii="Arial" w:eastAsia="仿宋" w:hAnsi="Arial" w:cs="Arial"/>
                <w:sz w:val="18"/>
                <w:szCs w:val="18"/>
              </w:rPr>
              <w:t>、</w:t>
            </w:r>
            <w:r>
              <w:rPr>
                <w:rFonts w:ascii="Arial" w:eastAsia="仿宋" w:hAnsi="Arial" w:cs="Arial"/>
                <w:sz w:val="18"/>
                <w:szCs w:val="18"/>
              </w:rPr>
              <w:t>6081</w:t>
            </w:r>
            <w:r>
              <w:rPr>
                <w:rFonts w:ascii="Arial" w:eastAsia="仿宋" w:hAnsi="Arial" w:cs="Arial"/>
                <w:sz w:val="18"/>
                <w:szCs w:val="18"/>
              </w:rPr>
              <w:t>、</w:t>
            </w:r>
            <w:r>
              <w:rPr>
                <w:rFonts w:ascii="Arial" w:eastAsia="仿宋" w:hAnsi="Arial" w:cs="Arial"/>
                <w:sz w:val="18"/>
                <w:szCs w:val="18"/>
              </w:rPr>
              <w:t>6082</w:t>
            </w:r>
            <w:r>
              <w:rPr>
                <w:rFonts w:ascii="Arial" w:eastAsia="仿宋" w:hAnsi="Arial" w:cs="Arial"/>
                <w:sz w:val="18"/>
                <w:szCs w:val="18"/>
              </w:rPr>
              <w:t>、</w:t>
            </w:r>
            <w:r>
              <w:rPr>
                <w:rFonts w:ascii="Arial" w:eastAsia="仿宋" w:hAnsi="Arial" w:cs="Arial"/>
                <w:sz w:val="18"/>
                <w:szCs w:val="18"/>
              </w:rPr>
              <w:t>6084</w:t>
            </w:r>
            <w:r>
              <w:rPr>
                <w:rFonts w:ascii="Arial" w:eastAsia="仿宋" w:hAnsi="Arial" w:cs="Arial"/>
                <w:sz w:val="18"/>
                <w:szCs w:val="18"/>
              </w:rPr>
              <w:t>、</w:t>
            </w:r>
            <w:r>
              <w:rPr>
                <w:rFonts w:ascii="Arial" w:eastAsia="仿宋" w:hAnsi="Arial" w:cs="Arial"/>
                <w:sz w:val="18"/>
                <w:szCs w:val="18"/>
              </w:rPr>
              <w:t>6086</w:t>
            </w:r>
            <w:r>
              <w:rPr>
                <w:rFonts w:ascii="Arial" w:eastAsia="仿宋" w:hAnsi="Arial" w:cs="Arial"/>
                <w:sz w:val="18"/>
                <w:szCs w:val="18"/>
              </w:rPr>
              <w:t>地块</w:t>
            </w: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类居住用地、商业用地</w:t>
            </w:r>
          </w:p>
        </w:tc>
        <w:tc>
          <w:tcPr>
            <w:tcW w:w="2113" w:type="dxa"/>
            <w:tcBorders>
              <w:top w:val="nil"/>
              <w:left w:val="nil"/>
              <w:bottom w:val="single" w:sz="4" w:space="0" w:color="auto"/>
              <w:right w:val="single" w:sz="4" w:space="0" w:color="auto"/>
            </w:tcBorders>
            <w:vAlign w:val="center"/>
          </w:tcPr>
          <w:p w14:paraId="12FD8D65"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r2≤1.6,</w:t>
            </w:r>
            <w:r>
              <w:rPr>
                <w:rFonts w:ascii="Arial" w:eastAsia="仿宋" w:hAnsi="Arial" w:cs="Arial"/>
                <w:sz w:val="18"/>
                <w:szCs w:val="18"/>
              </w:rPr>
              <w:t>商业</w:t>
            </w:r>
            <w:r>
              <w:rPr>
                <w:rFonts w:ascii="Arial" w:eastAsia="仿宋" w:hAnsi="Arial" w:cs="Arial"/>
                <w:sz w:val="18"/>
                <w:szCs w:val="18"/>
              </w:rPr>
              <w:t>≤2.5</w:t>
            </w:r>
          </w:p>
        </w:tc>
        <w:tc>
          <w:tcPr>
            <w:tcW w:w="2092" w:type="dxa"/>
            <w:tcBorders>
              <w:top w:val="nil"/>
              <w:left w:val="nil"/>
              <w:bottom w:val="single" w:sz="4" w:space="0" w:color="auto"/>
              <w:right w:val="single" w:sz="4" w:space="0" w:color="auto"/>
            </w:tcBorders>
            <w:vAlign w:val="center"/>
          </w:tcPr>
          <w:p w14:paraId="24260EB8"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类居住用地、商业用地</w:t>
            </w:r>
          </w:p>
        </w:tc>
        <w:tc>
          <w:tcPr>
            <w:tcW w:w="1521" w:type="dxa"/>
            <w:tcBorders>
              <w:top w:val="nil"/>
              <w:left w:val="nil"/>
              <w:bottom w:val="single" w:sz="4" w:space="0" w:color="auto"/>
              <w:right w:val="single" w:sz="4" w:space="0" w:color="auto"/>
            </w:tcBorders>
            <w:vAlign w:val="center"/>
          </w:tcPr>
          <w:p w14:paraId="630F7711"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2020/8/27</w:t>
            </w:r>
          </w:p>
        </w:tc>
        <w:tc>
          <w:tcPr>
            <w:tcW w:w="1796" w:type="dxa"/>
            <w:tcBorders>
              <w:top w:val="nil"/>
              <w:left w:val="nil"/>
              <w:bottom w:val="single" w:sz="4" w:space="0" w:color="auto"/>
              <w:right w:val="single" w:sz="4" w:space="0" w:color="auto"/>
            </w:tcBorders>
            <w:vAlign w:val="center"/>
          </w:tcPr>
          <w:p w14:paraId="6357B94A"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17867</w:t>
            </w:r>
          </w:p>
        </w:tc>
        <w:tc>
          <w:tcPr>
            <w:tcW w:w="1860" w:type="dxa"/>
            <w:tcBorders>
              <w:top w:val="nil"/>
              <w:left w:val="nil"/>
              <w:bottom w:val="single" w:sz="4" w:space="0" w:color="auto"/>
              <w:right w:val="single" w:sz="4" w:space="0" w:color="auto"/>
            </w:tcBorders>
            <w:vAlign w:val="center"/>
          </w:tcPr>
          <w:p w14:paraId="376C3E39"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19440</w:t>
            </w:r>
          </w:p>
        </w:tc>
      </w:tr>
      <w:tr w:rsidR="0062768B" w14:paraId="5CC7C777" w14:textId="77777777">
        <w:trPr>
          <w:trHeight w:val="765"/>
          <w:jc w:val="center"/>
        </w:trPr>
        <w:tc>
          <w:tcPr>
            <w:tcW w:w="599" w:type="dxa"/>
            <w:tcBorders>
              <w:top w:val="nil"/>
              <w:left w:val="single" w:sz="4" w:space="0" w:color="auto"/>
              <w:bottom w:val="single" w:sz="4" w:space="0" w:color="auto"/>
              <w:right w:val="single" w:sz="4" w:space="0" w:color="auto"/>
            </w:tcBorders>
            <w:noWrap/>
            <w:vAlign w:val="center"/>
          </w:tcPr>
          <w:p w14:paraId="4F900260"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12</w:t>
            </w:r>
          </w:p>
        </w:tc>
        <w:tc>
          <w:tcPr>
            <w:tcW w:w="4589" w:type="dxa"/>
            <w:tcBorders>
              <w:top w:val="nil"/>
              <w:left w:val="nil"/>
              <w:bottom w:val="single" w:sz="4" w:space="0" w:color="auto"/>
              <w:right w:val="single" w:sz="4" w:space="0" w:color="auto"/>
            </w:tcBorders>
            <w:vAlign w:val="center"/>
          </w:tcPr>
          <w:p w14:paraId="62B7F284"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顺义区仁和镇临河村棚户区改造土地开发</w:t>
            </w:r>
            <w:r>
              <w:rPr>
                <w:rFonts w:ascii="Arial" w:eastAsia="仿宋" w:hAnsi="Arial" w:cs="Arial"/>
                <w:sz w:val="18"/>
                <w:szCs w:val="18"/>
              </w:rPr>
              <w:t>B</w:t>
            </w:r>
            <w:r>
              <w:rPr>
                <w:rFonts w:ascii="Arial" w:eastAsia="仿宋" w:hAnsi="Arial" w:cs="Arial"/>
                <w:sz w:val="18"/>
                <w:szCs w:val="18"/>
              </w:rPr>
              <w:t>片区</w:t>
            </w:r>
            <w:r>
              <w:rPr>
                <w:rFonts w:ascii="Arial" w:eastAsia="仿宋" w:hAnsi="Arial" w:cs="Arial"/>
                <w:sz w:val="18"/>
                <w:szCs w:val="18"/>
              </w:rPr>
              <w:t>SY00-0007-6072</w:t>
            </w:r>
            <w:r>
              <w:rPr>
                <w:rFonts w:ascii="Arial" w:eastAsia="仿宋" w:hAnsi="Arial" w:cs="Arial"/>
                <w:sz w:val="18"/>
                <w:szCs w:val="18"/>
              </w:rPr>
              <w:t>、</w:t>
            </w:r>
            <w:r>
              <w:rPr>
                <w:rFonts w:ascii="Arial" w:eastAsia="仿宋" w:hAnsi="Arial" w:cs="Arial"/>
                <w:sz w:val="18"/>
                <w:szCs w:val="18"/>
              </w:rPr>
              <w:t>6073</w:t>
            </w:r>
            <w:r>
              <w:rPr>
                <w:rFonts w:ascii="Arial" w:eastAsia="仿宋" w:hAnsi="Arial" w:cs="Arial"/>
                <w:sz w:val="18"/>
                <w:szCs w:val="18"/>
              </w:rPr>
              <w:t>、</w:t>
            </w:r>
            <w:r>
              <w:rPr>
                <w:rFonts w:ascii="Arial" w:eastAsia="仿宋" w:hAnsi="Arial" w:cs="Arial"/>
                <w:sz w:val="18"/>
                <w:szCs w:val="18"/>
              </w:rPr>
              <w:t>6075</w:t>
            </w:r>
            <w:r>
              <w:rPr>
                <w:rFonts w:ascii="Arial" w:eastAsia="仿宋" w:hAnsi="Arial" w:cs="Arial"/>
                <w:sz w:val="18"/>
                <w:szCs w:val="18"/>
              </w:rPr>
              <w:t>、</w:t>
            </w:r>
            <w:r>
              <w:rPr>
                <w:rFonts w:ascii="Arial" w:eastAsia="仿宋" w:hAnsi="Arial" w:cs="Arial"/>
                <w:sz w:val="18"/>
                <w:szCs w:val="18"/>
              </w:rPr>
              <w:t>6076</w:t>
            </w:r>
            <w:r>
              <w:rPr>
                <w:rFonts w:ascii="Arial" w:eastAsia="仿宋" w:hAnsi="Arial" w:cs="Arial"/>
                <w:sz w:val="18"/>
                <w:szCs w:val="18"/>
              </w:rPr>
              <w:t>、</w:t>
            </w:r>
            <w:r>
              <w:rPr>
                <w:rFonts w:ascii="Arial" w:eastAsia="仿宋" w:hAnsi="Arial" w:cs="Arial"/>
                <w:sz w:val="18"/>
                <w:szCs w:val="18"/>
              </w:rPr>
              <w:t>6078</w:t>
            </w:r>
            <w:r>
              <w:rPr>
                <w:rFonts w:ascii="Arial" w:eastAsia="仿宋" w:hAnsi="Arial" w:cs="Arial"/>
                <w:sz w:val="18"/>
                <w:szCs w:val="18"/>
              </w:rPr>
              <w:t>地块</w:t>
            </w: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类居住用地、托幼用地</w:t>
            </w:r>
          </w:p>
        </w:tc>
        <w:tc>
          <w:tcPr>
            <w:tcW w:w="2113" w:type="dxa"/>
            <w:tcBorders>
              <w:top w:val="nil"/>
              <w:left w:val="nil"/>
              <w:bottom w:val="single" w:sz="4" w:space="0" w:color="auto"/>
              <w:right w:val="single" w:sz="4" w:space="0" w:color="auto"/>
            </w:tcBorders>
            <w:vAlign w:val="center"/>
          </w:tcPr>
          <w:p w14:paraId="45DFA365"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r2≤1.6,</w:t>
            </w:r>
            <w:r>
              <w:rPr>
                <w:rFonts w:ascii="Arial" w:eastAsia="仿宋" w:hAnsi="Arial" w:cs="Arial"/>
                <w:sz w:val="18"/>
                <w:szCs w:val="18"/>
              </w:rPr>
              <w:t>幼托</w:t>
            </w:r>
            <w:r>
              <w:rPr>
                <w:rFonts w:ascii="Arial" w:eastAsia="仿宋" w:hAnsi="Arial" w:cs="Arial"/>
                <w:sz w:val="18"/>
                <w:szCs w:val="18"/>
              </w:rPr>
              <w:t>≤0.8</w:t>
            </w:r>
          </w:p>
        </w:tc>
        <w:tc>
          <w:tcPr>
            <w:tcW w:w="2092" w:type="dxa"/>
            <w:tcBorders>
              <w:top w:val="nil"/>
              <w:left w:val="nil"/>
              <w:bottom w:val="single" w:sz="4" w:space="0" w:color="auto"/>
              <w:right w:val="single" w:sz="4" w:space="0" w:color="auto"/>
            </w:tcBorders>
            <w:vAlign w:val="center"/>
          </w:tcPr>
          <w:p w14:paraId="2F8C33AE"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类居住用地、托幼用地</w:t>
            </w:r>
          </w:p>
        </w:tc>
        <w:tc>
          <w:tcPr>
            <w:tcW w:w="1521" w:type="dxa"/>
            <w:tcBorders>
              <w:top w:val="nil"/>
              <w:left w:val="nil"/>
              <w:bottom w:val="single" w:sz="4" w:space="0" w:color="auto"/>
              <w:right w:val="single" w:sz="4" w:space="0" w:color="auto"/>
            </w:tcBorders>
            <w:vAlign w:val="center"/>
          </w:tcPr>
          <w:p w14:paraId="30A779D2"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2020/8/27</w:t>
            </w:r>
          </w:p>
        </w:tc>
        <w:tc>
          <w:tcPr>
            <w:tcW w:w="1796" w:type="dxa"/>
            <w:tcBorders>
              <w:top w:val="nil"/>
              <w:left w:val="nil"/>
              <w:bottom w:val="single" w:sz="4" w:space="0" w:color="auto"/>
              <w:right w:val="single" w:sz="4" w:space="0" w:color="auto"/>
            </w:tcBorders>
            <w:vAlign w:val="center"/>
          </w:tcPr>
          <w:p w14:paraId="23F93E70"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17867</w:t>
            </w:r>
          </w:p>
        </w:tc>
        <w:tc>
          <w:tcPr>
            <w:tcW w:w="1860" w:type="dxa"/>
            <w:tcBorders>
              <w:top w:val="nil"/>
              <w:left w:val="nil"/>
              <w:bottom w:val="single" w:sz="4" w:space="0" w:color="auto"/>
              <w:right w:val="single" w:sz="4" w:space="0" w:color="auto"/>
            </w:tcBorders>
            <w:vAlign w:val="center"/>
          </w:tcPr>
          <w:p w14:paraId="2BDD1DAA"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22085</w:t>
            </w:r>
          </w:p>
        </w:tc>
      </w:tr>
      <w:tr w:rsidR="0062768B" w14:paraId="141FB892" w14:textId="77777777">
        <w:trPr>
          <w:trHeight w:val="765"/>
          <w:jc w:val="center"/>
        </w:trPr>
        <w:tc>
          <w:tcPr>
            <w:tcW w:w="599" w:type="dxa"/>
            <w:tcBorders>
              <w:top w:val="nil"/>
              <w:left w:val="single" w:sz="4" w:space="0" w:color="auto"/>
              <w:bottom w:val="single" w:sz="4" w:space="0" w:color="auto"/>
              <w:right w:val="single" w:sz="4" w:space="0" w:color="auto"/>
            </w:tcBorders>
            <w:noWrap/>
            <w:vAlign w:val="center"/>
          </w:tcPr>
          <w:p w14:paraId="773C0FB9"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13</w:t>
            </w:r>
          </w:p>
        </w:tc>
        <w:tc>
          <w:tcPr>
            <w:tcW w:w="4589" w:type="dxa"/>
            <w:tcBorders>
              <w:top w:val="nil"/>
              <w:left w:val="nil"/>
              <w:bottom w:val="single" w:sz="4" w:space="0" w:color="auto"/>
              <w:right w:val="single" w:sz="4" w:space="0" w:color="auto"/>
            </w:tcBorders>
            <w:vAlign w:val="center"/>
          </w:tcPr>
          <w:p w14:paraId="563410D6"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顺义区顺义新城第</w:t>
            </w:r>
            <w:r>
              <w:rPr>
                <w:rFonts w:ascii="Arial" w:eastAsia="仿宋" w:hAnsi="Arial" w:cs="Arial"/>
                <w:sz w:val="18"/>
                <w:szCs w:val="18"/>
              </w:rPr>
              <w:t>13</w:t>
            </w:r>
            <w:r>
              <w:rPr>
                <w:rFonts w:ascii="Arial" w:eastAsia="仿宋" w:hAnsi="Arial" w:cs="Arial"/>
                <w:sz w:val="18"/>
                <w:szCs w:val="18"/>
              </w:rPr>
              <w:t>街区</w:t>
            </w:r>
            <w:r>
              <w:rPr>
                <w:rFonts w:ascii="Arial" w:eastAsia="仿宋" w:hAnsi="Arial" w:cs="Arial"/>
                <w:sz w:val="18"/>
                <w:szCs w:val="18"/>
              </w:rPr>
              <w:t>SY00-0013-6039</w:t>
            </w:r>
            <w:r>
              <w:rPr>
                <w:rFonts w:ascii="Arial" w:eastAsia="仿宋" w:hAnsi="Arial" w:cs="Arial"/>
                <w:sz w:val="18"/>
                <w:szCs w:val="18"/>
              </w:rPr>
              <w:t>等地块</w:t>
            </w: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类居住用地、康复护理用地和医院用地</w:t>
            </w:r>
          </w:p>
        </w:tc>
        <w:tc>
          <w:tcPr>
            <w:tcW w:w="2113" w:type="dxa"/>
            <w:tcBorders>
              <w:top w:val="nil"/>
              <w:left w:val="nil"/>
              <w:bottom w:val="single" w:sz="4" w:space="0" w:color="auto"/>
              <w:right w:val="single" w:sz="4" w:space="0" w:color="auto"/>
            </w:tcBorders>
            <w:vAlign w:val="center"/>
          </w:tcPr>
          <w:p w14:paraId="2676B97C"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r2</w:t>
            </w:r>
            <w:r>
              <w:rPr>
                <w:rFonts w:ascii="Arial" w:eastAsia="仿宋" w:hAnsi="Arial" w:cs="Arial"/>
                <w:sz w:val="18"/>
                <w:szCs w:val="18"/>
              </w:rPr>
              <w:t>、医院</w:t>
            </w:r>
            <w:r>
              <w:rPr>
                <w:rFonts w:ascii="Arial" w:eastAsia="仿宋" w:hAnsi="Arial" w:cs="Arial"/>
                <w:sz w:val="18"/>
                <w:szCs w:val="18"/>
              </w:rPr>
              <w:t>≤1.6,</w:t>
            </w:r>
            <w:r>
              <w:rPr>
                <w:rFonts w:ascii="Arial" w:eastAsia="仿宋" w:hAnsi="Arial" w:cs="Arial"/>
                <w:sz w:val="18"/>
                <w:szCs w:val="18"/>
              </w:rPr>
              <w:t>康复</w:t>
            </w:r>
            <w:r>
              <w:rPr>
                <w:rFonts w:ascii="Arial" w:eastAsia="仿宋" w:hAnsi="Arial" w:cs="Arial"/>
                <w:sz w:val="18"/>
                <w:szCs w:val="18"/>
              </w:rPr>
              <w:t>≤0.8</w:t>
            </w:r>
          </w:p>
        </w:tc>
        <w:tc>
          <w:tcPr>
            <w:tcW w:w="2092" w:type="dxa"/>
            <w:tcBorders>
              <w:top w:val="nil"/>
              <w:left w:val="nil"/>
              <w:bottom w:val="single" w:sz="4" w:space="0" w:color="auto"/>
              <w:right w:val="single" w:sz="4" w:space="0" w:color="auto"/>
            </w:tcBorders>
            <w:vAlign w:val="center"/>
          </w:tcPr>
          <w:p w14:paraId="33B6986C"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类居住用地、康复护理、医院用地</w:t>
            </w:r>
          </w:p>
        </w:tc>
        <w:tc>
          <w:tcPr>
            <w:tcW w:w="1521" w:type="dxa"/>
            <w:tcBorders>
              <w:top w:val="nil"/>
              <w:left w:val="nil"/>
              <w:bottom w:val="single" w:sz="4" w:space="0" w:color="auto"/>
              <w:right w:val="single" w:sz="4" w:space="0" w:color="auto"/>
            </w:tcBorders>
            <w:vAlign w:val="center"/>
          </w:tcPr>
          <w:p w14:paraId="7F0240EC"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2020/5/9</w:t>
            </w:r>
          </w:p>
        </w:tc>
        <w:tc>
          <w:tcPr>
            <w:tcW w:w="1796" w:type="dxa"/>
            <w:tcBorders>
              <w:top w:val="nil"/>
              <w:left w:val="nil"/>
              <w:bottom w:val="single" w:sz="4" w:space="0" w:color="auto"/>
              <w:right w:val="single" w:sz="4" w:space="0" w:color="auto"/>
            </w:tcBorders>
            <w:vAlign w:val="center"/>
          </w:tcPr>
          <w:p w14:paraId="148187D6"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20324</w:t>
            </w:r>
          </w:p>
        </w:tc>
        <w:tc>
          <w:tcPr>
            <w:tcW w:w="1860" w:type="dxa"/>
            <w:tcBorders>
              <w:top w:val="nil"/>
              <w:left w:val="nil"/>
              <w:bottom w:val="single" w:sz="4" w:space="0" w:color="auto"/>
              <w:right w:val="single" w:sz="4" w:space="0" w:color="auto"/>
            </w:tcBorders>
            <w:vAlign w:val="center"/>
          </w:tcPr>
          <w:p w14:paraId="4844D803"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24433</w:t>
            </w:r>
          </w:p>
        </w:tc>
      </w:tr>
      <w:tr w:rsidR="0062768B" w14:paraId="67559B39" w14:textId="77777777">
        <w:trPr>
          <w:trHeight w:val="510"/>
          <w:jc w:val="center"/>
        </w:trPr>
        <w:tc>
          <w:tcPr>
            <w:tcW w:w="599" w:type="dxa"/>
            <w:tcBorders>
              <w:top w:val="single" w:sz="4" w:space="0" w:color="auto"/>
              <w:left w:val="single" w:sz="4" w:space="0" w:color="auto"/>
              <w:bottom w:val="single" w:sz="4" w:space="0" w:color="auto"/>
              <w:right w:val="single" w:sz="4" w:space="0" w:color="auto"/>
            </w:tcBorders>
            <w:noWrap/>
            <w:vAlign w:val="center"/>
          </w:tcPr>
          <w:p w14:paraId="1FF86579"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14</w:t>
            </w:r>
          </w:p>
        </w:tc>
        <w:tc>
          <w:tcPr>
            <w:tcW w:w="4589" w:type="dxa"/>
            <w:tcBorders>
              <w:top w:val="single" w:sz="4" w:space="0" w:color="auto"/>
              <w:left w:val="nil"/>
              <w:bottom w:val="single" w:sz="4" w:space="0" w:color="auto"/>
              <w:right w:val="single" w:sz="4" w:space="0" w:color="auto"/>
            </w:tcBorders>
            <w:vAlign w:val="center"/>
          </w:tcPr>
          <w:p w14:paraId="1759A1C9"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顺义区顺义新城第</w:t>
            </w:r>
            <w:r>
              <w:rPr>
                <w:rFonts w:ascii="Arial" w:eastAsia="仿宋" w:hAnsi="Arial" w:cs="Arial"/>
                <w:sz w:val="18"/>
                <w:szCs w:val="18"/>
              </w:rPr>
              <w:t>13</w:t>
            </w:r>
            <w:r>
              <w:rPr>
                <w:rFonts w:ascii="Arial" w:eastAsia="仿宋" w:hAnsi="Arial" w:cs="Arial"/>
                <w:sz w:val="18"/>
                <w:szCs w:val="18"/>
              </w:rPr>
              <w:t>街区</w:t>
            </w:r>
            <w:r>
              <w:rPr>
                <w:rFonts w:ascii="Arial" w:eastAsia="仿宋" w:hAnsi="Arial" w:cs="Arial"/>
                <w:sz w:val="18"/>
                <w:szCs w:val="18"/>
              </w:rPr>
              <w:t>SY00-0013-6028</w:t>
            </w:r>
            <w:r>
              <w:rPr>
                <w:rFonts w:ascii="Arial" w:eastAsia="仿宋" w:hAnsi="Arial" w:cs="Arial"/>
                <w:sz w:val="18"/>
                <w:szCs w:val="18"/>
              </w:rPr>
              <w:t>等地块</w:t>
            </w: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类居住用地、托幼用地、文化活动用地和综合性商业金融服务业用地</w:t>
            </w:r>
          </w:p>
        </w:tc>
        <w:tc>
          <w:tcPr>
            <w:tcW w:w="2113" w:type="dxa"/>
            <w:tcBorders>
              <w:top w:val="single" w:sz="4" w:space="0" w:color="auto"/>
              <w:left w:val="nil"/>
              <w:bottom w:val="single" w:sz="4" w:space="0" w:color="auto"/>
              <w:right w:val="single" w:sz="4" w:space="0" w:color="auto"/>
            </w:tcBorders>
            <w:vAlign w:val="center"/>
          </w:tcPr>
          <w:p w14:paraId="64A052CA"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r2≤1.6,</w:t>
            </w:r>
            <w:r>
              <w:rPr>
                <w:rFonts w:ascii="Arial" w:eastAsia="仿宋" w:hAnsi="Arial" w:cs="Arial"/>
                <w:sz w:val="18"/>
                <w:szCs w:val="18"/>
              </w:rPr>
              <w:t>幼托</w:t>
            </w:r>
            <w:r>
              <w:rPr>
                <w:rFonts w:ascii="Arial" w:eastAsia="仿宋" w:hAnsi="Arial" w:cs="Arial"/>
                <w:sz w:val="18"/>
                <w:szCs w:val="18"/>
              </w:rPr>
              <w:t>≤0.8,</w:t>
            </w:r>
            <w:r>
              <w:rPr>
                <w:rFonts w:ascii="Arial" w:eastAsia="仿宋" w:hAnsi="Arial" w:cs="Arial"/>
                <w:sz w:val="18"/>
                <w:szCs w:val="18"/>
              </w:rPr>
              <w:t>文化活动</w:t>
            </w:r>
            <w:r>
              <w:rPr>
                <w:rFonts w:ascii="Arial" w:eastAsia="仿宋" w:hAnsi="Arial" w:cs="Arial"/>
                <w:sz w:val="18"/>
                <w:szCs w:val="18"/>
              </w:rPr>
              <w:t>≤1.2,</w:t>
            </w:r>
            <w:r>
              <w:rPr>
                <w:rFonts w:ascii="Arial" w:eastAsia="仿宋" w:hAnsi="Arial" w:cs="Arial"/>
                <w:sz w:val="18"/>
                <w:szCs w:val="18"/>
              </w:rPr>
              <w:t>商业金融</w:t>
            </w:r>
            <w:r>
              <w:rPr>
                <w:rFonts w:ascii="Arial" w:eastAsia="仿宋" w:hAnsi="Arial" w:cs="Arial"/>
                <w:sz w:val="18"/>
                <w:szCs w:val="18"/>
              </w:rPr>
              <w:t>≤1.8</w:t>
            </w:r>
          </w:p>
        </w:tc>
        <w:tc>
          <w:tcPr>
            <w:tcW w:w="2092" w:type="dxa"/>
            <w:tcBorders>
              <w:top w:val="single" w:sz="4" w:space="0" w:color="auto"/>
              <w:left w:val="nil"/>
              <w:bottom w:val="single" w:sz="4" w:space="0" w:color="auto"/>
              <w:right w:val="single" w:sz="4" w:space="0" w:color="auto"/>
            </w:tcBorders>
            <w:vAlign w:val="center"/>
          </w:tcPr>
          <w:p w14:paraId="7595071E"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类居住用地、托幼用地、文化活动用地、综合性商业金融服务业用地</w:t>
            </w:r>
          </w:p>
        </w:tc>
        <w:tc>
          <w:tcPr>
            <w:tcW w:w="1521" w:type="dxa"/>
            <w:tcBorders>
              <w:top w:val="single" w:sz="4" w:space="0" w:color="auto"/>
              <w:left w:val="nil"/>
              <w:bottom w:val="single" w:sz="4" w:space="0" w:color="auto"/>
              <w:right w:val="single" w:sz="4" w:space="0" w:color="auto"/>
            </w:tcBorders>
            <w:vAlign w:val="center"/>
          </w:tcPr>
          <w:p w14:paraId="713EEDC6"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2020/5/9</w:t>
            </w:r>
          </w:p>
        </w:tc>
        <w:tc>
          <w:tcPr>
            <w:tcW w:w="1796" w:type="dxa"/>
            <w:tcBorders>
              <w:top w:val="single" w:sz="4" w:space="0" w:color="auto"/>
              <w:left w:val="nil"/>
              <w:bottom w:val="single" w:sz="4" w:space="0" w:color="auto"/>
              <w:right w:val="single" w:sz="4" w:space="0" w:color="auto"/>
            </w:tcBorders>
            <w:vAlign w:val="center"/>
          </w:tcPr>
          <w:p w14:paraId="1634CA15"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20087</w:t>
            </w:r>
          </w:p>
        </w:tc>
        <w:tc>
          <w:tcPr>
            <w:tcW w:w="1860" w:type="dxa"/>
            <w:tcBorders>
              <w:top w:val="single" w:sz="4" w:space="0" w:color="auto"/>
              <w:left w:val="nil"/>
              <w:bottom w:val="single" w:sz="4" w:space="0" w:color="auto"/>
              <w:right w:val="single" w:sz="4" w:space="0" w:color="auto"/>
            </w:tcBorders>
            <w:vAlign w:val="center"/>
          </w:tcPr>
          <w:p w14:paraId="02393291"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20645</w:t>
            </w:r>
          </w:p>
        </w:tc>
      </w:tr>
    </w:tbl>
    <w:p w14:paraId="5A30BC8A" w14:textId="77777777" w:rsidR="0062768B" w:rsidRDefault="0062768B">
      <w:pPr>
        <w:snapToGrid w:val="0"/>
        <w:spacing w:line="300" w:lineRule="auto"/>
        <w:ind w:firstLine="556"/>
        <w:rPr>
          <w:rFonts w:ascii="Arial" w:eastAsia="仿宋_GB2312" w:hAnsi="Arial" w:cs="Arial"/>
          <w:sz w:val="28"/>
        </w:rPr>
        <w:sectPr w:rsidR="0062768B">
          <w:type w:val="nextColumn"/>
          <w:pgSz w:w="16838" w:h="11906" w:orient="landscape"/>
          <w:pgMar w:top="1418" w:right="1418" w:bottom="1134" w:left="1418" w:header="851" w:footer="992" w:gutter="0"/>
          <w:cols w:space="720"/>
          <w:docGrid w:linePitch="312"/>
        </w:sectPr>
      </w:pPr>
    </w:p>
    <w:p w14:paraId="1ABDDB05" w14:textId="77777777" w:rsidR="0062768B" w:rsidRDefault="00136729">
      <w:pPr>
        <w:snapToGrid w:val="0"/>
        <w:spacing w:line="300" w:lineRule="auto"/>
        <w:ind w:firstLine="556"/>
        <w:jc w:val="both"/>
        <w:rPr>
          <w:rFonts w:ascii="Arial" w:eastAsia="仿宋" w:hAnsi="Arial" w:cs="Arial"/>
          <w:sz w:val="28"/>
        </w:rPr>
      </w:pPr>
      <w:r>
        <w:rPr>
          <w:rFonts w:ascii="Arial" w:eastAsia="仿宋" w:hAnsi="Arial" w:cs="Arial"/>
          <w:sz w:val="28"/>
        </w:rPr>
        <w:lastRenderedPageBreak/>
        <w:t>近三年（</w:t>
      </w:r>
      <w:r>
        <w:rPr>
          <w:rFonts w:ascii="Arial" w:eastAsia="仿宋" w:hAnsi="Arial" w:cs="Arial"/>
          <w:sz w:val="28"/>
        </w:rPr>
        <w:t>2020-2022</w:t>
      </w:r>
      <w:r>
        <w:rPr>
          <w:rFonts w:ascii="Arial" w:eastAsia="仿宋" w:hAnsi="Arial" w:cs="Arial"/>
          <w:sz w:val="28"/>
        </w:rPr>
        <w:t>年）</w:t>
      </w:r>
      <w:r>
        <w:rPr>
          <w:rFonts w:ascii="Arial" w:eastAsia="仿宋" w:hAnsi="Arial" w:cs="Arial" w:hint="eastAsia"/>
          <w:sz w:val="28"/>
        </w:rPr>
        <w:t>顺义</w:t>
      </w:r>
      <w:r>
        <w:rPr>
          <w:rFonts w:ascii="Arial" w:eastAsia="仿宋" w:hAnsi="Arial" w:cs="Arial"/>
          <w:sz w:val="28"/>
        </w:rPr>
        <w:t>区</w:t>
      </w:r>
      <w:r>
        <w:rPr>
          <w:rFonts w:ascii="Arial" w:eastAsia="仿宋" w:hAnsi="Arial" w:cs="Arial" w:hint="eastAsia"/>
          <w:sz w:val="28"/>
        </w:rPr>
        <w:t>高丽营镇</w:t>
      </w:r>
      <w:r>
        <w:rPr>
          <w:rFonts w:ascii="Arial" w:eastAsia="仿宋" w:hAnsi="Arial" w:cs="Arial"/>
          <w:sz w:val="28"/>
        </w:rPr>
        <w:t>内</w:t>
      </w:r>
      <w:r>
        <w:rPr>
          <w:rFonts w:ascii="Arial" w:eastAsia="仿宋" w:hAnsi="Arial" w:cs="Arial" w:hint="eastAsia"/>
          <w:sz w:val="28"/>
        </w:rPr>
        <w:t>无成交案例</w:t>
      </w:r>
      <w:r>
        <w:rPr>
          <w:rFonts w:ascii="Arial" w:eastAsia="仿宋" w:hAnsi="Arial" w:cs="Arial"/>
          <w:sz w:val="28"/>
        </w:rPr>
        <w:t>，</w:t>
      </w:r>
      <w:r>
        <w:rPr>
          <w:rFonts w:ascii="Arial" w:eastAsia="仿宋" w:hAnsi="Arial" w:cs="Arial" w:hint="eastAsia"/>
          <w:sz w:val="28"/>
        </w:rPr>
        <w:t>2018-2019</w:t>
      </w:r>
      <w:r>
        <w:rPr>
          <w:rFonts w:ascii="Arial" w:eastAsia="仿宋" w:hAnsi="Arial" w:cs="Arial" w:hint="eastAsia"/>
          <w:sz w:val="28"/>
        </w:rPr>
        <w:t>年成交</w:t>
      </w:r>
      <w:r>
        <w:rPr>
          <w:rFonts w:ascii="Arial" w:eastAsia="仿宋" w:hAnsi="Arial" w:cs="Arial" w:hint="eastAsia"/>
          <w:sz w:val="28"/>
        </w:rPr>
        <w:t>2</w:t>
      </w:r>
      <w:r>
        <w:rPr>
          <w:rFonts w:ascii="Arial" w:eastAsia="仿宋" w:hAnsi="Arial" w:cs="Arial" w:hint="eastAsia"/>
          <w:sz w:val="28"/>
        </w:rPr>
        <w:t>宗</w:t>
      </w:r>
      <w:r>
        <w:rPr>
          <w:rFonts w:ascii="Arial" w:eastAsia="仿宋" w:hAnsi="Arial" w:cs="Arial"/>
          <w:sz w:val="28"/>
        </w:rPr>
        <w:t>土地</w:t>
      </w:r>
      <w:r>
        <w:rPr>
          <w:rFonts w:ascii="Arial" w:eastAsia="仿宋" w:hAnsi="Arial" w:cs="Arial" w:hint="eastAsia"/>
          <w:sz w:val="28"/>
        </w:rPr>
        <w:t>，</w:t>
      </w:r>
      <w:r>
        <w:rPr>
          <w:rFonts w:ascii="Arial" w:eastAsia="仿宋" w:hAnsi="Arial" w:cs="Arial"/>
          <w:sz w:val="28"/>
        </w:rPr>
        <w:t>宗地位置图及详细情况见下图及下表：</w:t>
      </w:r>
    </w:p>
    <w:p w14:paraId="0087FCFA" w14:textId="77777777" w:rsidR="0062768B" w:rsidRDefault="0062768B">
      <w:pPr>
        <w:snapToGrid w:val="0"/>
        <w:spacing w:line="300" w:lineRule="auto"/>
        <w:ind w:firstLine="556"/>
        <w:jc w:val="both"/>
        <w:rPr>
          <w:rFonts w:ascii="Arial" w:eastAsia="仿宋" w:hAnsi="Arial" w:cs="Arial"/>
          <w:sz w:val="28"/>
        </w:rPr>
      </w:pPr>
    </w:p>
    <w:p w14:paraId="7C00B219" w14:textId="77777777" w:rsidR="0062768B" w:rsidRDefault="00136729">
      <w:pPr>
        <w:snapToGrid w:val="0"/>
        <w:spacing w:line="300" w:lineRule="auto"/>
        <w:ind w:firstLine="556"/>
        <w:jc w:val="center"/>
        <w:rPr>
          <w:rFonts w:ascii="Arial" w:eastAsia="仿宋" w:hAnsi="Arial" w:cs="Arial"/>
          <w:sz w:val="28"/>
        </w:rPr>
      </w:pPr>
      <w:r>
        <w:rPr>
          <w:noProof/>
        </w:rPr>
        <w:drawing>
          <wp:inline distT="0" distB="0" distL="0" distR="0" wp14:anchorId="3577C918" wp14:editId="4F6A808C">
            <wp:extent cx="5560695" cy="4040505"/>
            <wp:effectExtent l="0" t="0" r="1905" b="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5560695" cy="4040505"/>
                    </a:xfrm>
                    <a:prstGeom prst="rect">
                      <a:avLst/>
                    </a:prstGeom>
                    <a:noFill/>
                    <a:ln>
                      <a:noFill/>
                    </a:ln>
                  </pic:spPr>
                </pic:pic>
              </a:graphicData>
            </a:graphic>
          </wp:inline>
        </w:drawing>
      </w:r>
    </w:p>
    <w:p w14:paraId="41BD5A86" w14:textId="77777777" w:rsidR="0062768B" w:rsidRDefault="0062768B">
      <w:pPr>
        <w:snapToGrid w:val="0"/>
        <w:spacing w:line="300" w:lineRule="auto"/>
        <w:ind w:firstLine="556"/>
        <w:jc w:val="both"/>
        <w:rPr>
          <w:rFonts w:ascii="Arial" w:eastAsia="仿宋" w:hAnsi="Arial" w:cs="Arial"/>
          <w:sz w:val="28"/>
        </w:rPr>
      </w:pPr>
    </w:p>
    <w:tbl>
      <w:tblPr>
        <w:tblW w:w="54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3"/>
        <w:gridCol w:w="2654"/>
        <w:gridCol w:w="1289"/>
        <w:gridCol w:w="1364"/>
        <w:gridCol w:w="1362"/>
        <w:gridCol w:w="1327"/>
        <w:gridCol w:w="1252"/>
      </w:tblGrid>
      <w:tr w:rsidR="0062768B" w14:paraId="1ED041EC" w14:textId="77777777">
        <w:trPr>
          <w:trHeight w:val="428"/>
          <w:jc w:val="center"/>
        </w:trPr>
        <w:tc>
          <w:tcPr>
            <w:tcW w:w="315" w:type="pct"/>
            <w:shd w:val="clear" w:color="auto" w:fill="auto"/>
            <w:tcMar>
              <w:top w:w="15" w:type="dxa"/>
              <w:left w:w="15" w:type="dxa"/>
              <w:bottom w:w="0" w:type="dxa"/>
              <w:right w:w="15" w:type="dxa"/>
            </w:tcMar>
            <w:vAlign w:val="center"/>
          </w:tcPr>
          <w:p w14:paraId="1846AC36"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bCs/>
                <w:sz w:val="20"/>
                <w:szCs w:val="21"/>
              </w:rPr>
              <w:t>序号</w:t>
            </w:r>
          </w:p>
        </w:tc>
        <w:tc>
          <w:tcPr>
            <w:tcW w:w="1344" w:type="pct"/>
            <w:shd w:val="clear" w:color="auto" w:fill="auto"/>
            <w:tcMar>
              <w:top w:w="15" w:type="dxa"/>
              <w:left w:w="15" w:type="dxa"/>
              <w:bottom w:w="0" w:type="dxa"/>
              <w:right w:w="15" w:type="dxa"/>
            </w:tcMar>
            <w:vAlign w:val="center"/>
          </w:tcPr>
          <w:p w14:paraId="6A494BD0"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bCs/>
                <w:sz w:val="20"/>
                <w:szCs w:val="21"/>
              </w:rPr>
              <w:t>项目名称</w:t>
            </w:r>
          </w:p>
        </w:tc>
        <w:tc>
          <w:tcPr>
            <w:tcW w:w="653" w:type="pct"/>
            <w:shd w:val="clear" w:color="auto" w:fill="auto"/>
            <w:tcMar>
              <w:top w:w="15" w:type="dxa"/>
              <w:left w:w="15" w:type="dxa"/>
              <w:bottom w:w="0" w:type="dxa"/>
              <w:right w:w="15" w:type="dxa"/>
            </w:tcMar>
            <w:vAlign w:val="center"/>
          </w:tcPr>
          <w:p w14:paraId="18EE4D3F" w14:textId="77777777" w:rsidR="0062768B" w:rsidRDefault="00136729">
            <w:pPr>
              <w:snapToGrid w:val="0"/>
              <w:spacing w:line="300" w:lineRule="auto"/>
              <w:jc w:val="center"/>
              <w:rPr>
                <w:rFonts w:ascii="Arial" w:eastAsia="仿宋" w:hAnsi="Arial" w:cs="Arial"/>
                <w:bCs/>
                <w:sz w:val="20"/>
                <w:szCs w:val="21"/>
              </w:rPr>
            </w:pPr>
            <w:r>
              <w:rPr>
                <w:rFonts w:ascii="Arial" w:eastAsia="仿宋" w:hAnsi="Arial" w:cs="Arial" w:hint="eastAsia"/>
                <w:bCs/>
                <w:sz w:val="20"/>
                <w:szCs w:val="21"/>
              </w:rPr>
              <w:t>居住</w:t>
            </w:r>
          </w:p>
          <w:p w14:paraId="091625D5" w14:textId="77777777" w:rsidR="0062768B" w:rsidRDefault="00136729">
            <w:pPr>
              <w:snapToGrid w:val="0"/>
              <w:spacing w:line="300" w:lineRule="auto"/>
              <w:jc w:val="center"/>
              <w:rPr>
                <w:rFonts w:ascii="Arial" w:eastAsia="仿宋" w:hAnsi="Arial" w:cs="Arial"/>
                <w:bCs/>
                <w:sz w:val="20"/>
                <w:szCs w:val="21"/>
              </w:rPr>
            </w:pPr>
            <w:r>
              <w:rPr>
                <w:rFonts w:ascii="Arial" w:eastAsia="仿宋" w:hAnsi="Arial" w:cs="Arial" w:hint="eastAsia"/>
                <w:bCs/>
                <w:sz w:val="20"/>
                <w:szCs w:val="21"/>
              </w:rPr>
              <w:t>审定熟地价</w:t>
            </w:r>
          </w:p>
          <w:p w14:paraId="31B61BD8"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bCs/>
                <w:sz w:val="20"/>
                <w:szCs w:val="21"/>
              </w:rPr>
              <w:t>（元</w:t>
            </w:r>
            <w:r>
              <w:rPr>
                <w:rFonts w:ascii="Arial" w:eastAsia="仿宋" w:hAnsi="Arial" w:cs="Arial" w:hint="eastAsia"/>
                <w:bCs/>
                <w:sz w:val="20"/>
                <w:szCs w:val="21"/>
              </w:rPr>
              <w:t>/</w:t>
            </w:r>
            <w:r>
              <w:rPr>
                <w:rFonts w:ascii="Arial" w:eastAsia="仿宋" w:hAnsi="Arial" w:cs="Arial" w:hint="eastAsia"/>
                <w:bCs/>
                <w:sz w:val="20"/>
                <w:szCs w:val="21"/>
              </w:rPr>
              <w:t>㎡）</w:t>
            </w:r>
          </w:p>
        </w:tc>
        <w:tc>
          <w:tcPr>
            <w:tcW w:w="691" w:type="pct"/>
            <w:shd w:val="clear" w:color="auto" w:fill="auto"/>
            <w:tcMar>
              <w:top w:w="15" w:type="dxa"/>
              <w:left w:w="15" w:type="dxa"/>
              <w:bottom w:w="0" w:type="dxa"/>
              <w:right w:w="15" w:type="dxa"/>
            </w:tcMar>
            <w:vAlign w:val="center"/>
          </w:tcPr>
          <w:p w14:paraId="3257018A" w14:textId="77777777" w:rsidR="0062768B" w:rsidRDefault="00136729">
            <w:pPr>
              <w:snapToGrid w:val="0"/>
              <w:spacing w:line="300" w:lineRule="auto"/>
              <w:jc w:val="center"/>
              <w:rPr>
                <w:rFonts w:ascii="Arial" w:eastAsia="仿宋" w:hAnsi="Arial" w:cs="Arial"/>
                <w:bCs/>
                <w:sz w:val="20"/>
                <w:szCs w:val="21"/>
              </w:rPr>
            </w:pPr>
            <w:r>
              <w:rPr>
                <w:rFonts w:ascii="Arial" w:eastAsia="仿宋" w:hAnsi="Arial" w:cs="Arial" w:hint="eastAsia"/>
                <w:bCs/>
                <w:sz w:val="20"/>
                <w:szCs w:val="21"/>
              </w:rPr>
              <w:t>商业</w:t>
            </w:r>
          </w:p>
          <w:p w14:paraId="4EE2DD54" w14:textId="77777777" w:rsidR="0062768B" w:rsidRDefault="00136729">
            <w:pPr>
              <w:snapToGrid w:val="0"/>
              <w:spacing w:line="300" w:lineRule="auto"/>
              <w:jc w:val="center"/>
              <w:rPr>
                <w:rFonts w:ascii="Arial" w:eastAsia="仿宋" w:hAnsi="Arial" w:cs="Arial"/>
                <w:bCs/>
                <w:sz w:val="20"/>
                <w:szCs w:val="21"/>
              </w:rPr>
            </w:pPr>
            <w:r>
              <w:rPr>
                <w:rFonts w:ascii="Arial" w:eastAsia="仿宋" w:hAnsi="Arial" w:cs="Arial" w:hint="eastAsia"/>
                <w:bCs/>
                <w:sz w:val="20"/>
                <w:szCs w:val="21"/>
              </w:rPr>
              <w:t>审定熟地价</w:t>
            </w:r>
          </w:p>
          <w:p w14:paraId="7051C351"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bCs/>
                <w:sz w:val="20"/>
                <w:szCs w:val="21"/>
              </w:rPr>
              <w:t>（元</w:t>
            </w:r>
            <w:r>
              <w:rPr>
                <w:rFonts w:ascii="Arial" w:eastAsia="仿宋" w:hAnsi="Arial" w:cs="Arial" w:hint="eastAsia"/>
                <w:bCs/>
                <w:sz w:val="20"/>
                <w:szCs w:val="21"/>
              </w:rPr>
              <w:t>/</w:t>
            </w:r>
            <w:r>
              <w:rPr>
                <w:rFonts w:ascii="Arial" w:eastAsia="仿宋" w:hAnsi="Arial" w:cs="Arial" w:hint="eastAsia"/>
                <w:bCs/>
                <w:sz w:val="20"/>
                <w:szCs w:val="21"/>
              </w:rPr>
              <w:t>㎡）</w:t>
            </w:r>
          </w:p>
        </w:tc>
        <w:tc>
          <w:tcPr>
            <w:tcW w:w="690" w:type="pct"/>
            <w:shd w:val="clear" w:color="auto" w:fill="auto"/>
            <w:tcMar>
              <w:top w:w="15" w:type="dxa"/>
              <w:left w:w="15" w:type="dxa"/>
              <w:bottom w:w="0" w:type="dxa"/>
              <w:right w:w="15" w:type="dxa"/>
            </w:tcMar>
            <w:vAlign w:val="center"/>
          </w:tcPr>
          <w:p w14:paraId="0BBEF889" w14:textId="77777777" w:rsidR="0062768B" w:rsidRDefault="00136729">
            <w:pPr>
              <w:snapToGrid w:val="0"/>
              <w:spacing w:line="300" w:lineRule="auto"/>
              <w:jc w:val="center"/>
              <w:rPr>
                <w:rFonts w:ascii="Arial" w:eastAsia="仿宋" w:hAnsi="Arial" w:cs="Arial"/>
                <w:bCs/>
                <w:sz w:val="20"/>
                <w:szCs w:val="21"/>
              </w:rPr>
            </w:pPr>
            <w:r>
              <w:rPr>
                <w:rFonts w:ascii="Arial" w:eastAsia="仿宋" w:hAnsi="Arial" w:cs="Arial" w:hint="eastAsia"/>
                <w:bCs/>
                <w:sz w:val="20"/>
                <w:szCs w:val="21"/>
              </w:rPr>
              <w:t>办公</w:t>
            </w:r>
          </w:p>
          <w:p w14:paraId="385147DB" w14:textId="77777777" w:rsidR="0062768B" w:rsidRDefault="00136729">
            <w:pPr>
              <w:snapToGrid w:val="0"/>
              <w:spacing w:line="300" w:lineRule="auto"/>
              <w:jc w:val="center"/>
              <w:rPr>
                <w:rFonts w:ascii="Arial" w:eastAsia="仿宋" w:hAnsi="Arial" w:cs="Arial"/>
                <w:bCs/>
                <w:sz w:val="20"/>
                <w:szCs w:val="21"/>
              </w:rPr>
            </w:pPr>
            <w:r>
              <w:rPr>
                <w:rFonts w:ascii="Arial" w:eastAsia="仿宋" w:hAnsi="Arial" w:cs="Arial" w:hint="eastAsia"/>
                <w:bCs/>
                <w:sz w:val="20"/>
                <w:szCs w:val="21"/>
              </w:rPr>
              <w:t>审定熟地价</w:t>
            </w:r>
          </w:p>
          <w:p w14:paraId="213E7D38"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bCs/>
                <w:sz w:val="20"/>
                <w:szCs w:val="21"/>
              </w:rPr>
              <w:t>（元</w:t>
            </w:r>
            <w:r>
              <w:rPr>
                <w:rFonts w:ascii="Arial" w:eastAsia="仿宋" w:hAnsi="Arial" w:cs="Arial" w:hint="eastAsia"/>
                <w:bCs/>
                <w:sz w:val="20"/>
                <w:szCs w:val="21"/>
              </w:rPr>
              <w:t>/</w:t>
            </w:r>
            <w:r>
              <w:rPr>
                <w:rFonts w:ascii="Arial" w:eastAsia="仿宋" w:hAnsi="Arial" w:cs="Arial" w:hint="eastAsia"/>
                <w:bCs/>
                <w:sz w:val="20"/>
                <w:szCs w:val="21"/>
              </w:rPr>
              <w:t>㎡）</w:t>
            </w:r>
          </w:p>
        </w:tc>
        <w:tc>
          <w:tcPr>
            <w:tcW w:w="672" w:type="pct"/>
            <w:shd w:val="clear" w:color="auto" w:fill="auto"/>
            <w:tcMar>
              <w:top w:w="15" w:type="dxa"/>
              <w:left w:w="15" w:type="dxa"/>
              <w:bottom w:w="0" w:type="dxa"/>
              <w:right w:w="15" w:type="dxa"/>
            </w:tcMar>
            <w:vAlign w:val="center"/>
          </w:tcPr>
          <w:p w14:paraId="75568CF4" w14:textId="77777777" w:rsidR="0062768B" w:rsidRDefault="00136729">
            <w:pPr>
              <w:snapToGrid w:val="0"/>
              <w:spacing w:line="300" w:lineRule="auto"/>
              <w:jc w:val="center"/>
              <w:rPr>
                <w:rFonts w:ascii="Arial" w:eastAsia="仿宋" w:hAnsi="Arial" w:cs="Arial"/>
                <w:bCs/>
                <w:sz w:val="20"/>
                <w:szCs w:val="21"/>
              </w:rPr>
            </w:pPr>
            <w:r>
              <w:rPr>
                <w:rFonts w:ascii="Arial" w:eastAsia="仿宋" w:hAnsi="Arial" w:cs="Arial" w:hint="eastAsia"/>
                <w:bCs/>
                <w:sz w:val="20"/>
                <w:szCs w:val="21"/>
              </w:rPr>
              <w:t>公共服务</w:t>
            </w:r>
          </w:p>
          <w:p w14:paraId="146A7503" w14:textId="77777777" w:rsidR="0062768B" w:rsidRDefault="00136729">
            <w:pPr>
              <w:snapToGrid w:val="0"/>
              <w:spacing w:line="300" w:lineRule="auto"/>
              <w:jc w:val="center"/>
              <w:rPr>
                <w:rFonts w:ascii="Arial" w:eastAsia="仿宋" w:hAnsi="Arial" w:cs="Arial"/>
                <w:bCs/>
                <w:sz w:val="20"/>
                <w:szCs w:val="21"/>
              </w:rPr>
            </w:pPr>
            <w:r>
              <w:rPr>
                <w:rFonts w:ascii="Arial" w:eastAsia="仿宋" w:hAnsi="Arial" w:cs="Arial" w:hint="eastAsia"/>
                <w:bCs/>
                <w:sz w:val="20"/>
                <w:szCs w:val="21"/>
              </w:rPr>
              <w:t>审定熟地价</w:t>
            </w:r>
          </w:p>
          <w:p w14:paraId="5317BE0B"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bCs/>
                <w:sz w:val="20"/>
                <w:szCs w:val="21"/>
              </w:rPr>
              <w:t>（元</w:t>
            </w:r>
            <w:r>
              <w:rPr>
                <w:rFonts w:ascii="Arial" w:eastAsia="仿宋" w:hAnsi="Arial" w:cs="Arial" w:hint="eastAsia"/>
                <w:bCs/>
                <w:sz w:val="20"/>
                <w:szCs w:val="21"/>
              </w:rPr>
              <w:t>/</w:t>
            </w:r>
            <w:r>
              <w:rPr>
                <w:rFonts w:ascii="Arial" w:eastAsia="仿宋" w:hAnsi="Arial" w:cs="Arial" w:hint="eastAsia"/>
                <w:bCs/>
                <w:sz w:val="20"/>
                <w:szCs w:val="21"/>
              </w:rPr>
              <w:t>㎡）</w:t>
            </w:r>
          </w:p>
        </w:tc>
        <w:tc>
          <w:tcPr>
            <w:tcW w:w="634" w:type="pct"/>
            <w:shd w:val="clear" w:color="auto" w:fill="auto"/>
            <w:tcMar>
              <w:top w:w="15" w:type="dxa"/>
              <w:left w:w="15" w:type="dxa"/>
              <w:bottom w:w="0" w:type="dxa"/>
              <w:right w:w="15" w:type="dxa"/>
            </w:tcMar>
            <w:vAlign w:val="center"/>
          </w:tcPr>
          <w:p w14:paraId="50E2908D"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bCs/>
                <w:sz w:val="20"/>
                <w:szCs w:val="21"/>
              </w:rPr>
              <w:t>审定日期</w:t>
            </w:r>
          </w:p>
        </w:tc>
      </w:tr>
      <w:tr w:rsidR="0062768B" w14:paraId="7AACD605" w14:textId="77777777">
        <w:trPr>
          <w:trHeight w:val="1117"/>
          <w:jc w:val="center"/>
        </w:trPr>
        <w:tc>
          <w:tcPr>
            <w:tcW w:w="315" w:type="pct"/>
            <w:shd w:val="clear" w:color="auto" w:fill="auto"/>
            <w:tcMar>
              <w:top w:w="15" w:type="dxa"/>
              <w:left w:w="15" w:type="dxa"/>
              <w:bottom w:w="0" w:type="dxa"/>
              <w:right w:w="15" w:type="dxa"/>
            </w:tcMar>
            <w:vAlign w:val="center"/>
          </w:tcPr>
          <w:p w14:paraId="367DC643"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1</w:t>
            </w:r>
          </w:p>
        </w:tc>
        <w:tc>
          <w:tcPr>
            <w:tcW w:w="1344" w:type="pct"/>
            <w:shd w:val="clear" w:color="auto" w:fill="auto"/>
            <w:tcMar>
              <w:top w:w="15" w:type="dxa"/>
              <w:left w:w="15" w:type="dxa"/>
              <w:bottom w:w="0" w:type="dxa"/>
              <w:right w:w="15" w:type="dxa"/>
            </w:tcMar>
            <w:vAlign w:val="center"/>
          </w:tcPr>
          <w:p w14:paraId="122BD5C7"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顺义区高丽营镇于庄</w:t>
            </w:r>
            <w:r>
              <w:rPr>
                <w:rFonts w:ascii="Arial" w:eastAsia="仿宋" w:hAnsi="Arial" w:cs="Arial" w:hint="eastAsia"/>
                <w:sz w:val="20"/>
                <w:szCs w:val="21"/>
              </w:rPr>
              <w:t>SY02-0103-6004</w:t>
            </w:r>
            <w:r>
              <w:rPr>
                <w:rFonts w:ascii="Arial" w:eastAsia="仿宋" w:hAnsi="Arial" w:cs="Arial" w:hint="eastAsia"/>
                <w:sz w:val="20"/>
                <w:szCs w:val="21"/>
              </w:rPr>
              <w:t>、</w:t>
            </w:r>
            <w:r>
              <w:rPr>
                <w:rFonts w:ascii="Arial" w:eastAsia="仿宋" w:hAnsi="Arial" w:cs="Arial" w:hint="eastAsia"/>
                <w:sz w:val="20"/>
                <w:szCs w:val="21"/>
              </w:rPr>
              <w:t>SY02-0103-6007</w:t>
            </w:r>
            <w:r>
              <w:rPr>
                <w:rFonts w:ascii="Arial" w:eastAsia="仿宋" w:hAnsi="Arial" w:cs="Arial" w:hint="eastAsia"/>
                <w:sz w:val="20"/>
                <w:szCs w:val="21"/>
              </w:rPr>
              <w:t>地块</w:t>
            </w:r>
            <w:r>
              <w:rPr>
                <w:rFonts w:ascii="Arial" w:eastAsia="仿宋" w:hAnsi="Arial" w:cs="Arial" w:hint="eastAsia"/>
                <w:sz w:val="20"/>
                <w:szCs w:val="21"/>
              </w:rPr>
              <w:t>R2</w:t>
            </w:r>
            <w:proofErr w:type="gramStart"/>
            <w:r>
              <w:rPr>
                <w:rFonts w:ascii="Arial" w:eastAsia="仿宋" w:hAnsi="Arial" w:cs="Arial" w:hint="eastAsia"/>
                <w:sz w:val="20"/>
                <w:szCs w:val="21"/>
              </w:rPr>
              <w:t>二</w:t>
            </w:r>
            <w:proofErr w:type="gramEnd"/>
            <w:r>
              <w:rPr>
                <w:rFonts w:ascii="Arial" w:eastAsia="仿宋" w:hAnsi="Arial" w:cs="Arial" w:hint="eastAsia"/>
                <w:sz w:val="20"/>
                <w:szCs w:val="21"/>
              </w:rPr>
              <w:t>类居住用地</w:t>
            </w:r>
          </w:p>
        </w:tc>
        <w:tc>
          <w:tcPr>
            <w:tcW w:w="653" w:type="pct"/>
            <w:shd w:val="clear" w:color="auto" w:fill="auto"/>
            <w:tcMar>
              <w:top w:w="15" w:type="dxa"/>
              <w:left w:w="15" w:type="dxa"/>
              <w:bottom w:w="0" w:type="dxa"/>
              <w:right w:w="15" w:type="dxa"/>
            </w:tcMar>
            <w:vAlign w:val="center"/>
          </w:tcPr>
          <w:p w14:paraId="36B4FA2D"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18670</w:t>
            </w:r>
          </w:p>
        </w:tc>
        <w:tc>
          <w:tcPr>
            <w:tcW w:w="691" w:type="pct"/>
            <w:shd w:val="clear" w:color="auto" w:fill="auto"/>
            <w:tcMar>
              <w:top w:w="15" w:type="dxa"/>
              <w:left w:w="15" w:type="dxa"/>
              <w:bottom w:w="0" w:type="dxa"/>
              <w:right w:w="15" w:type="dxa"/>
            </w:tcMar>
            <w:vAlign w:val="center"/>
          </w:tcPr>
          <w:p w14:paraId="57EE63BE"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w:t>
            </w:r>
          </w:p>
        </w:tc>
        <w:tc>
          <w:tcPr>
            <w:tcW w:w="690" w:type="pct"/>
            <w:shd w:val="clear" w:color="auto" w:fill="auto"/>
            <w:tcMar>
              <w:top w:w="15" w:type="dxa"/>
              <w:left w:w="15" w:type="dxa"/>
              <w:bottom w:w="0" w:type="dxa"/>
              <w:right w:w="15" w:type="dxa"/>
            </w:tcMar>
            <w:vAlign w:val="center"/>
          </w:tcPr>
          <w:p w14:paraId="6F75503B"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w:t>
            </w:r>
          </w:p>
        </w:tc>
        <w:tc>
          <w:tcPr>
            <w:tcW w:w="672" w:type="pct"/>
            <w:shd w:val="clear" w:color="auto" w:fill="auto"/>
            <w:tcMar>
              <w:top w:w="15" w:type="dxa"/>
              <w:left w:w="15" w:type="dxa"/>
              <w:bottom w:w="0" w:type="dxa"/>
              <w:right w:w="15" w:type="dxa"/>
            </w:tcMar>
            <w:vAlign w:val="center"/>
          </w:tcPr>
          <w:p w14:paraId="0293C9F8"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w:t>
            </w:r>
          </w:p>
        </w:tc>
        <w:tc>
          <w:tcPr>
            <w:tcW w:w="634" w:type="pct"/>
            <w:shd w:val="clear" w:color="auto" w:fill="auto"/>
            <w:tcMar>
              <w:top w:w="15" w:type="dxa"/>
              <w:left w:w="15" w:type="dxa"/>
              <w:bottom w:w="0" w:type="dxa"/>
              <w:right w:w="15" w:type="dxa"/>
            </w:tcMar>
            <w:vAlign w:val="center"/>
          </w:tcPr>
          <w:p w14:paraId="7AB7DD2C"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2018</w:t>
            </w:r>
            <w:r>
              <w:rPr>
                <w:rFonts w:ascii="Arial" w:eastAsia="仿宋" w:hAnsi="Arial" w:cs="Arial" w:hint="eastAsia"/>
                <w:sz w:val="20"/>
                <w:szCs w:val="21"/>
              </w:rPr>
              <w:t>年</w:t>
            </w:r>
            <w:r>
              <w:rPr>
                <w:rFonts w:ascii="Arial" w:eastAsia="仿宋" w:hAnsi="Arial" w:cs="Arial" w:hint="eastAsia"/>
                <w:sz w:val="20"/>
                <w:szCs w:val="21"/>
              </w:rPr>
              <w:t>8</w:t>
            </w:r>
            <w:r>
              <w:rPr>
                <w:rFonts w:ascii="Arial" w:eastAsia="仿宋" w:hAnsi="Arial" w:cs="Arial" w:hint="eastAsia"/>
                <w:sz w:val="20"/>
                <w:szCs w:val="21"/>
              </w:rPr>
              <w:t>月</w:t>
            </w:r>
          </w:p>
        </w:tc>
      </w:tr>
      <w:tr w:rsidR="0062768B" w14:paraId="2856D014" w14:textId="77777777">
        <w:trPr>
          <w:trHeight w:val="1117"/>
          <w:jc w:val="center"/>
        </w:trPr>
        <w:tc>
          <w:tcPr>
            <w:tcW w:w="315" w:type="pct"/>
            <w:shd w:val="clear" w:color="auto" w:fill="auto"/>
            <w:tcMar>
              <w:top w:w="15" w:type="dxa"/>
              <w:left w:w="15" w:type="dxa"/>
              <w:bottom w:w="0" w:type="dxa"/>
              <w:right w:w="15" w:type="dxa"/>
            </w:tcMar>
            <w:vAlign w:val="center"/>
          </w:tcPr>
          <w:p w14:paraId="539B8A75"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2</w:t>
            </w:r>
          </w:p>
        </w:tc>
        <w:tc>
          <w:tcPr>
            <w:tcW w:w="1344" w:type="pct"/>
            <w:shd w:val="clear" w:color="auto" w:fill="auto"/>
            <w:tcMar>
              <w:top w:w="15" w:type="dxa"/>
              <w:left w:w="15" w:type="dxa"/>
              <w:bottom w:w="0" w:type="dxa"/>
              <w:right w:w="15" w:type="dxa"/>
            </w:tcMar>
            <w:vAlign w:val="center"/>
          </w:tcPr>
          <w:p w14:paraId="111B8219"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顺义区高丽营镇</w:t>
            </w:r>
            <w:r>
              <w:rPr>
                <w:rFonts w:ascii="Arial" w:eastAsia="仿宋" w:hAnsi="Arial" w:cs="Arial" w:hint="eastAsia"/>
                <w:sz w:val="20"/>
                <w:szCs w:val="21"/>
              </w:rPr>
              <w:t>SY02-0102-6001</w:t>
            </w:r>
            <w:r>
              <w:rPr>
                <w:rFonts w:ascii="Arial" w:eastAsia="仿宋" w:hAnsi="Arial" w:cs="Arial" w:hint="eastAsia"/>
                <w:sz w:val="20"/>
                <w:szCs w:val="21"/>
              </w:rPr>
              <w:t>、</w:t>
            </w:r>
            <w:r>
              <w:rPr>
                <w:rFonts w:ascii="Arial" w:eastAsia="仿宋" w:hAnsi="Arial" w:cs="Arial" w:hint="eastAsia"/>
                <w:sz w:val="20"/>
                <w:szCs w:val="21"/>
              </w:rPr>
              <w:t>SY02-0102-6002</w:t>
            </w:r>
            <w:r>
              <w:rPr>
                <w:rFonts w:ascii="Arial" w:eastAsia="仿宋" w:hAnsi="Arial" w:cs="Arial" w:hint="eastAsia"/>
                <w:sz w:val="20"/>
                <w:szCs w:val="21"/>
              </w:rPr>
              <w:t>地块</w:t>
            </w:r>
            <w:r>
              <w:rPr>
                <w:rFonts w:ascii="Arial" w:eastAsia="仿宋" w:hAnsi="Arial" w:cs="Arial" w:hint="eastAsia"/>
                <w:sz w:val="20"/>
                <w:szCs w:val="21"/>
              </w:rPr>
              <w:t>R2</w:t>
            </w:r>
            <w:proofErr w:type="gramStart"/>
            <w:r>
              <w:rPr>
                <w:rFonts w:ascii="Arial" w:eastAsia="仿宋" w:hAnsi="Arial" w:cs="Arial" w:hint="eastAsia"/>
                <w:sz w:val="20"/>
                <w:szCs w:val="21"/>
              </w:rPr>
              <w:t>二</w:t>
            </w:r>
            <w:proofErr w:type="gramEnd"/>
            <w:r>
              <w:rPr>
                <w:rFonts w:ascii="Arial" w:eastAsia="仿宋" w:hAnsi="Arial" w:cs="Arial" w:hint="eastAsia"/>
                <w:sz w:val="20"/>
                <w:szCs w:val="21"/>
              </w:rPr>
              <w:t>类居住用地</w:t>
            </w:r>
          </w:p>
        </w:tc>
        <w:tc>
          <w:tcPr>
            <w:tcW w:w="653" w:type="pct"/>
            <w:shd w:val="clear" w:color="auto" w:fill="auto"/>
            <w:tcMar>
              <w:top w:w="15" w:type="dxa"/>
              <w:left w:w="15" w:type="dxa"/>
              <w:bottom w:w="0" w:type="dxa"/>
              <w:right w:w="15" w:type="dxa"/>
            </w:tcMar>
            <w:vAlign w:val="center"/>
          </w:tcPr>
          <w:p w14:paraId="675AB985"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18534</w:t>
            </w:r>
          </w:p>
        </w:tc>
        <w:tc>
          <w:tcPr>
            <w:tcW w:w="691" w:type="pct"/>
            <w:shd w:val="clear" w:color="auto" w:fill="auto"/>
            <w:tcMar>
              <w:top w:w="15" w:type="dxa"/>
              <w:left w:w="15" w:type="dxa"/>
              <w:bottom w:w="0" w:type="dxa"/>
              <w:right w:w="15" w:type="dxa"/>
            </w:tcMar>
            <w:vAlign w:val="center"/>
          </w:tcPr>
          <w:p w14:paraId="1E8C0540"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8376</w:t>
            </w:r>
          </w:p>
        </w:tc>
        <w:tc>
          <w:tcPr>
            <w:tcW w:w="690" w:type="pct"/>
            <w:shd w:val="clear" w:color="auto" w:fill="auto"/>
            <w:tcMar>
              <w:top w:w="15" w:type="dxa"/>
              <w:left w:w="15" w:type="dxa"/>
              <w:bottom w:w="0" w:type="dxa"/>
              <w:right w:w="15" w:type="dxa"/>
            </w:tcMar>
            <w:vAlign w:val="center"/>
          </w:tcPr>
          <w:p w14:paraId="7CB22B3C"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w:t>
            </w:r>
          </w:p>
        </w:tc>
        <w:tc>
          <w:tcPr>
            <w:tcW w:w="672" w:type="pct"/>
            <w:shd w:val="clear" w:color="auto" w:fill="auto"/>
            <w:tcMar>
              <w:top w:w="15" w:type="dxa"/>
              <w:left w:w="15" w:type="dxa"/>
              <w:bottom w:w="0" w:type="dxa"/>
              <w:right w:w="15" w:type="dxa"/>
            </w:tcMar>
            <w:vAlign w:val="center"/>
          </w:tcPr>
          <w:p w14:paraId="5A318578"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w:t>
            </w:r>
          </w:p>
        </w:tc>
        <w:tc>
          <w:tcPr>
            <w:tcW w:w="634" w:type="pct"/>
            <w:shd w:val="clear" w:color="auto" w:fill="auto"/>
            <w:tcMar>
              <w:top w:w="15" w:type="dxa"/>
              <w:left w:w="15" w:type="dxa"/>
              <w:bottom w:w="0" w:type="dxa"/>
              <w:right w:w="15" w:type="dxa"/>
            </w:tcMar>
            <w:vAlign w:val="center"/>
          </w:tcPr>
          <w:p w14:paraId="38DA435B"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2019</w:t>
            </w:r>
            <w:r>
              <w:rPr>
                <w:rFonts w:ascii="Arial" w:eastAsia="仿宋" w:hAnsi="Arial" w:cs="Arial" w:hint="eastAsia"/>
                <w:sz w:val="20"/>
                <w:szCs w:val="21"/>
              </w:rPr>
              <w:t>年</w:t>
            </w:r>
            <w:r>
              <w:rPr>
                <w:rFonts w:ascii="Arial" w:eastAsia="仿宋" w:hAnsi="Arial" w:cs="Arial" w:hint="eastAsia"/>
                <w:sz w:val="20"/>
                <w:szCs w:val="21"/>
              </w:rPr>
              <w:t>4</w:t>
            </w:r>
            <w:r>
              <w:rPr>
                <w:rFonts w:ascii="Arial" w:eastAsia="仿宋" w:hAnsi="Arial" w:cs="Arial" w:hint="eastAsia"/>
                <w:sz w:val="20"/>
                <w:szCs w:val="21"/>
              </w:rPr>
              <w:t>月</w:t>
            </w:r>
          </w:p>
        </w:tc>
      </w:tr>
      <w:tr w:rsidR="0062768B" w14:paraId="49541658" w14:textId="77777777">
        <w:trPr>
          <w:trHeight w:val="447"/>
          <w:jc w:val="center"/>
        </w:trPr>
        <w:tc>
          <w:tcPr>
            <w:tcW w:w="1659" w:type="pct"/>
            <w:gridSpan w:val="2"/>
            <w:shd w:val="clear" w:color="auto" w:fill="auto"/>
            <w:tcMar>
              <w:top w:w="15" w:type="dxa"/>
              <w:left w:w="15" w:type="dxa"/>
              <w:bottom w:w="0" w:type="dxa"/>
              <w:right w:w="15" w:type="dxa"/>
            </w:tcMar>
            <w:vAlign w:val="center"/>
          </w:tcPr>
          <w:p w14:paraId="257956D3" w14:textId="77777777" w:rsidR="0062768B" w:rsidRDefault="00136729">
            <w:pPr>
              <w:snapToGrid w:val="0"/>
              <w:spacing w:line="300" w:lineRule="auto"/>
              <w:ind w:firstLine="556"/>
              <w:jc w:val="center"/>
              <w:rPr>
                <w:rFonts w:ascii="Arial" w:eastAsia="仿宋" w:hAnsi="Arial" w:cs="Arial"/>
                <w:sz w:val="20"/>
                <w:szCs w:val="21"/>
              </w:rPr>
            </w:pPr>
            <w:r>
              <w:rPr>
                <w:rFonts w:ascii="Arial" w:eastAsia="仿宋" w:hAnsi="Arial" w:cs="Arial" w:hint="eastAsia"/>
                <w:sz w:val="20"/>
                <w:szCs w:val="21"/>
              </w:rPr>
              <w:t>估价对象</w:t>
            </w:r>
          </w:p>
        </w:tc>
        <w:tc>
          <w:tcPr>
            <w:tcW w:w="653" w:type="pct"/>
            <w:shd w:val="clear" w:color="auto" w:fill="auto"/>
            <w:tcMar>
              <w:top w:w="15" w:type="dxa"/>
              <w:left w:w="15" w:type="dxa"/>
              <w:bottom w:w="0" w:type="dxa"/>
              <w:right w:w="15" w:type="dxa"/>
            </w:tcMar>
            <w:vAlign w:val="center"/>
          </w:tcPr>
          <w:p w14:paraId="3B04A209"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15150</w:t>
            </w:r>
          </w:p>
        </w:tc>
        <w:tc>
          <w:tcPr>
            <w:tcW w:w="691" w:type="pct"/>
            <w:shd w:val="clear" w:color="auto" w:fill="auto"/>
            <w:tcMar>
              <w:top w:w="15" w:type="dxa"/>
              <w:left w:w="15" w:type="dxa"/>
              <w:bottom w:w="0" w:type="dxa"/>
              <w:right w:w="15" w:type="dxa"/>
            </w:tcMar>
            <w:vAlign w:val="center"/>
          </w:tcPr>
          <w:p w14:paraId="3BC914C0"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8128</w:t>
            </w:r>
          </w:p>
        </w:tc>
        <w:tc>
          <w:tcPr>
            <w:tcW w:w="690" w:type="pct"/>
            <w:shd w:val="clear" w:color="auto" w:fill="auto"/>
            <w:tcMar>
              <w:top w:w="15" w:type="dxa"/>
              <w:left w:w="15" w:type="dxa"/>
              <w:bottom w:w="0" w:type="dxa"/>
              <w:right w:w="15" w:type="dxa"/>
            </w:tcMar>
            <w:vAlign w:val="center"/>
          </w:tcPr>
          <w:p w14:paraId="2C2DEFA7"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w:t>
            </w:r>
          </w:p>
        </w:tc>
        <w:tc>
          <w:tcPr>
            <w:tcW w:w="672" w:type="pct"/>
            <w:shd w:val="clear" w:color="auto" w:fill="auto"/>
            <w:tcMar>
              <w:top w:w="15" w:type="dxa"/>
              <w:left w:w="15" w:type="dxa"/>
              <w:bottom w:w="0" w:type="dxa"/>
              <w:right w:w="15" w:type="dxa"/>
            </w:tcMar>
            <w:vAlign w:val="center"/>
          </w:tcPr>
          <w:p w14:paraId="794FB4B4"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3623</w:t>
            </w:r>
          </w:p>
        </w:tc>
        <w:tc>
          <w:tcPr>
            <w:tcW w:w="634" w:type="pct"/>
            <w:shd w:val="clear" w:color="auto" w:fill="auto"/>
            <w:tcMar>
              <w:top w:w="15" w:type="dxa"/>
              <w:left w:w="15" w:type="dxa"/>
              <w:bottom w:w="0" w:type="dxa"/>
              <w:right w:w="15" w:type="dxa"/>
            </w:tcMar>
            <w:vAlign w:val="center"/>
          </w:tcPr>
          <w:p w14:paraId="01D451D5" w14:textId="77777777" w:rsidR="0062768B" w:rsidRDefault="0062768B">
            <w:pPr>
              <w:snapToGrid w:val="0"/>
              <w:spacing w:line="300" w:lineRule="auto"/>
              <w:ind w:firstLine="556"/>
              <w:jc w:val="center"/>
              <w:rPr>
                <w:rFonts w:ascii="Arial" w:eastAsia="仿宋" w:hAnsi="Arial" w:cs="Arial"/>
                <w:sz w:val="20"/>
                <w:szCs w:val="21"/>
              </w:rPr>
            </w:pPr>
          </w:p>
        </w:tc>
      </w:tr>
    </w:tbl>
    <w:p w14:paraId="39EA1021" w14:textId="77777777" w:rsidR="0062768B" w:rsidRDefault="0062768B">
      <w:pPr>
        <w:snapToGrid w:val="0"/>
        <w:spacing w:line="300" w:lineRule="auto"/>
        <w:ind w:firstLine="556"/>
        <w:jc w:val="both"/>
        <w:rPr>
          <w:rFonts w:ascii="Arial" w:eastAsia="仿宋" w:hAnsi="Arial" w:cs="Arial"/>
          <w:sz w:val="28"/>
        </w:rPr>
      </w:pPr>
    </w:p>
    <w:p w14:paraId="63798A84" w14:textId="77777777" w:rsidR="0062768B" w:rsidRDefault="0062768B">
      <w:pPr>
        <w:snapToGrid w:val="0"/>
        <w:spacing w:line="300" w:lineRule="auto"/>
        <w:ind w:firstLine="556"/>
        <w:jc w:val="both"/>
        <w:rPr>
          <w:rFonts w:ascii="Arial" w:eastAsia="仿宋" w:hAnsi="Arial" w:cs="Arial"/>
          <w:sz w:val="28"/>
        </w:rPr>
      </w:pPr>
    </w:p>
    <w:p w14:paraId="48C3E390" w14:textId="77777777" w:rsidR="0062768B" w:rsidRDefault="00136729">
      <w:pPr>
        <w:snapToGrid w:val="0"/>
        <w:spacing w:line="300" w:lineRule="auto"/>
        <w:ind w:firstLine="556"/>
        <w:jc w:val="center"/>
        <w:rPr>
          <w:rFonts w:ascii="Arial" w:eastAsia="仿宋" w:hAnsi="Arial" w:cs="Arial"/>
          <w:sz w:val="28"/>
        </w:rPr>
      </w:pPr>
      <w:r>
        <w:rPr>
          <w:rFonts w:ascii="Arial" w:eastAsia="仿宋" w:hAnsi="Arial" w:cs="Arial"/>
          <w:noProof/>
          <w:sz w:val="28"/>
        </w:rPr>
        <w:lastRenderedPageBreak/>
        <w:drawing>
          <wp:inline distT="0" distB="0" distL="0" distR="0" wp14:anchorId="43D26B1A" wp14:editId="7A63A207">
            <wp:extent cx="3869055" cy="3265170"/>
            <wp:effectExtent l="0" t="0" r="17145" b="11430"/>
            <wp:docPr id="5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DFDDD96" w14:textId="77777777" w:rsidR="0062768B" w:rsidRDefault="0062768B">
      <w:pPr>
        <w:snapToGrid w:val="0"/>
        <w:spacing w:line="300" w:lineRule="auto"/>
        <w:ind w:firstLine="556"/>
        <w:jc w:val="both"/>
        <w:rPr>
          <w:rFonts w:ascii="Arial" w:eastAsia="仿宋" w:hAnsi="Arial" w:cs="Arial"/>
          <w:sz w:val="28"/>
        </w:rPr>
      </w:pPr>
    </w:p>
    <w:p w14:paraId="2F2A87E7" w14:textId="77777777" w:rsidR="0062768B" w:rsidRDefault="00136729">
      <w:pPr>
        <w:snapToGrid w:val="0"/>
        <w:spacing w:line="300" w:lineRule="auto"/>
        <w:ind w:firstLine="556"/>
        <w:jc w:val="both"/>
        <w:rPr>
          <w:rFonts w:ascii="Arial" w:eastAsia="仿宋" w:hAnsi="Arial" w:cs="Arial"/>
          <w:sz w:val="28"/>
        </w:rPr>
      </w:pPr>
      <w:r>
        <w:rPr>
          <w:rFonts w:ascii="Arial" w:eastAsia="仿宋" w:hAnsi="Arial" w:cs="Arial" w:hint="eastAsia"/>
          <w:sz w:val="28"/>
        </w:rPr>
        <w:t>估价对象周边于近</w:t>
      </w:r>
      <w:r>
        <w:rPr>
          <w:rFonts w:ascii="Arial" w:eastAsia="仿宋" w:hAnsi="Arial" w:cs="Arial"/>
          <w:sz w:val="28"/>
        </w:rPr>
        <w:t>3</w:t>
      </w:r>
      <w:r>
        <w:rPr>
          <w:rFonts w:ascii="Arial" w:eastAsia="仿宋" w:hAnsi="Arial" w:cs="Arial" w:hint="eastAsia"/>
          <w:sz w:val="28"/>
        </w:rPr>
        <w:t>年无成交案例，在上述</w:t>
      </w:r>
      <w:r>
        <w:rPr>
          <w:rFonts w:ascii="Arial" w:eastAsia="仿宋" w:hAnsi="Arial" w:cs="Arial"/>
          <w:sz w:val="28"/>
        </w:rPr>
        <w:t>2</w:t>
      </w:r>
      <w:r>
        <w:rPr>
          <w:rFonts w:ascii="Arial" w:eastAsia="仿宋" w:hAnsi="Arial" w:cs="Arial" w:hint="eastAsia"/>
          <w:sz w:val="28"/>
        </w:rPr>
        <w:t>宗地块</w:t>
      </w:r>
      <w:proofErr w:type="gramStart"/>
      <w:r>
        <w:rPr>
          <w:rFonts w:ascii="Arial" w:eastAsia="仿宋" w:hAnsi="Arial" w:cs="Arial" w:hint="eastAsia"/>
          <w:sz w:val="28"/>
        </w:rPr>
        <w:t>审定楼</w:t>
      </w:r>
      <w:proofErr w:type="gramEnd"/>
      <w:r>
        <w:rPr>
          <w:rFonts w:ascii="Arial" w:eastAsia="仿宋" w:hAnsi="Arial" w:cs="Arial" w:hint="eastAsia"/>
          <w:sz w:val="28"/>
        </w:rPr>
        <w:t>面熟地价的分别为</w:t>
      </w:r>
      <w:r>
        <w:rPr>
          <w:rFonts w:ascii="Arial" w:eastAsia="仿宋" w:hAnsi="Arial" w:cs="Arial"/>
          <w:sz w:val="28"/>
        </w:rPr>
        <w:t>2018</w:t>
      </w:r>
      <w:r>
        <w:rPr>
          <w:rFonts w:ascii="Arial" w:eastAsia="仿宋" w:hAnsi="Arial" w:cs="Arial" w:hint="eastAsia"/>
          <w:sz w:val="28"/>
        </w:rPr>
        <w:t>年</w:t>
      </w:r>
      <w:r>
        <w:rPr>
          <w:rFonts w:ascii="Arial" w:eastAsia="仿宋" w:hAnsi="Arial" w:cs="Arial"/>
          <w:sz w:val="28"/>
        </w:rPr>
        <w:t>8</w:t>
      </w:r>
      <w:r>
        <w:rPr>
          <w:rFonts w:ascii="Arial" w:eastAsia="仿宋" w:hAnsi="Arial" w:cs="Arial" w:hint="eastAsia"/>
          <w:sz w:val="28"/>
        </w:rPr>
        <w:t>月和</w:t>
      </w:r>
      <w:r>
        <w:rPr>
          <w:rFonts w:ascii="Arial" w:eastAsia="仿宋" w:hAnsi="Arial" w:cs="Arial"/>
          <w:sz w:val="28"/>
        </w:rPr>
        <w:t>2019</w:t>
      </w:r>
      <w:r>
        <w:rPr>
          <w:rFonts w:ascii="Arial" w:eastAsia="仿宋" w:hAnsi="Arial" w:cs="Arial" w:hint="eastAsia"/>
          <w:sz w:val="28"/>
        </w:rPr>
        <w:t>年</w:t>
      </w:r>
      <w:r>
        <w:rPr>
          <w:rFonts w:ascii="Arial" w:eastAsia="仿宋" w:hAnsi="Arial" w:cs="Arial"/>
          <w:sz w:val="28"/>
        </w:rPr>
        <w:t>4</w:t>
      </w:r>
      <w:r>
        <w:rPr>
          <w:rFonts w:ascii="Arial" w:eastAsia="仿宋" w:hAnsi="Arial" w:cs="Arial" w:hint="eastAsia"/>
          <w:sz w:val="28"/>
        </w:rPr>
        <w:t>月，其中地块</w:t>
      </w:r>
      <w:r>
        <w:rPr>
          <w:rFonts w:ascii="Arial" w:eastAsia="仿宋" w:hAnsi="Arial" w:cs="Arial"/>
          <w:sz w:val="28"/>
        </w:rPr>
        <w:t>1</w:t>
      </w:r>
      <w:r>
        <w:rPr>
          <w:rFonts w:ascii="Arial" w:eastAsia="仿宋" w:hAnsi="Arial" w:cs="Arial" w:hint="eastAsia"/>
          <w:sz w:val="28"/>
        </w:rPr>
        <w:t>属于住宅七级（</w:t>
      </w:r>
      <w:r>
        <w:rPr>
          <w:rFonts w:ascii="Arial" w:eastAsia="仿宋" w:hAnsi="Arial" w:cs="Arial"/>
          <w:sz w:val="28"/>
        </w:rPr>
        <w:t>VII-</w:t>
      </w:r>
      <w:r>
        <w:rPr>
          <w:rFonts w:ascii="Arial" w:eastAsia="仿宋" w:hAnsi="Arial" w:cs="Arial" w:hint="eastAsia"/>
          <w:sz w:val="28"/>
        </w:rPr>
        <w:t>顺</w:t>
      </w:r>
      <w:r>
        <w:rPr>
          <w:rFonts w:ascii="Arial" w:eastAsia="仿宋" w:hAnsi="Arial" w:cs="Arial"/>
          <w:sz w:val="28"/>
        </w:rPr>
        <w:t>3</w:t>
      </w:r>
      <w:r>
        <w:rPr>
          <w:rFonts w:ascii="Arial" w:eastAsia="仿宋" w:hAnsi="Arial" w:cs="Arial" w:hint="eastAsia"/>
          <w:sz w:val="28"/>
        </w:rPr>
        <w:t>），</w:t>
      </w:r>
      <w:proofErr w:type="gramStart"/>
      <w:r>
        <w:rPr>
          <w:rFonts w:ascii="Arial" w:eastAsia="仿宋" w:hAnsi="Arial" w:cs="Arial" w:hint="eastAsia"/>
          <w:sz w:val="28"/>
        </w:rPr>
        <w:t>审定楼</w:t>
      </w:r>
      <w:proofErr w:type="gramEnd"/>
      <w:r>
        <w:rPr>
          <w:rFonts w:ascii="Arial" w:eastAsia="仿宋" w:hAnsi="Arial" w:cs="Arial" w:hint="eastAsia"/>
          <w:sz w:val="28"/>
        </w:rPr>
        <w:t>面熟地价为</w:t>
      </w:r>
      <w:r>
        <w:rPr>
          <w:rFonts w:ascii="Arial" w:eastAsia="仿宋" w:hAnsi="Arial" w:cs="Arial"/>
          <w:sz w:val="28"/>
        </w:rPr>
        <w:t>18670</w:t>
      </w:r>
      <w:r>
        <w:rPr>
          <w:rFonts w:ascii="Arial" w:eastAsia="仿宋" w:hAnsi="Arial" w:cs="Arial" w:hint="eastAsia"/>
          <w:sz w:val="28"/>
        </w:rPr>
        <w:t>元</w:t>
      </w:r>
      <w:r>
        <w:rPr>
          <w:rFonts w:ascii="Arial" w:eastAsia="仿宋" w:hAnsi="Arial" w:cs="Arial"/>
          <w:sz w:val="28"/>
        </w:rPr>
        <w:t>/</w:t>
      </w:r>
      <w:r>
        <w:rPr>
          <w:rFonts w:ascii="Arial" w:eastAsia="仿宋" w:hAnsi="Arial" w:cs="Arial" w:hint="eastAsia"/>
          <w:sz w:val="28"/>
        </w:rPr>
        <w:t>平方米；地块</w:t>
      </w:r>
      <w:r>
        <w:rPr>
          <w:rFonts w:ascii="Arial" w:eastAsia="仿宋" w:hAnsi="Arial" w:cs="Arial"/>
          <w:sz w:val="28"/>
        </w:rPr>
        <w:t>2</w:t>
      </w:r>
      <w:r>
        <w:rPr>
          <w:rFonts w:ascii="Arial" w:eastAsia="仿宋" w:hAnsi="Arial" w:cs="Arial" w:hint="eastAsia"/>
          <w:sz w:val="28"/>
        </w:rPr>
        <w:t>属于住宅八级（</w:t>
      </w:r>
      <w:r>
        <w:rPr>
          <w:rFonts w:ascii="Arial" w:eastAsia="仿宋" w:hAnsi="Arial" w:cs="Arial"/>
          <w:sz w:val="28"/>
        </w:rPr>
        <w:t>VIII-</w:t>
      </w:r>
      <w:r>
        <w:rPr>
          <w:rFonts w:ascii="Arial" w:eastAsia="仿宋" w:hAnsi="Arial" w:cs="Arial" w:hint="eastAsia"/>
          <w:sz w:val="28"/>
        </w:rPr>
        <w:t>顺</w:t>
      </w:r>
      <w:r>
        <w:rPr>
          <w:rFonts w:ascii="Arial" w:eastAsia="仿宋" w:hAnsi="Arial" w:cs="Arial"/>
          <w:sz w:val="28"/>
        </w:rPr>
        <w:t>4</w:t>
      </w:r>
      <w:r>
        <w:rPr>
          <w:rFonts w:ascii="Arial" w:eastAsia="仿宋" w:hAnsi="Arial" w:cs="Arial" w:hint="eastAsia"/>
          <w:sz w:val="28"/>
        </w:rPr>
        <w:t>）</w:t>
      </w:r>
      <w:proofErr w:type="gramStart"/>
      <w:r>
        <w:rPr>
          <w:rFonts w:ascii="Arial" w:eastAsia="仿宋" w:hAnsi="Arial" w:cs="Arial" w:hint="eastAsia"/>
          <w:sz w:val="28"/>
        </w:rPr>
        <w:t>审定楼</w:t>
      </w:r>
      <w:proofErr w:type="gramEnd"/>
      <w:r>
        <w:rPr>
          <w:rFonts w:ascii="Arial" w:eastAsia="仿宋" w:hAnsi="Arial" w:cs="Arial" w:hint="eastAsia"/>
          <w:sz w:val="28"/>
        </w:rPr>
        <w:t>面熟地价为</w:t>
      </w:r>
      <w:r>
        <w:rPr>
          <w:rFonts w:ascii="Arial" w:eastAsia="仿宋" w:hAnsi="Arial" w:cs="Arial"/>
          <w:sz w:val="28"/>
        </w:rPr>
        <w:t>18534</w:t>
      </w:r>
      <w:r>
        <w:rPr>
          <w:rFonts w:ascii="Arial" w:eastAsia="仿宋" w:hAnsi="Arial" w:cs="Arial" w:hint="eastAsia"/>
          <w:sz w:val="28"/>
        </w:rPr>
        <w:t>元</w:t>
      </w:r>
      <w:r>
        <w:rPr>
          <w:rFonts w:ascii="Arial" w:eastAsia="仿宋" w:hAnsi="Arial" w:cs="Arial"/>
          <w:sz w:val="28"/>
        </w:rPr>
        <w:t>/</w:t>
      </w:r>
      <w:r>
        <w:rPr>
          <w:rFonts w:ascii="Arial" w:eastAsia="仿宋" w:hAnsi="Arial" w:cs="Arial" w:hint="eastAsia"/>
          <w:sz w:val="28"/>
        </w:rPr>
        <w:t>平方米。</w:t>
      </w:r>
    </w:p>
    <w:p w14:paraId="0DAC7C8B" w14:textId="77777777" w:rsidR="0062768B" w:rsidRDefault="00136729">
      <w:pPr>
        <w:snapToGrid w:val="0"/>
        <w:spacing w:line="300" w:lineRule="auto"/>
        <w:ind w:firstLine="556"/>
        <w:jc w:val="both"/>
        <w:rPr>
          <w:rFonts w:ascii="Arial" w:eastAsia="仿宋" w:hAnsi="Arial" w:cs="Arial"/>
          <w:b/>
          <w:bCs/>
          <w:sz w:val="28"/>
        </w:rPr>
      </w:pPr>
      <w:r>
        <w:rPr>
          <w:rFonts w:ascii="Arial" w:eastAsia="仿宋" w:hAnsi="Arial" w:cs="Arial" w:hint="eastAsia"/>
          <w:sz w:val="28"/>
        </w:rPr>
        <w:t>估价对象位于北京市顺义区高丽营镇夏县营村，上述</w:t>
      </w:r>
      <w:r>
        <w:rPr>
          <w:rFonts w:ascii="Arial" w:eastAsia="仿宋" w:hAnsi="Arial" w:cs="Arial"/>
          <w:sz w:val="28"/>
        </w:rPr>
        <w:t>2</w:t>
      </w:r>
      <w:r>
        <w:rPr>
          <w:rFonts w:ascii="Arial" w:eastAsia="仿宋" w:hAnsi="Arial" w:cs="Arial" w:hint="eastAsia"/>
          <w:sz w:val="28"/>
        </w:rPr>
        <w:t>宗地块与估价对象同属高丽营镇，但土地级别均高于估价对象；地块</w:t>
      </w:r>
      <w:r>
        <w:rPr>
          <w:rFonts w:ascii="Arial" w:eastAsia="仿宋" w:hAnsi="Arial" w:cs="Arial"/>
          <w:sz w:val="28"/>
        </w:rPr>
        <w:t>1</w:t>
      </w:r>
      <w:r>
        <w:rPr>
          <w:rFonts w:ascii="Arial" w:eastAsia="仿宋" w:hAnsi="Arial" w:cs="Arial" w:hint="eastAsia"/>
          <w:sz w:val="28"/>
        </w:rPr>
        <w:t>临近高速公路和温榆河公园，交通便利，自然环境较好；地块</w:t>
      </w:r>
      <w:r>
        <w:rPr>
          <w:rFonts w:ascii="Arial" w:eastAsia="仿宋" w:hAnsi="Arial" w:cs="Arial"/>
          <w:sz w:val="28"/>
        </w:rPr>
        <w:t>2</w:t>
      </w:r>
      <w:r>
        <w:rPr>
          <w:rFonts w:ascii="Arial" w:eastAsia="仿宋" w:hAnsi="Arial" w:cs="Arial" w:hint="eastAsia"/>
          <w:sz w:val="28"/>
        </w:rPr>
        <w:t>临近高速路及城市快速路，交通便利；考虑到估价对象位置状况，</w:t>
      </w:r>
      <w:r>
        <w:rPr>
          <w:rFonts w:ascii="Arial" w:eastAsia="仿宋" w:hAnsi="Arial" w:cs="Arial" w:hint="eastAsia"/>
          <w:b/>
          <w:bCs/>
          <w:sz w:val="28"/>
        </w:rPr>
        <w:t>本次估价结果低于上述</w:t>
      </w:r>
      <w:r>
        <w:rPr>
          <w:rFonts w:ascii="Arial" w:eastAsia="仿宋" w:hAnsi="Arial" w:cs="Arial"/>
          <w:b/>
          <w:bCs/>
          <w:sz w:val="28"/>
        </w:rPr>
        <w:t>2</w:t>
      </w:r>
      <w:r>
        <w:rPr>
          <w:rFonts w:ascii="Arial" w:eastAsia="仿宋" w:hAnsi="Arial" w:cs="Arial" w:hint="eastAsia"/>
          <w:b/>
          <w:bCs/>
          <w:sz w:val="28"/>
        </w:rPr>
        <w:t>宗地块的</w:t>
      </w:r>
      <w:proofErr w:type="gramStart"/>
      <w:r>
        <w:rPr>
          <w:rFonts w:ascii="Arial" w:eastAsia="仿宋" w:hAnsi="Arial" w:cs="Arial" w:hint="eastAsia"/>
          <w:b/>
          <w:bCs/>
          <w:sz w:val="28"/>
        </w:rPr>
        <w:t>审定楼</w:t>
      </w:r>
      <w:proofErr w:type="gramEnd"/>
      <w:r>
        <w:rPr>
          <w:rFonts w:ascii="Arial" w:eastAsia="仿宋" w:hAnsi="Arial" w:cs="Arial" w:hint="eastAsia"/>
          <w:b/>
          <w:bCs/>
          <w:sz w:val="28"/>
        </w:rPr>
        <w:t>面熟地价在合理范围之内。</w:t>
      </w:r>
    </w:p>
    <w:p w14:paraId="2D3288E2" w14:textId="77777777" w:rsidR="0062768B" w:rsidRDefault="0062768B">
      <w:pPr>
        <w:snapToGrid w:val="0"/>
        <w:spacing w:line="300" w:lineRule="auto"/>
        <w:ind w:firstLine="556"/>
        <w:jc w:val="both"/>
        <w:rPr>
          <w:rFonts w:ascii="Arial" w:eastAsia="仿宋" w:hAnsi="Arial" w:cs="Arial"/>
          <w:sz w:val="28"/>
        </w:rPr>
      </w:pPr>
    </w:p>
    <w:p w14:paraId="06BA1C46" w14:textId="77777777" w:rsidR="0062768B" w:rsidRDefault="00136729">
      <w:pPr>
        <w:spacing w:line="300" w:lineRule="auto"/>
        <w:jc w:val="both"/>
        <w:outlineLvl w:val="1"/>
        <w:rPr>
          <w:rFonts w:ascii="Arial" w:eastAsia="仿宋_GB2312" w:hAnsi="Arial" w:cs="Arial"/>
          <w:b/>
          <w:sz w:val="28"/>
        </w:rPr>
      </w:pPr>
      <w:bookmarkStart w:id="429" w:name="_Toc132016761"/>
      <w:bookmarkStart w:id="430" w:name="_Toc138063042"/>
      <w:bookmarkStart w:id="431" w:name="_Toc132016644"/>
      <w:r>
        <w:rPr>
          <w:rFonts w:ascii="Arial" w:eastAsia="仿宋_GB2312" w:hAnsi="Arial" w:cs="Arial"/>
          <w:b/>
          <w:sz w:val="28"/>
        </w:rPr>
        <w:t>六、估价结果的确定</w:t>
      </w:r>
      <w:bookmarkEnd w:id="429"/>
      <w:bookmarkEnd w:id="430"/>
      <w:bookmarkEnd w:id="431"/>
    </w:p>
    <w:p w14:paraId="2CDB5890" w14:textId="77777777" w:rsidR="0062768B" w:rsidRDefault="00136729">
      <w:pPr>
        <w:spacing w:line="300" w:lineRule="auto"/>
        <w:ind w:firstLineChars="200" w:firstLine="562"/>
        <w:jc w:val="both"/>
        <w:rPr>
          <w:rFonts w:ascii="Arial" w:eastAsia="仿宋_GB2312" w:hAnsi="Arial" w:cs="Arial"/>
          <w:kern w:val="2"/>
          <w:sz w:val="28"/>
        </w:rPr>
      </w:pPr>
      <w:bookmarkStart w:id="432" w:name="_Toc132016762"/>
      <w:bookmarkStart w:id="433" w:name="_Toc132016645"/>
      <w:r>
        <w:rPr>
          <w:rFonts w:ascii="黑体" w:eastAsia="黑体" w:hAnsi="黑体" w:cs="Arial"/>
          <w:b/>
          <w:sz w:val="28"/>
        </w:rPr>
        <w:t>估价对象位于北京市基准地价住宅</w:t>
      </w:r>
      <w:r>
        <w:rPr>
          <w:rFonts w:ascii="黑体" w:eastAsia="黑体" w:hAnsi="黑体" w:cs="Arial" w:hint="eastAsia"/>
          <w:b/>
          <w:sz w:val="28"/>
        </w:rPr>
        <w:t>九级（IX-顺5）</w:t>
      </w:r>
      <w:r>
        <w:rPr>
          <w:rFonts w:ascii="黑体" w:eastAsia="黑体" w:hAnsi="黑体" w:cs="Arial"/>
          <w:b/>
          <w:sz w:val="28"/>
        </w:rPr>
        <w:t>、商业</w:t>
      </w:r>
      <w:r>
        <w:rPr>
          <w:rFonts w:ascii="黑体" w:eastAsia="黑体" w:hAnsi="黑体" w:cs="Arial" w:hint="eastAsia"/>
          <w:b/>
          <w:sz w:val="28"/>
        </w:rPr>
        <w:t>（其他商服）九级（IX-顺5）</w:t>
      </w:r>
      <w:r>
        <w:rPr>
          <w:rFonts w:ascii="黑体" w:eastAsia="黑体" w:hAnsi="黑体" w:cs="Arial"/>
          <w:b/>
          <w:sz w:val="28"/>
        </w:rPr>
        <w:t>、</w:t>
      </w:r>
      <w:r>
        <w:rPr>
          <w:rFonts w:ascii="黑体" w:eastAsia="黑体" w:hAnsi="黑体" w:cs="Arial" w:hint="eastAsia"/>
          <w:b/>
          <w:sz w:val="28"/>
        </w:rPr>
        <w:t>公共服务九级（IX-顺5）</w:t>
      </w:r>
      <w:r>
        <w:rPr>
          <w:rFonts w:ascii="黑体" w:eastAsia="黑体" w:hAnsi="黑体" w:cs="Arial"/>
          <w:b/>
          <w:sz w:val="28"/>
        </w:rPr>
        <w:t>范围内</w:t>
      </w:r>
      <w:r>
        <w:rPr>
          <w:rFonts w:ascii="Arial" w:eastAsia="黑体" w:hAnsi="Arial" w:cs="Arial"/>
          <w:b/>
          <w:sz w:val="28"/>
        </w:rPr>
        <w:t>。</w:t>
      </w:r>
      <w:r>
        <w:rPr>
          <w:rFonts w:ascii="Arial" w:eastAsia="仿宋_GB2312" w:hAnsi="Arial" w:cs="Arial"/>
          <w:kern w:val="2"/>
          <w:sz w:val="28"/>
        </w:rPr>
        <w:t>土地估价专业评估师根据估价的目的，按照估价的程序，采用科学的估价方法（基准地价系数修正法和剩余法），在认真分析现有资料的基础上，通过仔细测算和认真分析各种影响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w:t>
      </w:r>
      <w:r>
        <w:rPr>
          <w:rFonts w:ascii="Arial" w:eastAsia="仿宋_GB2312" w:hAnsi="Arial" w:cs="Arial"/>
          <w:kern w:val="2"/>
          <w:sz w:val="28"/>
        </w:rPr>
        <w:t>楼面熟地价、政府土地出让收益、土地开发总成本为：</w:t>
      </w:r>
    </w:p>
    <w:p w14:paraId="75E14973" w14:textId="77777777" w:rsidR="0062768B" w:rsidRDefault="0062768B">
      <w:pPr>
        <w:snapToGrid w:val="0"/>
        <w:spacing w:line="300" w:lineRule="auto"/>
        <w:ind w:firstLineChars="200" w:firstLine="562"/>
        <w:rPr>
          <w:rFonts w:ascii="Arial" w:eastAsia="仿宋_GB2312" w:hAnsi="Arial" w:cs="Arial"/>
          <w:b/>
          <w:kern w:val="2"/>
          <w:sz w:val="28"/>
        </w:rPr>
      </w:pPr>
    </w:p>
    <w:p w14:paraId="5ECBC95F" w14:textId="77777777" w:rsidR="0062768B" w:rsidRDefault="0062768B">
      <w:pPr>
        <w:snapToGrid w:val="0"/>
        <w:spacing w:line="300" w:lineRule="auto"/>
        <w:ind w:firstLineChars="200" w:firstLine="562"/>
        <w:rPr>
          <w:rFonts w:ascii="Arial" w:eastAsia="仿宋_GB2312" w:hAnsi="Arial" w:cs="Arial"/>
          <w:b/>
          <w:kern w:val="2"/>
          <w:sz w:val="28"/>
        </w:rPr>
      </w:pPr>
    </w:p>
    <w:p w14:paraId="4AF92072" w14:textId="77777777" w:rsidR="0062768B" w:rsidRDefault="00136729">
      <w:pPr>
        <w:snapToGrid w:val="0"/>
        <w:spacing w:line="300" w:lineRule="auto"/>
        <w:ind w:firstLineChars="200" w:firstLine="562"/>
        <w:rPr>
          <w:rFonts w:ascii="Arial" w:eastAsia="仿宋_GB2312" w:hAnsi="Arial" w:cs="Arial"/>
          <w:b/>
          <w:kern w:val="2"/>
          <w:sz w:val="28"/>
        </w:rPr>
      </w:pPr>
      <w:r>
        <w:rPr>
          <w:rFonts w:ascii="Arial" w:eastAsia="仿宋_GB2312" w:hAnsi="Arial" w:cs="Arial"/>
          <w:b/>
          <w:kern w:val="2"/>
          <w:sz w:val="28"/>
        </w:rPr>
        <w:lastRenderedPageBreak/>
        <w:t>熟地价：</w:t>
      </w:r>
    </w:p>
    <w:p w14:paraId="525E9492"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熟地价总额：</w:t>
      </w:r>
      <w:r>
        <w:rPr>
          <w:rFonts w:ascii="Arial" w:eastAsia="仿宋_GB2312" w:hAnsi="Arial" w:cs="Arial"/>
          <w:kern w:val="2"/>
          <w:sz w:val="28"/>
        </w:rPr>
        <w:t xml:space="preserve">103245.0381 </w:t>
      </w:r>
      <w:r>
        <w:rPr>
          <w:rFonts w:ascii="Arial" w:eastAsia="仿宋_GB2312" w:hAnsi="Arial" w:cs="Arial"/>
          <w:kern w:val="2"/>
          <w:sz w:val="28"/>
        </w:rPr>
        <w:t>万元</w:t>
      </w:r>
    </w:p>
    <w:p w14:paraId="1176991B"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壹拾亿零叁仟贰佰肆拾伍万零叁佰捌拾壹</w:t>
      </w:r>
      <w:proofErr w:type="gramEnd"/>
      <w:r>
        <w:rPr>
          <w:rFonts w:ascii="Arial" w:eastAsia="仿宋_GB2312" w:hAnsi="Arial" w:cs="Arial"/>
          <w:kern w:val="2"/>
          <w:sz w:val="28"/>
        </w:rPr>
        <w:t>元整</w:t>
      </w:r>
    </w:p>
    <w:p w14:paraId="0DDC6226" w14:textId="77777777" w:rsidR="0062768B" w:rsidRDefault="00136729">
      <w:pPr>
        <w:snapToGrid w:val="0"/>
        <w:spacing w:beforeLines="50" w:before="120" w:line="300" w:lineRule="auto"/>
        <w:ind w:firstLineChars="200" w:firstLine="562"/>
        <w:rPr>
          <w:rFonts w:ascii="Arial" w:eastAsia="仿宋_GB2312" w:hAnsi="Arial" w:cs="Arial"/>
          <w:b/>
          <w:kern w:val="2"/>
          <w:sz w:val="28"/>
        </w:rPr>
      </w:pPr>
      <w:r>
        <w:rPr>
          <w:rFonts w:ascii="Arial" w:eastAsia="仿宋_GB2312" w:hAnsi="Arial" w:cs="Arial"/>
          <w:b/>
          <w:kern w:val="2"/>
          <w:sz w:val="28"/>
        </w:rPr>
        <w:t>政府土地出让收益：</w:t>
      </w:r>
    </w:p>
    <w:p w14:paraId="5AAE0E44"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政府土地出让收益总额：</w:t>
      </w:r>
      <w:r>
        <w:rPr>
          <w:rFonts w:ascii="Arial" w:eastAsia="仿宋_GB2312" w:hAnsi="Arial" w:cs="Arial"/>
          <w:kern w:val="2"/>
          <w:sz w:val="28"/>
        </w:rPr>
        <w:t>25814.6670</w:t>
      </w:r>
      <w:r>
        <w:rPr>
          <w:rFonts w:ascii="Arial" w:eastAsia="仿宋_GB2312" w:hAnsi="Arial" w:cs="Arial"/>
          <w:kern w:val="2"/>
          <w:sz w:val="28"/>
        </w:rPr>
        <w:t>万元</w:t>
      </w:r>
    </w:p>
    <w:p w14:paraId="626624F6"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贰亿伍仟捌佰壹拾肆万陆仟陆佰柒拾</w:t>
      </w:r>
      <w:proofErr w:type="gramEnd"/>
      <w:r>
        <w:rPr>
          <w:rFonts w:ascii="Arial" w:eastAsia="仿宋_GB2312" w:hAnsi="Arial" w:cs="Arial"/>
          <w:kern w:val="2"/>
          <w:sz w:val="28"/>
        </w:rPr>
        <w:t>元整</w:t>
      </w:r>
    </w:p>
    <w:p w14:paraId="03A4DE8B"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详见《估价结果汇总表》</w:t>
      </w:r>
    </w:p>
    <w:p w14:paraId="66FA208F" w14:textId="77777777" w:rsidR="0062768B" w:rsidRDefault="00136729">
      <w:pPr>
        <w:snapToGrid w:val="0"/>
        <w:spacing w:beforeLines="50" w:before="120" w:line="300" w:lineRule="auto"/>
        <w:ind w:firstLineChars="200" w:firstLine="562"/>
        <w:rPr>
          <w:rFonts w:ascii="Arial" w:eastAsia="仿宋_GB2312" w:hAnsi="Arial" w:cs="Arial"/>
          <w:b/>
          <w:kern w:val="2"/>
          <w:sz w:val="28"/>
        </w:rPr>
      </w:pPr>
      <w:r>
        <w:rPr>
          <w:rFonts w:ascii="Arial" w:eastAsia="仿宋_GB2312" w:hAnsi="Arial" w:cs="Arial"/>
          <w:b/>
          <w:kern w:val="2"/>
          <w:sz w:val="28"/>
        </w:rPr>
        <w:t>土地开发总成本：</w:t>
      </w:r>
      <w:r>
        <w:rPr>
          <w:rFonts w:ascii="Arial" w:eastAsia="仿宋_GB2312" w:hAnsi="Arial" w:cs="Arial" w:hint="eastAsia"/>
          <w:b/>
          <w:kern w:val="2"/>
          <w:sz w:val="28"/>
        </w:rPr>
        <w:t xml:space="preserve"> </w:t>
      </w:r>
    </w:p>
    <w:p w14:paraId="24BFF248"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土地开发总成本：</w:t>
      </w:r>
      <w:r w:rsidR="00550FB0">
        <w:rPr>
          <w:rFonts w:ascii="Arial" w:eastAsia="仿宋_GB2312" w:hAnsi="Arial" w:cs="Arial" w:hint="eastAsia"/>
          <w:kern w:val="2"/>
          <w:sz w:val="28"/>
        </w:rPr>
        <w:t>78853.6400</w:t>
      </w:r>
      <w:r>
        <w:rPr>
          <w:rFonts w:ascii="Arial" w:eastAsia="仿宋_GB2312" w:hAnsi="Arial" w:cs="Arial"/>
          <w:kern w:val="2"/>
          <w:sz w:val="28"/>
        </w:rPr>
        <w:t>万元</w:t>
      </w:r>
    </w:p>
    <w:p w14:paraId="72BE6FF2"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大写金额：</w:t>
      </w:r>
      <w:proofErr w:type="gramStart"/>
      <w:r w:rsidR="00550FB0">
        <w:rPr>
          <w:rFonts w:ascii="Arial" w:eastAsia="仿宋_GB2312" w:hAnsi="Arial" w:cs="Arial" w:hint="eastAsia"/>
          <w:kern w:val="2"/>
          <w:sz w:val="28"/>
        </w:rPr>
        <w:t>柒亿捌仟捌佰伍拾叁万陆仟肆佰</w:t>
      </w:r>
      <w:proofErr w:type="gramEnd"/>
      <w:r>
        <w:rPr>
          <w:rFonts w:ascii="Arial" w:eastAsia="仿宋_GB2312" w:hAnsi="Arial" w:cs="Arial"/>
          <w:kern w:val="2"/>
          <w:sz w:val="28"/>
        </w:rPr>
        <w:t>元整</w:t>
      </w:r>
    </w:p>
    <w:p w14:paraId="0ED9952C"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详见《估价结果汇总表》</w:t>
      </w:r>
    </w:p>
    <w:p w14:paraId="4C3C6F02" w14:textId="77777777" w:rsidR="0062768B" w:rsidRDefault="00136729">
      <w:pPr>
        <w:snapToGrid w:val="0"/>
        <w:spacing w:beforeLines="50" w:before="120" w:line="300" w:lineRule="auto"/>
        <w:ind w:firstLineChars="200" w:firstLine="562"/>
        <w:rPr>
          <w:rFonts w:ascii="Arial" w:eastAsia="仿宋_GB2312" w:hAnsi="Arial" w:cs="Arial"/>
          <w:b/>
          <w:kern w:val="2"/>
          <w:sz w:val="28"/>
        </w:rPr>
      </w:pPr>
      <w:r>
        <w:rPr>
          <w:rFonts w:ascii="Arial" w:eastAsia="仿宋_GB2312" w:hAnsi="Arial" w:cs="Arial"/>
          <w:b/>
          <w:kern w:val="2"/>
          <w:sz w:val="28"/>
        </w:rPr>
        <w:t>本项目不存在回迁、回购等实物补偿内容。</w:t>
      </w:r>
    </w:p>
    <w:tbl>
      <w:tblPr>
        <w:tblW w:w="9072" w:type="dxa"/>
        <w:jc w:val="center"/>
        <w:tblLayout w:type="fixed"/>
        <w:tblLook w:val="04A0" w:firstRow="1" w:lastRow="0" w:firstColumn="1" w:lastColumn="0" w:noHBand="0" w:noVBand="1"/>
      </w:tblPr>
      <w:tblGrid>
        <w:gridCol w:w="3403"/>
        <w:gridCol w:w="1843"/>
        <w:gridCol w:w="1596"/>
        <w:gridCol w:w="2230"/>
      </w:tblGrid>
      <w:tr w:rsidR="0062768B" w14:paraId="2CBCE3CE" w14:textId="77777777">
        <w:trPr>
          <w:trHeight w:val="1125"/>
          <w:jc w:val="center"/>
        </w:trPr>
        <w:tc>
          <w:tcPr>
            <w:tcW w:w="9072" w:type="dxa"/>
            <w:gridSpan w:val="4"/>
            <w:tcBorders>
              <w:top w:val="nil"/>
              <w:left w:val="nil"/>
              <w:bottom w:val="single" w:sz="4" w:space="0" w:color="auto"/>
              <w:right w:val="nil"/>
            </w:tcBorders>
            <w:shd w:val="clear" w:color="auto" w:fill="auto"/>
            <w:vAlign w:val="center"/>
          </w:tcPr>
          <w:p w14:paraId="457B7824" w14:textId="77777777" w:rsidR="0062768B" w:rsidRDefault="00136729">
            <w:pPr>
              <w:widowControl/>
              <w:adjustRightInd/>
              <w:spacing w:line="300" w:lineRule="auto"/>
              <w:jc w:val="center"/>
              <w:textAlignment w:val="auto"/>
              <w:rPr>
                <w:rFonts w:ascii="Arial" w:eastAsia="黑体" w:hAnsi="Arial" w:cs="Arial"/>
                <w:sz w:val="28"/>
                <w:szCs w:val="28"/>
              </w:rPr>
            </w:pPr>
            <w:r>
              <w:rPr>
                <w:rFonts w:ascii="Arial" w:eastAsia="仿宋_GB2312" w:hAnsi="Arial" w:cs="Arial" w:hint="eastAsia"/>
                <w:sz w:val="28"/>
              </w:rPr>
              <w:t>北京市顺义区高丽营镇夏县营村</w:t>
            </w:r>
            <w:r>
              <w:rPr>
                <w:rFonts w:ascii="Arial" w:eastAsia="仿宋_GB2312" w:hAnsi="Arial" w:cs="Arial" w:hint="eastAsia"/>
                <w:sz w:val="28"/>
              </w:rPr>
              <w:t>01-008</w:t>
            </w:r>
            <w:r>
              <w:rPr>
                <w:rFonts w:ascii="Arial" w:eastAsia="仿宋_GB2312" w:hAnsi="Arial" w:cs="Arial" w:hint="eastAsia"/>
                <w:sz w:val="28"/>
              </w:rPr>
              <w:t>、</w:t>
            </w:r>
            <w:r>
              <w:rPr>
                <w:rFonts w:ascii="Arial" w:eastAsia="仿宋_GB2312" w:hAnsi="Arial" w:cs="Arial" w:hint="eastAsia"/>
                <w:sz w:val="28"/>
              </w:rPr>
              <w:t>01-016</w:t>
            </w:r>
            <w:r>
              <w:rPr>
                <w:rFonts w:ascii="Arial" w:eastAsia="仿宋_GB2312" w:hAnsi="Arial" w:cs="Arial" w:hint="eastAsia"/>
                <w:sz w:val="28"/>
              </w:rPr>
              <w:t>、</w:t>
            </w:r>
            <w:r>
              <w:rPr>
                <w:rFonts w:ascii="Arial" w:eastAsia="仿宋_GB2312" w:hAnsi="Arial" w:cs="Arial" w:hint="eastAsia"/>
                <w:sz w:val="28"/>
              </w:rPr>
              <w:t>01-026-1</w:t>
            </w:r>
            <w:r>
              <w:rPr>
                <w:rFonts w:ascii="Arial" w:eastAsia="仿宋_GB2312" w:hAnsi="Arial" w:cs="Arial" w:hint="eastAsia"/>
                <w:sz w:val="28"/>
              </w:rPr>
              <w:t>地块</w:t>
            </w:r>
            <w:r>
              <w:rPr>
                <w:rFonts w:ascii="Arial" w:eastAsia="仿宋_GB2312" w:hAnsi="Arial" w:cs="Arial" w:hint="eastAsia"/>
                <w:sz w:val="28"/>
              </w:rPr>
              <w:t>R2</w:t>
            </w:r>
            <w:proofErr w:type="gramStart"/>
            <w:r>
              <w:rPr>
                <w:rFonts w:ascii="Arial" w:eastAsia="仿宋_GB2312" w:hAnsi="Arial" w:cs="Arial" w:hint="eastAsia"/>
                <w:sz w:val="28"/>
              </w:rPr>
              <w:t>二</w:t>
            </w:r>
            <w:proofErr w:type="gramEnd"/>
            <w:r>
              <w:rPr>
                <w:rFonts w:ascii="Arial" w:eastAsia="仿宋_GB2312" w:hAnsi="Arial" w:cs="Arial" w:hint="eastAsia"/>
                <w:sz w:val="28"/>
              </w:rPr>
              <w:t>类居住用地及</w:t>
            </w:r>
            <w:r>
              <w:rPr>
                <w:rFonts w:ascii="Arial" w:eastAsia="仿宋_GB2312" w:hAnsi="Arial" w:cs="Arial" w:hint="eastAsia"/>
                <w:sz w:val="28"/>
              </w:rPr>
              <w:t>01-020</w:t>
            </w:r>
            <w:r>
              <w:rPr>
                <w:rFonts w:ascii="Arial" w:eastAsia="仿宋_GB2312" w:hAnsi="Arial" w:cs="Arial" w:hint="eastAsia"/>
                <w:sz w:val="28"/>
              </w:rPr>
              <w:t>地块</w:t>
            </w:r>
            <w:r>
              <w:rPr>
                <w:rFonts w:ascii="Arial" w:eastAsia="仿宋_GB2312" w:hAnsi="Arial" w:cs="Arial" w:hint="eastAsia"/>
                <w:sz w:val="28"/>
              </w:rPr>
              <w:t>A334</w:t>
            </w:r>
            <w:r>
              <w:rPr>
                <w:rFonts w:ascii="Arial" w:eastAsia="仿宋_GB2312" w:hAnsi="Arial" w:cs="Arial" w:hint="eastAsia"/>
                <w:sz w:val="28"/>
              </w:rPr>
              <w:t>托幼用地项目</w:t>
            </w:r>
            <w:r>
              <w:rPr>
                <w:rFonts w:ascii="Arial" w:eastAsia="仿宋_GB2312" w:hAnsi="Arial" w:cs="Arial"/>
                <w:sz w:val="28"/>
              </w:rPr>
              <w:t>估价结果汇总表</w:t>
            </w:r>
          </w:p>
        </w:tc>
      </w:tr>
      <w:tr w:rsidR="0062768B" w14:paraId="59727478" w14:textId="77777777">
        <w:trPr>
          <w:trHeight w:val="67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657C30CC" w14:textId="77777777" w:rsidR="0062768B" w:rsidRDefault="00136729">
            <w:pPr>
              <w:widowControl/>
              <w:adjustRightInd/>
              <w:snapToGrid w:val="0"/>
              <w:spacing w:line="240" w:lineRule="atLeast"/>
              <w:jc w:val="center"/>
              <w:textAlignment w:val="auto"/>
              <w:rPr>
                <w:rFonts w:ascii="Arial" w:eastAsia="仿宋_GB2312" w:hAnsi="Arial" w:cs="Arial"/>
                <w:szCs w:val="24"/>
              </w:rPr>
            </w:pPr>
            <w:r>
              <w:rPr>
                <w:rFonts w:ascii="Arial" w:eastAsia="仿宋_GB2312" w:hAnsi="Arial" w:cs="Arial"/>
                <w:szCs w:val="24"/>
              </w:rPr>
              <w:t xml:space="preserve">　</w:t>
            </w:r>
          </w:p>
        </w:tc>
        <w:tc>
          <w:tcPr>
            <w:tcW w:w="1843" w:type="dxa"/>
            <w:tcBorders>
              <w:top w:val="nil"/>
              <w:left w:val="nil"/>
              <w:bottom w:val="single" w:sz="4" w:space="0" w:color="auto"/>
              <w:right w:val="single" w:sz="4" w:space="0" w:color="auto"/>
            </w:tcBorders>
            <w:shd w:val="clear" w:color="auto" w:fill="auto"/>
            <w:vAlign w:val="center"/>
          </w:tcPr>
          <w:p w14:paraId="6868EF94" w14:textId="77777777" w:rsidR="0062768B" w:rsidRDefault="00136729">
            <w:pPr>
              <w:widowControl/>
              <w:adjustRightInd/>
              <w:snapToGrid w:val="0"/>
              <w:spacing w:line="240" w:lineRule="atLeast"/>
              <w:jc w:val="center"/>
              <w:textAlignment w:val="auto"/>
              <w:rPr>
                <w:rFonts w:ascii="Arial" w:eastAsia="仿宋_GB2312" w:hAnsi="Arial" w:cs="Arial"/>
                <w:szCs w:val="24"/>
              </w:rPr>
            </w:pPr>
            <w:r>
              <w:rPr>
                <w:rFonts w:ascii="Arial" w:eastAsia="仿宋_GB2312" w:hAnsi="Arial" w:cs="Arial"/>
                <w:szCs w:val="24"/>
              </w:rPr>
              <w:t>楼面单价</w:t>
            </w:r>
            <w:r>
              <w:rPr>
                <w:rFonts w:ascii="Arial" w:eastAsia="仿宋_GB2312" w:hAnsi="Arial" w:cs="Arial"/>
                <w:szCs w:val="24"/>
              </w:rPr>
              <w:br/>
            </w:r>
            <w:r>
              <w:rPr>
                <w:rFonts w:ascii="Arial" w:eastAsia="仿宋_GB2312" w:hAnsi="Arial" w:cs="Arial"/>
                <w:szCs w:val="24"/>
              </w:rPr>
              <w:t>（元</w:t>
            </w:r>
            <w:r>
              <w:rPr>
                <w:rFonts w:ascii="Arial" w:eastAsia="仿宋_GB2312" w:hAnsi="Arial" w:cs="Arial"/>
                <w:szCs w:val="24"/>
              </w:rPr>
              <w:t>/</w:t>
            </w:r>
            <w:r>
              <w:rPr>
                <w:rFonts w:ascii="Arial" w:eastAsia="仿宋_GB2312" w:hAnsi="Arial" w:cs="Arial"/>
                <w:szCs w:val="24"/>
              </w:rPr>
              <w:t>平方米）</w:t>
            </w:r>
          </w:p>
        </w:tc>
        <w:tc>
          <w:tcPr>
            <w:tcW w:w="1596" w:type="dxa"/>
            <w:tcBorders>
              <w:top w:val="nil"/>
              <w:left w:val="nil"/>
              <w:bottom w:val="single" w:sz="4" w:space="0" w:color="auto"/>
              <w:right w:val="single" w:sz="4" w:space="0" w:color="auto"/>
            </w:tcBorders>
            <w:shd w:val="clear" w:color="auto" w:fill="auto"/>
            <w:vAlign w:val="center"/>
          </w:tcPr>
          <w:p w14:paraId="1CBBE911" w14:textId="77777777" w:rsidR="0062768B" w:rsidRDefault="00136729">
            <w:pPr>
              <w:widowControl/>
              <w:adjustRightInd/>
              <w:snapToGrid w:val="0"/>
              <w:spacing w:line="240" w:lineRule="atLeast"/>
              <w:jc w:val="center"/>
              <w:textAlignment w:val="auto"/>
              <w:rPr>
                <w:rFonts w:ascii="Arial" w:eastAsia="仿宋_GB2312" w:hAnsi="Arial" w:cs="Arial"/>
                <w:szCs w:val="24"/>
              </w:rPr>
            </w:pPr>
            <w:r>
              <w:rPr>
                <w:rFonts w:ascii="Arial" w:eastAsia="仿宋_GB2312" w:hAnsi="Arial" w:cs="Arial"/>
                <w:szCs w:val="24"/>
              </w:rPr>
              <w:t>建筑规模</w:t>
            </w:r>
            <w:r>
              <w:rPr>
                <w:rFonts w:ascii="Arial" w:eastAsia="仿宋_GB2312" w:hAnsi="Arial" w:cs="Arial"/>
                <w:szCs w:val="24"/>
              </w:rPr>
              <w:br/>
            </w:r>
            <w:r>
              <w:rPr>
                <w:rFonts w:ascii="Arial" w:eastAsia="仿宋_GB2312" w:hAnsi="Arial" w:cs="Arial"/>
                <w:szCs w:val="24"/>
              </w:rPr>
              <w:t>（平方米）</w:t>
            </w:r>
          </w:p>
        </w:tc>
        <w:tc>
          <w:tcPr>
            <w:tcW w:w="2230" w:type="dxa"/>
            <w:tcBorders>
              <w:top w:val="nil"/>
              <w:left w:val="nil"/>
              <w:bottom w:val="single" w:sz="4" w:space="0" w:color="auto"/>
              <w:right w:val="single" w:sz="4" w:space="0" w:color="auto"/>
            </w:tcBorders>
            <w:shd w:val="clear" w:color="auto" w:fill="auto"/>
            <w:vAlign w:val="center"/>
          </w:tcPr>
          <w:p w14:paraId="6FE90505" w14:textId="77777777" w:rsidR="0062768B" w:rsidRDefault="00136729">
            <w:pPr>
              <w:widowControl/>
              <w:adjustRightInd/>
              <w:snapToGrid w:val="0"/>
              <w:spacing w:line="240" w:lineRule="atLeast"/>
              <w:jc w:val="center"/>
              <w:textAlignment w:val="auto"/>
              <w:rPr>
                <w:rFonts w:ascii="Arial" w:eastAsia="仿宋_GB2312" w:hAnsi="Arial" w:cs="Arial"/>
                <w:szCs w:val="24"/>
              </w:rPr>
            </w:pPr>
            <w:r>
              <w:rPr>
                <w:rFonts w:ascii="Arial" w:eastAsia="仿宋_GB2312" w:hAnsi="Arial" w:cs="Arial"/>
                <w:szCs w:val="24"/>
              </w:rPr>
              <w:t>总价</w:t>
            </w:r>
            <w:r>
              <w:rPr>
                <w:rFonts w:ascii="Arial" w:eastAsia="仿宋_GB2312" w:hAnsi="Arial" w:cs="Arial"/>
                <w:szCs w:val="24"/>
              </w:rPr>
              <w:br/>
            </w:r>
            <w:r>
              <w:rPr>
                <w:rFonts w:ascii="Arial" w:eastAsia="仿宋_GB2312" w:hAnsi="Arial" w:cs="Arial"/>
                <w:szCs w:val="24"/>
              </w:rPr>
              <w:t>（万元）</w:t>
            </w:r>
          </w:p>
        </w:tc>
      </w:tr>
      <w:tr w:rsidR="0062768B" w14:paraId="7261FE04" w14:textId="77777777">
        <w:trPr>
          <w:trHeight w:val="56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16EB0FEA" w14:textId="77777777" w:rsidR="0062768B" w:rsidRDefault="00136729">
            <w:pPr>
              <w:widowControl/>
              <w:adjustRightInd/>
              <w:snapToGrid w:val="0"/>
              <w:spacing w:line="240" w:lineRule="atLeast"/>
              <w:jc w:val="center"/>
              <w:textAlignment w:val="auto"/>
              <w:rPr>
                <w:rFonts w:ascii="Arial" w:eastAsia="仿宋_GB2312" w:hAnsi="Arial" w:cs="Arial"/>
                <w:szCs w:val="24"/>
              </w:rPr>
            </w:pPr>
            <w:r>
              <w:rPr>
                <w:rFonts w:ascii="Arial" w:eastAsia="仿宋_GB2312" w:hAnsi="Arial" w:cs="Arial"/>
                <w:szCs w:val="24"/>
              </w:rPr>
              <w:t>住宅用途熟地价</w:t>
            </w:r>
          </w:p>
        </w:tc>
        <w:tc>
          <w:tcPr>
            <w:tcW w:w="1843" w:type="dxa"/>
            <w:tcBorders>
              <w:top w:val="nil"/>
              <w:left w:val="nil"/>
              <w:bottom w:val="single" w:sz="4" w:space="0" w:color="auto"/>
              <w:right w:val="single" w:sz="4" w:space="0" w:color="auto"/>
            </w:tcBorders>
            <w:shd w:val="clear" w:color="auto" w:fill="auto"/>
            <w:vAlign w:val="center"/>
          </w:tcPr>
          <w:p w14:paraId="52CE4233" w14:textId="77777777" w:rsidR="0062768B" w:rsidRDefault="00136729">
            <w:pPr>
              <w:snapToGrid w:val="0"/>
              <w:spacing w:line="240" w:lineRule="atLeast"/>
              <w:jc w:val="center"/>
              <w:rPr>
                <w:rFonts w:ascii="黑体" w:eastAsia="黑体" w:hAnsi="黑体" w:cs="宋体"/>
                <w:szCs w:val="24"/>
              </w:rPr>
            </w:pPr>
            <w:r>
              <w:rPr>
                <w:rFonts w:ascii="黑体" w:eastAsia="黑体" w:hAnsi="黑体"/>
              </w:rPr>
              <w:t>15150</w:t>
            </w:r>
          </w:p>
        </w:tc>
        <w:tc>
          <w:tcPr>
            <w:tcW w:w="1596" w:type="dxa"/>
            <w:tcBorders>
              <w:top w:val="nil"/>
              <w:left w:val="nil"/>
              <w:bottom w:val="single" w:sz="4" w:space="0" w:color="auto"/>
              <w:right w:val="single" w:sz="4" w:space="0" w:color="auto"/>
            </w:tcBorders>
            <w:shd w:val="clear" w:color="auto" w:fill="auto"/>
            <w:vAlign w:val="center"/>
          </w:tcPr>
          <w:p w14:paraId="4DCE6F39" w14:textId="77777777" w:rsidR="0062768B" w:rsidRDefault="00136729">
            <w:pPr>
              <w:snapToGrid w:val="0"/>
              <w:spacing w:line="240" w:lineRule="atLeast"/>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038DCF9A" w14:textId="77777777" w:rsidR="0062768B" w:rsidRDefault="00136729">
            <w:pPr>
              <w:snapToGrid w:val="0"/>
              <w:spacing w:line="240" w:lineRule="atLeast"/>
              <w:jc w:val="center"/>
              <w:rPr>
                <w:rFonts w:ascii="黑体" w:eastAsia="黑体" w:hAnsi="黑体" w:cs="宋体"/>
                <w:szCs w:val="24"/>
              </w:rPr>
            </w:pPr>
            <w:r>
              <w:rPr>
                <w:rFonts w:ascii="黑体" w:eastAsia="黑体" w:hAnsi="黑体"/>
              </w:rPr>
              <w:t xml:space="preserve">103245.0381 </w:t>
            </w:r>
          </w:p>
        </w:tc>
      </w:tr>
      <w:tr w:rsidR="0062768B" w14:paraId="712546E7"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345ACCB3" w14:textId="77777777" w:rsidR="0062768B" w:rsidRDefault="00136729">
            <w:pPr>
              <w:widowControl/>
              <w:adjustRightInd/>
              <w:snapToGrid w:val="0"/>
              <w:spacing w:line="240" w:lineRule="atLeast"/>
              <w:jc w:val="center"/>
              <w:textAlignment w:val="auto"/>
              <w:rPr>
                <w:rFonts w:ascii="Arial" w:eastAsia="仿宋_GB2312" w:hAnsi="Arial" w:cs="Arial"/>
                <w:szCs w:val="24"/>
              </w:rPr>
            </w:pPr>
            <w:r>
              <w:rPr>
                <w:rFonts w:ascii="Arial" w:eastAsia="仿宋_GB2312" w:hAnsi="Arial" w:cs="Arial"/>
                <w:szCs w:val="24"/>
              </w:rPr>
              <w:t>商业</w:t>
            </w:r>
            <w:r>
              <w:rPr>
                <w:rFonts w:ascii="Arial" w:eastAsia="仿宋_GB2312" w:hAnsi="Arial" w:cs="Arial" w:hint="eastAsia"/>
                <w:szCs w:val="24"/>
              </w:rPr>
              <w:t>（其他商服）</w:t>
            </w:r>
            <w:r>
              <w:rPr>
                <w:rFonts w:ascii="Arial" w:eastAsia="仿宋_GB2312" w:hAnsi="Arial" w:cs="Arial"/>
                <w:szCs w:val="24"/>
              </w:rPr>
              <w:t>用途熟地价</w:t>
            </w:r>
          </w:p>
        </w:tc>
        <w:tc>
          <w:tcPr>
            <w:tcW w:w="1843" w:type="dxa"/>
            <w:tcBorders>
              <w:top w:val="nil"/>
              <w:left w:val="nil"/>
              <w:bottom w:val="single" w:sz="4" w:space="0" w:color="auto"/>
              <w:right w:val="single" w:sz="4" w:space="0" w:color="auto"/>
            </w:tcBorders>
            <w:shd w:val="clear" w:color="auto" w:fill="auto"/>
            <w:vAlign w:val="center"/>
          </w:tcPr>
          <w:p w14:paraId="1A6BC293" w14:textId="77777777" w:rsidR="0062768B" w:rsidRDefault="00136729">
            <w:pPr>
              <w:snapToGrid w:val="0"/>
              <w:spacing w:line="240" w:lineRule="atLeast"/>
              <w:jc w:val="center"/>
              <w:rPr>
                <w:rFonts w:ascii="黑体" w:eastAsia="黑体" w:hAnsi="黑体" w:cs="宋体"/>
                <w:szCs w:val="24"/>
              </w:rPr>
            </w:pPr>
            <w:r>
              <w:rPr>
                <w:rFonts w:ascii="黑体" w:eastAsia="黑体" w:hAnsi="黑体"/>
              </w:rPr>
              <w:t>8128</w:t>
            </w:r>
          </w:p>
        </w:tc>
        <w:tc>
          <w:tcPr>
            <w:tcW w:w="1596" w:type="dxa"/>
            <w:tcBorders>
              <w:top w:val="nil"/>
              <w:left w:val="nil"/>
              <w:bottom w:val="single" w:sz="4" w:space="0" w:color="auto"/>
              <w:right w:val="single" w:sz="4" w:space="0" w:color="auto"/>
            </w:tcBorders>
            <w:shd w:val="clear" w:color="auto" w:fill="auto"/>
            <w:vAlign w:val="center"/>
          </w:tcPr>
          <w:p w14:paraId="3314492F" w14:textId="77777777" w:rsidR="0062768B" w:rsidRDefault="00136729">
            <w:pPr>
              <w:snapToGrid w:val="0"/>
              <w:spacing w:line="240" w:lineRule="atLeast"/>
              <w:jc w:val="center"/>
              <w:rPr>
                <w:rFonts w:ascii="黑体" w:eastAsia="黑体" w:hAnsi="黑体"/>
              </w:rPr>
            </w:pPr>
            <w:r>
              <w:rPr>
                <w:rFonts w:ascii="黑体" w:eastAsia="黑体" w:hAnsi="黑体" w:hint="eastAsia"/>
              </w:rPr>
              <w:t>-</w:t>
            </w:r>
          </w:p>
        </w:tc>
        <w:tc>
          <w:tcPr>
            <w:tcW w:w="2230" w:type="dxa"/>
            <w:tcBorders>
              <w:top w:val="nil"/>
              <w:left w:val="nil"/>
              <w:bottom w:val="single" w:sz="4" w:space="0" w:color="auto"/>
              <w:right w:val="single" w:sz="4" w:space="0" w:color="auto"/>
            </w:tcBorders>
            <w:shd w:val="clear" w:color="auto" w:fill="auto"/>
            <w:vAlign w:val="center"/>
          </w:tcPr>
          <w:p w14:paraId="2C486A5D" w14:textId="77777777" w:rsidR="0062768B" w:rsidRDefault="00136729">
            <w:pPr>
              <w:snapToGrid w:val="0"/>
              <w:spacing w:line="240" w:lineRule="atLeast"/>
              <w:jc w:val="center"/>
              <w:rPr>
                <w:rFonts w:ascii="黑体" w:eastAsia="黑体" w:hAnsi="黑体" w:cs="宋体"/>
                <w:szCs w:val="24"/>
              </w:rPr>
            </w:pPr>
            <w:r>
              <w:rPr>
                <w:rFonts w:ascii="黑体" w:eastAsia="黑体" w:hAnsi="黑体" w:hint="eastAsia"/>
              </w:rPr>
              <w:t>-</w:t>
            </w:r>
          </w:p>
        </w:tc>
      </w:tr>
      <w:tr w:rsidR="0062768B" w14:paraId="394E513A"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3E1DF2F2" w14:textId="77777777" w:rsidR="0062768B" w:rsidRDefault="00136729">
            <w:pPr>
              <w:widowControl/>
              <w:adjustRightInd/>
              <w:snapToGrid w:val="0"/>
              <w:spacing w:line="240" w:lineRule="atLeast"/>
              <w:jc w:val="center"/>
              <w:textAlignment w:val="auto"/>
              <w:rPr>
                <w:rFonts w:ascii="Arial" w:eastAsia="仿宋_GB2312" w:hAnsi="Arial" w:cs="Arial"/>
                <w:szCs w:val="24"/>
              </w:rPr>
            </w:pPr>
            <w:r>
              <w:rPr>
                <w:rFonts w:ascii="Arial" w:eastAsia="仿宋_GB2312" w:hAnsi="Arial" w:cs="Arial" w:hint="eastAsia"/>
                <w:szCs w:val="24"/>
              </w:rPr>
              <w:t>公共服务</w:t>
            </w:r>
            <w:r>
              <w:rPr>
                <w:rFonts w:ascii="Arial" w:eastAsia="仿宋_GB2312" w:hAnsi="Arial" w:cs="Arial"/>
                <w:szCs w:val="24"/>
              </w:rPr>
              <w:t>用途熟地价</w:t>
            </w:r>
          </w:p>
        </w:tc>
        <w:tc>
          <w:tcPr>
            <w:tcW w:w="1843" w:type="dxa"/>
            <w:tcBorders>
              <w:top w:val="nil"/>
              <w:left w:val="nil"/>
              <w:bottom w:val="single" w:sz="4" w:space="0" w:color="auto"/>
              <w:right w:val="single" w:sz="4" w:space="0" w:color="auto"/>
            </w:tcBorders>
            <w:shd w:val="clear" w:color="auto" w:fill="auto"/>
            <w:vAlign w:val="center"/>
          </w:tcPr>
          <w:p w14:paraId="1DFDFE77" w14:textId="77777777" w:rsidR="0062768B" w:rsidRDefault="00136729">
            <w:pPr>
              <w:snapToGrid w:val="0"/>
              <w:spacing w:line="240" w:lineRule="atLeast"/>
              <w:jc w:val="center"/>
              <w:rPr>
                <w:rFonts w:ascii="黑体" w:eastAsia="黑体" w:hAnsi="黑体" w:cs="宋体"/>
                <w:szCs w:val="24"/>
              </w:rPr>
            </w:pPr>
            <w:r>
              <w:rPr>
                <w:rFonts w:ascii="黑体" w:eastAsia="黑体" w:hAnsi="黑体"/>
              </w:rPr>
              <w:t>3623</w:t>
            </w:r>
          </w:p>
        </w:tc>
        <w:tc>
          <w:tcPr>
            <w:tcW w:w="1596" w:type="dxa"/>
            <w:tcBorders>
              <w:top w:val="nil"/>
              <w:left w:val="nil"/>
              <w:bottom w:val="single" w:sz="4" w:space="0" w:color="auto"/>
              <w:right w:val="single" w:sz="4" w:space="0" w:color="auto"/>
            </w:tcBorders>
            <w:shd w:val="clear" w:color="auto" w:fill="auto"/>
            <w:vAlign w:val="center"/>
          </w:tcPr>
          <w:p w14:paraId="3417D8D3" w14:textId="77777777" w:rsidR="0062768B" w:rsidRDefault="00136729">
            <w:pPr>
              <w:snapToGrid w:val="0"/>
              <w:spacing w:line="240" w:lineRule="atLeast"/>
              <w:jc w:val="center"/>
              <w:rPr>
                <w:rFonts w:ascii="黑体" w:eastAsia="黑体" w:hAnsi="黑体"/>
              </w:rPr>
            </w:pPr>
            <w:r>
              <w:rPr>
                <w:rFonts w:ascii="黑体" w:eastAsia="黑体" w:hAnsi="黑体"/>
              </w:rPr>
              <w:t>-</w:t>
            </w:r>
          </w:p>
        </w:tc>
        <w:tc>
          <w:tcPr>
            <w:tcW w:w="2230" w:type="dxa"/>
            <w:tcBorders>
              <w:top w:val="nil"/>
              <w:left w:val="nil"/>
              <w:bottom w:val="single" w:sz="4" w:space="0" w:color="auto"/>
              <w:right w:val="single" w:sz="4" w:space="0" w:color="auto"/>
            </w:tcBorders>
            <w:shd w:val="clear" w:color="auto" w:fill="auto"/>
            <w:vAlign w:val="center"/>
          </w:tcPr>
          <w:p w14:paraId="11E5D5F8" w14:textId="77777777" w:rsidR="0062768B" w:rsidRDefault="00136729">
            <w:pPr>
              <w:snapToGrid w:val="0"/>
              <w:spacing w:line="240" w:lineRule="atLeast"/>
              <w:jc w:val="center"/>
              <w:rPr>
                <w:rFonts w:ascii="黑体" w:eastAsia="黑体" w:hAnsi="黑体" w:cs="宋体"/>
                <w:szCs w:val="24"/>
              </w:rPr>
            </w:pPr>
            <w:r>
              <w:rPr>
                <w:rFonts w:ascii="黑体" w:eastAsia="黑体" w:hAnsi="黑体"/>
              </w:rPr>
              <w:t>-</w:t>
            </w:r>
          </w:p>
        </w:tc>
      </w:tr>
      <w:tr w:rsidR="0062768B" w14:paraId="65722DDF"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0C8EF883" w14:textId="77777777" w:rsidR="0062768B" w:rsidRDefault="00136729">
            <w:pPr>
              <w:widowControl/>
              <w:adjustRightInd/>
              <w:snapToGrid w:val="0"/>
              <w:spacing w:line="240" w:lineRule="atLeast"/>
              <w:jc w:val="center"/>
              <w:textAlignment w:val="auto"/>
              <w:rPr>
                <w:rFonts w:ascii="Arial" w:eastAsia="仿宋_GB2312" w:hAnsi="Arial" w:cs="Arial"/>
                <w:szCs w:val="24"/>
              </w:rPr>
            </w:pPr>
            <w:r>
              <w:rPr>
                <w:rFonts w:ascii="Arial" w:eastAsia="仿宋_GB2312" w:hAnsi="Arial" w:cs="Arial"/>
                <w:szCs w:val="24"/>
              </w:rPr>
              <w:t>熟地总价</w:t>
            </w:r>
          </w:p>
        </w:tc>
        <w:tc>
          <w:tcPr>
            <w:tcW w:w="1843" w:type="dxa"/>
            <w:tcBorders>
              <w:top w:val="nil"/>
              <w:left w:val="nil"/>
              <w:bottom w:val="single" w:sz="4" w:space="0" w:color="auto"/>
              <w:right w:val="single" w:sz="4" w:space="0" w:color="auto"/>
            </w:tcBorders>
            <w:shd w:val="clear" w:color="auto" w:fill="auto"/>
            <w:vAlign w:val="center"/>
          </w:tcPr>
          <w:p w14:paraId="63E07648" w14:textId="77777777" w:rsidR="0062768B" w:rsidRDefault="00136729">
            <w:pPr>
              <w:snapToGrid w:val="0"/>
              <w:spacing w:line="240" w:lineRule="atLeast"/>
              <w:jc w:val="center"/>
              <w:rPr>
                <w:rFonts w:ascii="黑体" w:eastAsia="黑体" w:hAnsi="黑体" w:cs="宋体"/>
                <w:szCs w:val="24"/>
              </w:rPr>
            </w:pPr>
            <w:r>
              <w:rPr>
                <w:rFonts w:ascii="黑体" w:eastAsia="黑体" w:hAnsi="黑体" w:hint="eastAsia"/>
              </w:rPr>
              <w:t>-</w:t>
            </w:r>
          </w:p>
        </w:tc>
        <w:tc>
          <w:tcPr>
            <w:tcW w:w="1596" w:type="dxa"/>
            <w:tcBorders>
              <w:top w:val="nil"/>
              <w:left w:val="nil"/>
              <w:bottom w:val="single" w:sz="4" w:space="0" w:color="auto"/>
              <w:right w:val="single" w:sz="4" w:space="0" w:color="auto"/>
            </w:tcBorders>
            <w:shd w:val="clear" w:color="auto" w:fill="auto"/>
            <w:vAlign w:val="center"/>
          </w:tcPr>
          <w:p w14:paraId="352686F1" w14:textId="77777777" w:rsidR="0062768B" w:rsidRDefault="00136729">
            <w:pPr>
              <w:snapToGrid w:val="0"/>
              <w:spacing w:line="240" w:lineRule="atLeast"/>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22139CC6" w14:textId="77777777" w:rsidR="0062768B" w:rsidRDefault="00136729">
            <w:pPr>
              <w:snapToGrid w:val="0"/>
              <w:spacing w:line="240" w:lineRule="atLeast"/>
              <w:jc w:val="center"/>
              <w:rPr>
                <w:rFonts w:ascii="黑体" w:eastAsia="黑体" w:hAnsi="黑体" w:cs="宋体"/>
                <w:szCs w:val="24"/>
              </w:rPr>
            </w:pPr>
            <w:r>
              <w:rPr>
                <w:rFonts w:ascii="黑体" w:eastAsia="黑体" w:hAnsi="黑体"/>
              </w:rPr>
              <w:t xml:space="preserve">103245.0381 </w:t>
            </w:r>
          </w:p>
        </w:tc>
      </w:tr>
      <w:tr w:rsidR="0062768B" w14:paraId="48C11D40" w14:textId="77777777">
        <w:trPr>
          <w:trHeight w:val="340"/>
          <w:jc w:val="center"/>
        </w:trPr>
        <w:tc>
          <w:tcPr>
            <w:tcW w:w="3403" w:type="dxa"/>
            <w:tcBorders>
              <w:top w:val="nil"/>
              <w:left w:val="nil"/>
              <w:bottom w:val="nil"/>
              <w:right w:val="nil"/>
            </w:tcBorders>
            <w:shd w:val="clear" w:color="auto" w:fill="auto"/>
            <w:vAlign w:val="center"/>
          </w:tcPr>
          <w:p w14:paraId="6856AAF6" w14:textId="77777777" w:rsidR="0062768B" w:rsidRDefault="0062768B">
            <w:pPr>
              <w:widowControl/>
              <w:adjustRightInd/>
              <w:snapToGrid w:val="0"/>
              <w:spacing w:line="160" w:lineRule="atLeast"/>
              <w:jc w:val="center"/>
              <w:textAlignment w:val="auto"/>
              <w:rPr>
                <w:rFonts w:ascii="Arial" w:eastAsia="仿宋_GB2312" w:hAnsi="Arial" w:cs="Arial"/>
                <w:szCs w:val="24"/>
              </w:rPr>
            </w:pPr>
          </w:p>
        </w:tc>
        <w:tc>
          <w:tcPr>
            <w:tcW w:w="1843" w:type="dxa"/>
            <w:tcBorders>
              <w:top w:val="nil"/>
              <w:left w:val="nil"/>
              <w:bottom w:val="nil"/>
              <w:right w:val="nil"/>
            </w:tcBorders>
            <w:shd w:val="clear" w:color="auto" w:fill="auto"/>
            <w:vAlign w:val="center"/>
          </w:tcPr>
          <w:p w14:paraId="5FE98F3C" w14:textId="77777777" w:rsidR="0062768B" w:rsidRDefault="0062768B">
            <w:pPr>
              <w:widowControl/>
              <w:adjustRightInd/>
              <w:snapToGrid w:val="0"/>
              <w:spacing w:line="160" w:lineRule="atLeast"/>
              <w:jc w:val="center"/>
              <w:textAlignment w:val="auto"/>
              <w:rPr>
                <w:rFonts w:ascii="Arial" w:eastAsia="仿宋_GB2312" w:hAnsi="Arial" w:cs="Arial"/>
                <w:szCs w:val="24"/>
              </w:rPr>
            </w:pPr>
          </w:p>
        </w:tc>
        <w:tc>
          <w:tcPr>
            <w:tcW w:w="1596" w:type="dxa"/>
            <w:tcBorders>
              <w:top w:val="nil"/>
              <w:left w:val="nil"/>
              <w:bottom w:val="nil"/>
              <w:right w:val="nil"/>
            </w:tcBorders>
            <w:shd w:val="clear" w:color="auto" w:fill="auto"/>
            <w:vAlign w:val="center"/>
          </w:tcPr>
          <w:p w14:paraId="1E28D1E8" w14:textId="77777777" w:rsidR="0062768B" w:rsidRDefault="0062768B">
            <w:pPr>
              <w:widowControl/>
              <w:adjustRightInd/>
              <w:snapToGrid w:val="0"/>
              <w:spacing w:line="160" w:lineRule="atLeast"/>
              <w:jc w:val="center"/>
              <w:textAlignment w:val="auto"/>
              <w:rPr>
                <w:rFonts w:ascii="Arial" w:eastAsia="仿宋_GB2312" w:hAnsi="Arial" w:cs="Arial"/>
                <w:szCs w:val="24"/>
              </w:rPr>
            </w:pPr>
          </w:p>
        </w:tc>
        <w:tc>
          <w:tcPr>
            <w:tcW w:w="2230" w:type="dxa"/>
            <w:tcBorders>
              <w:top w:val="nil"/>
              <w:left w:val="nil"/>
              <w:bottom w:val="nil"/>
              <w:right w:val="nil"/>
            </w:tcBorders>
            <w:shd w:val="clear" w:color="auto" w:fill="auto"/>
            <w:vAlign w:val="center"/>
          </w:tcPr>
          <w:p w14:paraId="1F097458" w14:textId="77777777" w:rsidR="0062768B" w:rsidRDefault="0062768B">
            <w:pPr>
              <w:widowControl/>
              <w:adjustRightInd/>
              <w:snapToGrid w:val="0"/>
              <w:spacing w:line="160" w:lineRule="atLeast"/>
              <w:jc w:val="center"/>
              <w:textAlignment w:val="auto"/>
              <w:rPr>
                <w:rFonts w:ascii="Arial" w:eastAsia="仿宋_GB2312" w:hAnsi="Arial" w:cs="Arial"/>
                <w:szCs w:val="24"/>
              </w:rPr>
            </w:pPr>
          </w:p>
        </w:tc>
      </w:tr>
      <w:tr w:rsidR="0062768B" w14:paraId="47419F51" w14:textId="77777777">
        <w:trPr>
          <w:trHeight w:val="675"/>
          <w:jc w:val="center"/>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14:paraId="338BEC74"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19FAED91"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楼面单价</w:t>
            </w:r>
            <w:r>
              <w:rPr>
                <w:rFonts w:ascii="Arial" w:eastAsia="仿宋_GB2312" w:hAnsi="Arial" w:cs="Arial"/>
                <w:szCs w:val="24"/>
              </w:rPr>
              <w:br/>
            </w:r>
            <w:r>
              <w:rPr>
                <w:rFonts w:ascii="Arial" w:eastAsia="仿宋_GB2312" w:hAnsi="Arial" w:cs="Arial"/>
                <w:szCs w:val="24"/>
              </w:rPr>
              <w:t>（元</w:t>
            </w:r>
            <w:r>
              <w:rPr>
                <w:rFonts w:ascii="Arial" w:eastAsia="仿宋_GB2312" w:hAnsi="Arial" w:cs="Arial"/>
                <w:szCs w:val="24"/>
              </w:rPr>
              <w:t>/</w:t>
            </w:r>
            <w:r>
              <w:rPr>
                <w:rFonts w:ascii="Arial" w:eastAsia="仿宋_GB2312" w:hAnsi="Arial" w:cs="Arial"/>
                <w:szCs w:val="24"/>
              </w:rPr>
              <w:t>平方米）</w:t>
            </w:r>
          </w:p>
        </w:tc>
        <w:tc>
          <w:tcPr>
            <w:tcW w:w="1596" w:type="dxa"/>
            <w:tcBorders>
              <w:top w:val="single" w:sz="4" w:space="0" w:color="auto"/>
              <w:left w:val="nil"/>
              <w:bottom w:val="single" w:sz="4" w:space="0" w:color="auto"/>
              <w:right w:val="single" w:sz="4" w:space="0" w:color="auto"/>
            </w:tcBorders>
            <w:shd w:val="clear" w:color="auto" w:fill="auto"/>
            <w:vAlign w:val="center"/>
          </w:tcPr>
          <w:p w14:paraId="4A789BD5"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建筑规模</w:t>
            </w:r>
            <w:r>
              <w:rPr>
                <w:rFonts w:ascii="Arial" w:eastAsia="仿宋_GB2312" w:hAnsi="Arial" w:cs="Arial"/>
                <w:szCs w:val="24"/>
              </w:rPr>
              <w:br/>
            </w:r>
            <w:r>
              <w:rPr>
                <w:rFonts w:ascii="Arial" w:eastAsia="仿宋_GB2312" w:hAnsi="Arial" w:cs="Arial"/>
                <w:szCs w:val="24"/>
              </w:rPr>
              <w:t>（平方米）</w:t>
            </w:r>
          </w:p>
        </w:tc>
        <w:tc>
          <w:tcPr>
            <w:tcW w:w="2230" w:type="dxa"/>
            <w:tcBorders>
              <w:top w:val="single" w:sz="4" w:space="0" w:color="auto"/>
              <w:left w:val="nil"/>
              <w:bottom w:val="single" w:sz="4" w:space="0" w:color="auto"/>
              <w:right w:val="single" w:sz="4" w:space="0" w:color="auto"/>
            </w:tcBorders>
            <w:shd w:val="clear" w:color="auto" w:fill="auto"/>
            <w:vAlign w:val="center"/>
          </w:tcPr>
          <w:p w14:paraId="0FFF1126"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总价</w:t>
            </w:r>
            <w:r>
              <w:rPr>
                <w:rFonts w:ascii="Arial" w:eastAsia="仿宋_GB2312" w:hAnsi="Arial" w:cs="Arial"/>
                <w:szCs w:val="24"/>
              </w:rPr>
              <w:br/>
            </w:r>
            <w:r>
              <w:rPr>
                <w:rFonts w:ascii="Arial" w:eastAsia="仿宋_GB2312" w:hAnsi="Arial" w:cs="Arial"/>
                <w:szCs w:val="24"/>
              </w:rPr>
              <w:t>（万元）</w:t>
            </w:r>
          </w:p>
        </w:tc>
      </w:tr>
      <w:tr w:rsidR="0062768B" w14:paraId="66EEBB61"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3B89CF53"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住宅用途政府土地出让收益</w:t>
            </w:r>
          </w:p>
        </w:tc>
        <w:tc>
          <w:tcPr>
            <w:tcW w:w="1843" w:type="dxa"/>
            <w:tcBorders>
              <w:top w:val="nil"/>
              <w:left w:val="nil"/>
              <w:bottom w:val="single" w:sz="4" w:space="0" w:color="auto"/>
              <w:right w:val="single" w:sz="4" w:space="0" w:color="auto"/>
            </w:tcBorders>
            <w:shd w:val="clear" w:color="auto" w:fill="auto"/>
            <w:vAlign w:val="center"/>
          </w:tcPr>
          <w:p w14:paraId="30E38862" w14:textId="77777777" w:rsidR="0062768B" w:rsidRDefault="00136729">
            <w:pPr>
              <w:spacing w:line="240" w:lineRule="atLeast"/>
              <w:jc w:val="center"/>
              <w:rPr>
                <w:rFonts w:ascii="黑体" w:eastAsia="黑体" w:hAnsi="黑体" w:cs="宋体"/>
                <w:szCs w:val="24"/>
              </w:rPr>
            </w:pPr>
            <w:r>
              <w:rPr>
                <w:rFonts w:ascii="黑体" w:eastAsia="黑体" w:hAnsi="黑体"/>
              </w:rPr>
              <w:t>3788</w:t>
            </w:r>
          </w:p>
        </w:tc>
        <w:tc>
          <w:tcPr>
            <w:tcW w:w="1596" w:type="dxa"/>
            <w:tcBorders>
              <w:top w:val="nil"/>
              <w:left w:val="nil"/>
              <w:bottom w:val="single" w:sz="4" w:space="0" w:color="auto"/>
              <w:right w:val="single" w:sz="4" w:space="0" w:color="auto"/>
            </w:tcBorders>
            <w:shd w:val="clear" w:color="auto" w:fill="auto"/>
            <w:vAlign w:val="center"/>
          </w:tcPr>
          <w:p w14:paraId="23F3DA4A" w14:textId="77777777" w:rsidR="0062768B" w:rsidRDefault="00136729">
            <w:pPr>
              <w:spacing w:line="240" w:lineRule="atLeast"/>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5D0A15AF" w14:textId="77777777" w:rsidR="0062768B" w:rsidRDefault="00136729">
            <w:pPr>
              <w:spacing w:line="240" w:lineRule="atLeast"/>
              <w:jc w:val="center"/>
              <w:rPr>
                <w:rFonts w:ascii="黑体" w:eastAsia="黑体" w:hAnsi="黑体" w:cs="宋体"/>
                <w:szCs w:val="24"/>
              </w:rPr>
            </w:pPr>
            <w:r>
              <w:rPr>
                <w:rFonts w:ascii="黑体" w:eastAsia="黑体" w:hAnsi="黑体"/>
              </w:rPr>
              <w:t>25814.6670</w:t>
            </w:r>
          </w:p>
        </w:tc>
      </w:tr>
      <w:tr w:rsidR="0062768B" w14:paraId="1BED355F" w14:textId="77777777">
        <w:trPr>
          <w:trHeight w:val="550"/>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6F976C26"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商业</w:t>
            </w:r>
            <w:r>
              <w:rPr>
                <w:rFonts w:ascii="Arial" w:eastAsia="仿宋_GB2312" w:hAnsi="Arial" w:cs="Arial" w:hint="eastAsia"/>
                <w:szCs w:val="24"/>
              </w:rPr>
              <w:t>（其他商服）</w:t>
            </w:r>
            <w:r>
              <w:rPr>
                <w:rFonts w:ascii="Arial" w:eastAsia="仿宋_GB2312" w:hAnsi="Arial" w:cs="Arial"/>
                <w:szCs w:val="24"/>
              </w:rPr>
              <w:t>用途</w:t>
            </w:r>
          </w:p>
          <w:p w14:paraId="1F1CEDEF"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政府土地出让收益</w:t>
            </w:r>
          </w:p>
        </w:tc>
        <w:tc>
          <w:tcPr>
            <w:tcW w:w="1843" w:type="dxa"/>
            <w:tcBorders>
              <w:top w:val="nil"/>
              <w:left w:val="nil"/>
              <w:bottom w:val="single" w:sz="4" w:space="0" w:color="auto"/>
              <w:right w:val="single" w:sz="4" w:space="0" w:color="auto"/>
            </w:tcBorders>
            <w:shd w:val="clear" w:color="auto" w:fill="auto"/>
            <w:vAlign w:val="center"/>
          </w:tcPr>
          <w:p w14:paraId="33E0B4AE" w14:textId="77777777" w:rsidR="0062768B" w:rsidRDefault="00136729">
            <w:pPr>
              <w:spacing w:line="240" w:lineRule="atLeast"/>
              <w:jc w:val="center"/>
              <w:rPr>
                <w:rFonts w:ascii="黑体" w:eastAsia="黑体" w:hAnsi="黑体" w:cs="宋体"/>
                <w:szCs w:val="24"/>
              </w:rPr>
            </w:pPr>
            <w:r>
              <w:rPr>
                <w:rFonts w:ascii="黑体" w:eastAsia="黑体" w:hAnsi="黑体"/>
              </w:rPr>
              <w:t>2032</w:t>
            </w:r>
          </w:p>
        </w:tc>
        <w:tc>
          <w:tcPr>
            <w:tcW w:w="1596" w:type="dxa"/>
            <w:tcBorders>
              <w:top w:val="nil"/>
              <w:left w:val="nil"/>
              <w:bottom w:val="single" w:sz="4" w:space="0" w:color="auto"/>
              <w:right w:val="single" w:sz="4" w:space="0" w:color="auto"/>
            </w:tcBorders>
            <w:shd w:val="clear" w:color="auto" w:fill="auto"/>
            <w:vAlign w:val="center"/>
          </w:tcPr>
          <w:p w14:paraId="4E803C4B" w14:textId="77777777" w:rsidR="0062768B" w:rsidRDefault="00136729">
            <w:pPr>
              <w:spacing w:line="240" w:lineRule="atLeast"/>
              <w:jc w:val="center"/>
              <w:rPr>
                <w:rFonts w:ascii="黑体" w:eastAsia="黑体" w:hAnsi="黑体"/>
              </w:rPr>
            </w:pPr>
            <w:r>
              <w:rPr>
                <w:rFonts w:ascii="黑体" w:eastAsia="黑体" w:hAnsi="黑体" w:hint="eastAsia"/>
              </w:rPr>
              <w:t>-</w:t>
            </w:r>
          </w:p>
        </w:tc>
        <w:tc>
          <w:tcPr>
            <w:tcW w:w="2230" w:type="dxa"/>
            <w:tcBorders>
              <w:top w:val="nil"/>
              <w:left w:val="nil"/>
              <w:bottom w:val="single" w:sz="4" w:space="0" w:color="auto"/>
              <w:right w:val="single" w:sz="4" w:space="0" w:color="auto"/>
            </w:tcBorders>
            <w:shd w:val="clear" w:color="auto" w:fill="auto"/>
            <w:vAlign w:val="center"/>
          </w:tcPr>
          <w:p w14:paraId="2895F538" w14:textId="77777777" w:rsidR="0062768B" w:rsidRDefault="00136729">
            <w:pPr>
              <w:spacing w:line="240" w:lineRule="atLeast"/>
              <w:jc w:val="center"/>
              <w:rPr>
                <w:rFonts w:ascii="黑体" w:eastAsia="黑体" w:hAnsi="黑体" w:cs="宋体"/>
                <w:szCs w:val="24"/>
              </w:rPr>
            </w:pPr>
            <w:r>
              <w:rPr>
                <w:rFonts w:ascii="黑体" w:eastAsia="黑体" w:hAnsi="黑体" w:hint="eastAsia"/>
              </w:rPr>
              <w:t>-</w:t>
            </w:r>
          </w:p>
        </w:tc>
      </w:tr>
      <w:tr w:rsidR="0062768B" w14:paraId="7BB9B001"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762530AF"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公共服务</w:t>
            </w:r>
            <w:r>
              <w:rPr>
                <w:rFonts w:ascii="Arial" w:eastAsia="仿宋_GB2312" w:hAnsi="Arial" w:cs="Arial"/>
                <w:szCs w:val="24"/>
              </w:rPr>
              <w:t>用途</w:t>
            </w:r>
          </w:p>
          <w:p w14:paraId="0BC9AC1A"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政府土地出让收益</w:t>
            </w:r>
          </w:p>
        </w:tc>
        <w:tc>
          <w:tcPr>
            <w:tcW w:w="1843" w:type="dxa"/>
            <w:tcBorders>
              <w:top w:val="nil"/>
              <w:left w:val="nil"/>
              <w:bottom w:val="single" w:sz="4" w:space="0" w:color="auto"/>
              <w:right w:val="single" w:sz="4" w:space="0" w:color="auto"/>
            </w:tcBorders>
            <w:shd w:val="clear" w:color="auto" w:fill="auto"/>
            <w:vAlign w:val="center"/>
          </w:tcPr>
          <w:p w14:paraId="52DC251B" w14:textId="77777777" w:rsidR="0062768B" w:rsidRDefault="00136729">
            <w:pPr>
              <w:spacing w:line="240" w:lineRule="atLeast"/>
              <w:jc w:val="center"/>
              <w:rPr>
                <w:rFonts w:ascii="黑体" w:eastAsia="黑体" w:hAnsi="黑体" w:cs="宋体"/>
                <w:szCs w:val="24"/>
              </w:rPr>
            </w:pPr>
            <w:r>
              <w:rPr>
                <w:rFonts w:ascii="黑体" w:eastAsia="黑体" w:hAnsi="黑体"/>
              </w:rPr>
              <w:t>906</w:t>
            </w:r>
          </w:p>
        </w:tc>
        <w:tc>
          <w:tcPr>
            <w:tcW w:w="1596" w:type="dxa"/>
            <w:tcBorders>
              <w:top w:val="nil"/>
              <w:left w:val="nil"/>
              <w:bottom w:val="single" w:sz="4" w:space="0" w:color="auto"/>
              <w:right w:val="single" w:sz="4" w:space="0" w:color="auto"/>
            </w:tcBorders>
            <w:shd w:val="clear" w:color="auto" w:fill="auto"/>
            <w:vAlign w:val="center"/>
          </w:tcPr>
          <w:p w14:paraId="62885778" w14:textId="77777777" w:rsidR="0062768B" w:rsidRDefault="00136729">
            <w:pPr>
              <w:spacing w:line="240" w:lineRule="atLeast"/>
              <w:jc w:val="center"/>
              <w:rPr>
                <w:rFonts w:ascii="黑体" w:eastAsia="黑体" w:hAnsi="黑体"/>
              </w:rPr>
            </w:pPr>
            <w:r>
              <w:rPr>
                <w:rFonts w:ascii="黑体" w:eastAsia="黑体" w:hAnsi="黑体"/>
              </w:rPr>
              <w:t>-</w:t>
            </w:r>
          </w:p>
        </w:tc>
        <w:tc>
          <w:tcPr>
            <w:tcW w:w="2230" w:type="dxa"/>
            <w:tcBorders>
              <w:top w:val="nil"/>
              <w:left w:val="nil"/>
              <w:bottom w:val="single" w:sz="4" w:space="0" w:color="auto"/>
              <w:right w:val="single" w:sz="4" w:space="0" w:color="auto"/>
            </w:tcBorders>
            <w:shd w:val="clear" w:color="auto" w:fill="auto"/>
            <w:vAlign w:val="center"/>
          </w:tcPr>
          <w:p w14:paraId="23908E8E" w14:textId="77777777" w:rsidR="0062768B" w:rsidRDefault="00136729">
            <w:pPr>
              <w:spacing w:line="240" w:lineRule="atLeast"/>
              <w:jc w:val="center"/>
              <w:rPr>
                <w:rFonts w:ascii="黑体" w:eastAsia="黑体" w:hAnsi="黑体" w:cs="宋体"/>
                <w:szCs w:val="24"/>
              </w:rPr>
            </w:pPr>
            <w:r>
              <w:rPr>
                <w:rFonts w:ascii="黑体" w:eastAsia="黑体" w:hAnsi="黑体"/>
              </w:rPr>
              <w:t>-</w:t>
            </w:r>
          </w:p>
        </w:tc>
      </w:tr>
      <w:tr w:rsidR="0062768B" w14:paraId="27DB0120" w14:textId="77777777">
        <w:trPr>
          <w:trHeight w:val="550"/>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1DA20F13"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政府土地出让收益总价</w:t>
            </w:r>
          </w:p>
        </w:tc>
        <w:tc>
          <w:tcPr>
            <w:tcW w:w="1843" w:type="dxa"/>
            <w:tcBorders>
              <w:top w:val="nil"/>
              <w:left w:val="nil"/>
              <w:bottom w:val="single" w:sz="4" w:space="0" w:color="auto"/>
              <w:right w:val="single" w:sz="4" w:space="0" w:color="auto"/>
            </w:tcBorders>
            <w:shd w:val="clear" w:color="auto" w:fill="auto"/>
            <w:vAlign w:val="center"/>
          </w:tcPr>
          <w:p w14:paraId="6D29175A" w14:textId="77777777" w:rsidR="0062768B" w:rsidRDefault="00136729">
            <w:pPr>
              <w:spacing w:line="240" w:lineRule="atLeast"/>
              <w:jc w:val="center"/>
              <w:rPr>
                <w:rFonts w:ascii="黑体" w:eastAsia="黑体" w:hAnsi="黑体" w:cs="宋体"/>
                <w:szCs w:val="24"/>
              </w:rPr>
            </w:pPr>
            <w:r>
              <w:rPr>
                <w:rFonts w:ascii="黑体" w:eastAsia="黑体" w:hAnsi="黑体" w:hint="eastAsia"/>
              </w:rPr>
              <w:t>-</w:t>
            </w:r>
          </w:p>
        </w:tc>
        <w:tc>
          <w:tcPr>
            <w:tcW w:w="1596" w:type="dxa"/>
            <w:tcBorders>
              <w:top w:val="nil"/>
              <w:left w:val="nil"/>
              <w:bottom w:val="single" w:sz="4" w:space="0" w:color="auto"/>
              <w:right w:val="single" w:sz="4" w:space="0" w:color="auto"/>
            </w:tcBorders>
            <w:shd w:val="clear" w:color="auto" w:fill="auto"/>
            <w:vAlign w:val="center"/>
          </w:tcPr>
          <w:p w14:paraId="5C71D486" w14:textId="77777777" w:rsidR="0062768B" w:rsidRDefault="00136729">
            <w:pPr>
              <w:spacing w:line="240" w:lineRule="atLeast"/>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15F30A33" w14:textId="77777777" w:rsidR="0062768B" w:rsidRDefault="00136729">
            <w:pPr>
              <w:spacing w:line="240" w:lineRule="atLeast"/>
              <w:jc w:val="center"/>
              <w:rPr>
                <w:rFonts w:ascii="黑体" w:eastAsia="黑体" w:hAnsi="黑体" w:cs="宋体"/>
                <w:szCs w:val="24"/>
              </w:rPr>
            </w:pPr>
            <w:r>
              <w:rPr>
                <w:rFonts w:ascii="黑体" w:eastAsia="黑体" w:hAnsi="黑体"/>
              </w:rPr>
              <w:t>25814.6670</w:t>
            </w:r>
          </w:p>
        </w:tc>
      </w:tr>
      <w:tr w:rsidR="0062768B" w14:paraId="76EB33F5" w14:textId="77777777">
        <w:trPr>
          <w:trHeight w:val="765"/>
          <w:jc w:val="center"/>
        </w:trPr>
        <w:tc>
          <w:tcPr>
            <w:tcW w:w="9072" w:type="dxa"/>
            <w:gridSpan w:val="4"/>
            <w:tcBorders>
              <w:top w:val="nil"/>
              <w:left w:val="nil"/>
              <w:bottom w:val="nil"/>
              <w:right w:val="nil"/>
            </w:tcBorders>
            <w:shd w:val="clear" w:color="auto" w:fill="auto"/>
            <w:vAlign w:val="center"/>
          </w:tcPr>
          <w:p w14:paraId="4335E046" w14:textId="77777777" w:rsidR="0062768B" w:rsidRDefault="00136729">
            <w:pPr>
              <w:widowControl/>
              <w:adjustRightInd/>
              <w:spacing w:line="300" w:lineRule="auto"/>
              <w:textAlignment w:val="auto"/>
              <w:rPr>
                <w:rFonts w:ascii="Arial" w:eastAsia="仿宋_GB2312" w:hAnsi="Arial" w:cs="Arial"/>
                <w:b/>
                <w:szCs w:val="24"/>
              </w:rPr>
            </w:pPr>
            <w:r>
              <w:rPr>
                <w:rFonts w:ascii="Arial" w:eastAsia="仿宋_GB2312" w:hAnsi="Arial" w:cs="Arial"/>
                <w:b/>
                <w:szCs w:val="24"/>
              </w:rPr>
              <w:lastRenderedPageBreak/>
              <w:t>出让底价建议：</w:t>
            </w:r>
          </w:p>
          <w:p w14:paraId="04E9A8E3" w14:textId="77777777" w:rsidR="0062768B" w:rsidRDefault="00136729">
            <w:pPr>
              <w:widowControl/>
              <w:numPr>
                <w:ilvl w:val="0"/>
                <w:numId w:val="11"/>
              </w:numPr>
              <w:adjustRightInd/>
              <w:spacing w:line="300" w:lineRule="auto"/>
              <w:textAlignment w:val="auto"/>
              <w:rPr>
                <w:rFonts w:ascii="Arial" w:eastAsia="仿宋_GB2312" w:hAnsi="Arial" w:cs="Arial"/>
                <w:b/>
                <w:szCs w:val="24"/>
              </w:rPr>
            </w:pPr>
            <w:r>
              <w:rPr>
                <w:rFonts w:ascii="Arial" w:eastAsia="仿宋_GB2312" w:hAnsi="Arial" w:cs="Arial" w:hint="eastAsia"/>
                <w:b/>
                <w:szCs w:val="24"/>
              </w:rPr>
              <w:t>北京市对出让地价评审要求</w:t>
            </w:r>
          </w:p>
          <w:p w14:paraId="1300BC92"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根据有关政策规定，土地开发成本经审计、认定后，作为出让地价评审参考。出让地价政府土地出让收益与土地开发成本之和（基本价格）不得低于该宗地熟地价。如政府土地出让收益与土地开发成本之和（基本价格）低于该宗地熟地价，则将熟地价作为该宗地的底价。</w:t>
            </w:r>
          </w:p>
          <w:p w14:paraId="1E4EF80B" w14:textId="77777777" w:rsidR="0062768B" w:rsidRDefault="00136729">
            <w:pPr>
              <w:widowControl/>
              <w:numPr>
                <w:ilvl w:val="0"/>
                <w:numId w:val="11"/>
              </w:numPr>
              <w:adjustRightInd/>
              <w:spacing w:line="300" w:lineRule="auto"/>
              <w:textAlignment w:val="auto"/>
              <w:rPr>
                <w:rFonts w:ascii="Arial" w:eastAsia="仿宋_GB2312" w:hAnsi="Arial" w:cs="Arial"/>
                <w:b/>
                <w:szCs w:val="24"/>
              </w:rPr>
            </w:pPr>
            <w:r>
              <w:rPr>
                <w:rFonts w:ascii="Arial" w:eastAsia="仿宋_GB2312" w:hAnsi="Arial" w:cs="Arial" w:hint="eastAsia"/>
                <w:b/>
                <w:szCs w:val="24"/>
              </w:rPr>
              <w:t>基本价格</w:t>
            </w:r>
          </w:p>
          <w:p w14:paraId="568E9104"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如上表所示，本次评估</w:t>
            </w:r>
            <w:r>
              <w:rPr>
                <w:rFonts w:ascii="Arial" w:eastAsia="仿宋_GB2312" w:hAnsi="Arial" w:cs="Arial"/>
                <w:b/>
                <w:szCs w:val="24"/>
              </w:rPr>
              <w:t>政府土地出让收益总价为</w:t>
            </w:r>
            <w:r>
              <w:rPr>
                <w:rFonts w:ascii="Arial" w:eastAsia="仿宋_GB2312" w:hAnsi="Arial" w:cs="Arial"/>
                <w:b/>
                <w:szCs w:val="24"/>
              </w:rPr>
              <w:t>25814.6670</w:t>
            </w:r>
            <w:r>
              <w:rPr>
                <w:rFonts w:ascii="Arial" w:eastAsia="仿宋_GB2312" w:hAnsi="Arial" w:cs="Arial"/>
                <w:b/>
                <w:szCs w:val="24"/>
              </w:rPr>
              <w:t>万元</w:t>
            </w:r>
            <w:r>
              <w:rPr>
                <w:rFonts w:ascii="Arial" w:eastAsia="仿宋_GB2312" w:hAnsi="Arial" w:cs="Arial" w:hint="eastAsia"/>
                <w:b/>
                <w:szCs w:val="24"/>
              </w:rPr>
              <w:t>。</w:t>
            </w:r>
            <w:r>
              <w:rPr>
                <w:rFonts w:ascii="Arial" w:eastAsia="仿宋_GB2312" w:hAnsi="Arial" w:cs="Arial"/>
                <w:b/>
                <w:szCs w:val="24"/>
              </w:rPr>
              <w:t>另根据</w:t>
            </w:r>
            <w:r>
              <w:rPr>
                <w:rFonts w:ascii="Arial" w:eastAsia="仿宋_GB2312" w:hAnsi="Arial" w:cs="Arial" w:hint="eastAsia"/>
                <w:b/>
                <w:szCs w:val="24"/>
              </w:rPr>
              <w:t>《成本文件》（文件号），估价对象土地开发总成本为</w:t>
            </w:r>
            <w:r w:rsidR="00550FB0">
              <w:rPr>
                <w:rFonts w:ascii="Arial" w:eastAsia="仿宋_GB2312" w:hAnsi="Arial" w:cs="Arial" w:hint="eastAsia"/>
                <w:b/>
                <w:szCs w:val="24"/>
              </w:rPr>
              <w:t>78853.6400</w:t>
            </w:r>
            <w:r>
              <w:rPr>
                <w:rFonts w:ascii="Arial" w:eastAsia="仿宋_GB2312" w:hAnsi="Arial" w:cs="Arial"/>
                <w:b/>
                <w:szCs w:val="24"/>
              </w:rPr>
              <w:t>万元</w:t>
            </w:r>
            <w:r>
              <w:rPr>
                <w:rFonts w:ascii="Arial" w:eastAsia="仿宋_GB2312" w:hAnsi="Arial" w:cs="Arial" w:hint="eastAsia"/>
                <w:b/>
                <w:szCs w:val="24"/>
              </w:rPr>
              <w:t>。则</w:t>
            </w:r>
            <w:r>
              <w:rPr>
                <w:rFonts w:ascii="Arial" w:eastAsia="仿宋_GB2312" w:hAnsi="Arial" w:cs="Arial"/>
                <w:b/>
                <w:szCs w:val="24"/>
              </w:rPr>
              <w:t>政府土地出让收益与土地开发成本之和</w:t>
            </w:r>
            <w:r>
              <w:rPr>
                <w:rFonts w:ascii="Arial" w:eastAsia="仿宋_GB2312" w:hAnsi="Arial" w:cs="Arial" w:hint="eastAsia"/>
                <w:b/>
                <w:szCs w:val="24"/>
              </w:rPr>
              <w:t>（基本价格）</w:t>
            </w:r>
            <w:r>
              <w:rPr>
                <w:rFonts w:ascii="Arial" w:eastAsia="仿宋_GB2312" w:hAnsi="Arial" w:cs="Arial"/>
                <w:b/>
                <w:szCs w:val="24"/>
              </w:rPr>
              <w:t>为</w:t>
            </w:r>
            <w:r w:rsidR="00550FB0">
              <w:rPr>
                <w:rFonts w:ascii="Arial" w:eastAsia="仿宋_GB2312" w:hAnsi="Arial" w:cs="Arial" w:hint="eastAsia"/>
                <w:b/>
                <w:szCs w:val="24"/>
              </w:rPr>
              <w:t>104668.3070</w:t>
            </w:r>
            <w:r>
              <w:rPr>
                <w:rFonts w:ascii="Arial" w:eastAsia="仿宋_GB2312" w:hAnsi="Arial" w:cs="Arial"/>
                <w:b/>
                <w:szCs w:val="24"/>
              </w:rPr>
              <w:t>万元</w:t>
            </w:r>
            <w:r>
              <w:rPr>
                <w:rFonts w:ascii="Arial" w:eastAsia="仿宋_GB2312" w:hAnsi="Arial" w:cs="Arial" w:hint="eastAsia"/>
                <w:b/>
                <w:szCs w:val="24"/>
              </w:rPr>
              <w:t>。</w:t>
            </w:r>
          </w:p>
          <w:p w14:paraId="365E2A2F" w14:textId="77777777" w:rsidR="0062768B" w:rsidRDefault="00136729">
            <w:pPr>
              <w:widowControl/>
              <w:numPr>
                <w:ilvl w:val="0"/>
                <w:numId w:val="11"/>
              </w:numPr>
              <w:adjustRightInd/>
              <w:spacing w:line="300" w:lineRule="auto"/>
              <w:textAlignment w:val="auto"/>
              <w:rPr>
                <w:rFonts w:ascii="Arial" w:eastAsia="仿宋_GB2312" w:hAnsi="Arial" w:cs="Arial"/>
                <w:b/>
                <w:szCs w:val="24"/>
              </w:rPr>
            </w:pPr>
            <w:r>
              <w:rPr>
                <w:rFonts w:ascii="Arial" w:eastAsia="仿宋_GB2312" w:hAnsi="Arial" w:cs="Arial" w:hint="eastAsia"/>
                <w:b/>
                <w:szCs w:val="24"/>
              </w:rPr>
              <w:t>比较结论</w:t>
            </w:r>
          </w:p>
          <w:p w14:paraId="55851DD9"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如上表所示，本次评估熟地价总额为</w:t>
            </w:r>
            <w:r>
              <w:rPr>
                <w:rFonts w:ascii="Arial" w:eastAsia="仿宋_GB2312" w:hAnsi="Arial" w:cs="Arial"/>
                <w:b/>
                <w:szCs w:val="24"/>
              </w:rPr>
              <w:t xml:space="preserve">103245.0381 </w:t>
            </w:r>
            <w:r>
              <w:rPr>
                <w:rFonts w:ascii="Arial" w:eastAsia="仿宋_GB2312" w:hAnsi="Arial" w:cs="Arial"/>
                <w:b/>
                <w:szCs w:val="24"/>
              </w:rPr>
              <w:t>万元</w:t>
            </w:r>
            <w:r>
              <w:rPr>
                <w:rFonts w:ascii="Arial" w:eastAsia="仿宋_GB2312" w:hAnsi="Arial" w:cs="Arial" w:hint="eastAsia"/>
                <w:b/>
                <w:szCs w:val="24"/>
              </w:rPr>
              <w:t>。如前述，政府</w:t>
            </w:r>
            <w:r>
              <w:rPr>
                <w:rFonts w:ascii="Arial" w:eastAsia="仿宋_GB2312" w:hAnsi="Arial" w:cs="Arial"/>
                <w:b/>
                <w:szCs w:val="24"/>
              </w:rPr>
              <w:t>土地出让收益与土地开发成本之和</w:t>
            </w:r>
            <w:r>
              <w:rPr>
                <w:rFonts w:ascii="Arial" w:eastAsia="仿宋_GB2312" w:hAnsi="Arial" w:cs="Arial" w:hint="eastAsia"/>
                <w:b/>
                <w:szCs w:val="24"/>
              </w:rPr>
              <w:t>（基本价格）</w:t>
            </w:r>
            <w:r>
              <w:rPr>
                <w:rFonts w:ascii="Arial" w:eastAsia="仿宋_GB2312" w:hAnsi="Arial" w:cs="Arial"/>
                <w:b/>
                <w:szCs w:val="24"/>
              </w:rPr>
              <w:t>为</w:t>
            </w:r>
            <w:r w:rsidR="00550FB0">
              <w:rPr>
                <w:rFonts w:ascii="Arial" w:eastAsia="仿宋_GB2312" w:hAnsi="Arial" w:cs="Arial" w:hint="eastAsia"/>
                <w:b/>
                <w:szCs w:val="24"/>
              </w:rPr>
              <w:t>104668.3070</w:t>
            </w:r>
            <w:r>
              <w:rPr>
                <w:rFonts w:ascii="Arial" w:eastAsia="仿宋_GB2312" w:hAnsi="Arial" w:cs="Arial"/>
                <w:b/>
                <w:szCs w:val="24"/>
              </w:rPr>
              <w:t>万元</w:t>
            </w:r>
            <w:r>
              <w:rPr>
                <w:rFonts w:ascii="Arial" w:eastAsia="仿宋_GB2312" w:hAnsi="Arial" w:cs="Arial" w:hint="eastAsia"/>
                <w:b/>
                <w:szCs w:val="24"/>
              </w:rPr>
              <w:t>。</w:t>
            </w:r>
            <w:r>
              <w:rPr>
                <w:rFonts w:ascii="Arial" w:eastAsia="仿宋_GB2312" w:hAnsi="Arial" w:cs="Arial"/>
                <w:b/>
                <w:szCs w:val="24"/>
              </w:rPr>
              <w:t>经比较</w:t>
            </w:r>
            <w:r>
              <w:rPr>
                <w:rFonts w:ascii="Arial" w:eastAsia="仿宋_GB2312" w:hAnsi="Arial" w:cs="Arial" w:hint="eastAsia"/>
                <w:b/>
                <w:szCs w:val="24"/>
              </w:rPr>
              <w:t>，基本价格高于熟地价总额。因此，本次评估出让底价建议按照政府土地出让收益与土地开发成本之和（基本价格）确定，</w:t>
            </w:r>
            <w:r>
              <w:rPr>
                <w:rFonts w:ascii="Arial" w:eastAsia="仿宋_GB2312" w:hAnsi="Arial" w:cs="Arial"/>
                <w:b/>
                <w:szCs w:val="24"/>
              </w:rPr>
              <w:t>即</w:t>
            </w:r>
            <w:r w:rsidR="00550FB0">
              <w:rPr>
                <w:rFonts w:ascii="Arial" w:eastAsia="仿宋_GB2312" w:hAnsi="Arial" w:cs="Arial" w:hint="eastAsia"/>
                <w:b/>
                <w:szCs w:val="24"/>
              </w:rPr>
              <w:t>104668.3070</w:t>
            </w:r>
            <w:r>
              <w:rPr>
                <w:rFonts w:ascii="Arial" w:eastAsia="仿宋_GB2312" w:hAnsi="Arial" w:cs="Arial"/>
                <w:b/>
                <w:szCs w:val="24"/>
              </w:rPr>
              <w:t>万元</w:t>
            </w:r>
            <w:r>
              <w:rPr>
                <w:rFonts w:ascii="Arial" w:eastAsia="仿宋_GB2312" w:hAnsi="Arial" w:cs="Arial" w:hint="eastAsia"/>
                <w:b/>
                <w:szCs w:val="24"/>
              </w:rPr>
              <w:t>。</w:t>
            </w:r>
          </w:p>
          <w:p w14:paraId="6ED6E053" w14:textId="77777777" w:rsidR="0062768B" w:rsidRDefault="00136729">
            <w:pPr>
              <w:widowControl/>
              <w:numPr>
                <w:ilvl w:val="0"/>
                <w:numId w:val="11"/>
              </w:numPr>
              <w:adjustRightInd/>
              <w:spacing w:line="300" w:lineRule="auto"/>
              <w:textAlignment w:val="auto"/>
              <w:rPr>
                <w:rFonts w:ascii="Arial" w:eastAsia="仿宋_GB2312" w:hAnsi="Arial" w:cs="Arial"/>
                <w:b/>
                <w:szCs w:val="24"/>
              </w:rPr>
            </w:pPr>
            <w:r>
              <w:rPr>
                <w:rFonts w:ascii="Arial" w:eastAsia="仿宋_GB2312" w:hAnsi="Arial" w:cs="Arial" w:hint="eastAsia"/>
                <w:b/>
                <w:szCs w:val="24"/>
              </w:rPr>
              <w:t>出让底价决策建议</w:t>
            </w:r>
          </w:p>
          <w:p w14:paraId="4468CFD5"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估价对象北京市顺义区高丽营镇夏县营村</w:t>
            </w:r>
            <w:r>
              <w:rPr>
                <w:rFonts w:ascii="Arial" w:eastAsia="仿宋_GB2312" w:hAnsi="Arial" w:cs="Arial" w:hint="eastAsia"/>
                <w:b/>
                <w:szCs w:val="24"/>
              </w:rPr>
              <w:t>01-008</w:t>
            </w:r>
            <w:r>
              <w:rPr>
                <w:rFonts w:ascii="Arial" w:eastAsia="仿宋_GB2312" w:hAnsi="Arial" w:cs="Arial" w:hint="eastAsia"/>
                <w:b/>
                <w:szCs w:val="24"/>
              </w:rPr>
              <w:t>、</w:t>
            </w:r>
            <w:r>
              <w:rPr>
                <w:rFonts w:ascii="Arial" w:eastAsia="仿宋_GB2312" w:hAnsi="Arial" w:cs="Arial" w:hint="eastAsia"/>
                <w:b/>
                <w:szCs w:val="24"/>
              </w:rPr>
              <w:t>01-016</w:t>
            </w:r>
            <w:r>
              <w:rPr>
                <w:rFonts w:ascii="Arial" w:eastAsia="仿宋_GB2312" w:hAnsi="Arial" w:cs="Arial" w:hint="eastAsia"/>
                <w:b/>
                <w:szCs w:val="24"/>
              </w:rPr>
              <w:t>、</w:t>
            </w:r>
            <w:r>
              <w:rPr>
                <w:rFonts w:ascii="Arial" w:eastAsia="仿宋_GB2312" w:hAnsi="Arial" w:cs="Arial" w:hint="eastAsia"/>
                <w:b/>
                <w:szCs w:val="24"/>
              </w:rPr>
              <w:t>01-026-1</w:t>
            </w:r>
            <w:r>
              <w:rPr>
                <w:rFonts w:ascii="Arial" w:eastAsia="仿宋_GB2312" w:hAnsi="Arial" w:cs="Arial" w:hint="eastAsia"/>
                <w:b/>
                <w:szCs w:val="24"/>
              </w:rPr>
              <w:t>地块</w:t>
            </w:r>
            <w:r>
              <w:rPr>
                <w:rFonts w:ascii="Arial" w:eastAsia="仿宋_GB2312" w:hAnsi="Arial" w:cs="Arial" w:hint="eastAsia"/>
                <w:b/>
                <w:szCs w:val="24"/>
              </w:rPr>
              <w:t>R2</w:t>
            </w:r>
            <w:proofErr w:type="gramStart"/>
            <w:r>
              <w:rPr>
                <w:rFonts w:ascii="Arial" w:eastAsia="仿宋_GB2312" w:hAnsi="Arial" w:cs="Arial" w:hint="eastAsia"/>
                <w:b/>
                <w:szCs w:val="24"/>
              </w:rPr>
              <w:t>二</w:t>
            </w:r>
            <w:proofErr w:type="gramEnd"/>
            <w:r>
              <w:rPr>
                <w:rFonts w:ascii="Arial" w:eastAsia="仿宋_GB2312" w:hAnsi="Arial" w:cs="Arial" w:hint="eastAsia"/>
                <w:b/>
                <w:szCs w:val="24"/>
              </w:rPr>
              <w:t>类居住用地及</w:t>
            </w:r>
            <w:r>
              <w:rPr>
                <w:rFonts w:ascii="Arial" w:eastAsia="仿宋_GB2312" w:hAnsi="Arial" w:cs="Arial" w:hint="eastAsia"/>
                <w:b/>
                <w:szCs w:val="24"/>
              </w:rPr>
              <w:t>01-020</w:t>
            </w:r>
            <w:r>
              <w:rPr>
                <w:rFonts w:ascii="Arial" w:eastAsia="仿宋_GB2312" w:hAnsi="Arial" w:cs="Arial" w:hint="eastAsia"/>
                <w:b/>
                <w:szCs w:val="24"/>
              </w:rPr>
              <w:t>地块</w:t>
            </w:r>
            <w:r>
              <w:rPr>
                <w:rFonts w:ascii="Arial" w:eastAsia="仿宋_GB2312" w:hAnsi="Arial" w:cs="Arial" w:hint="eastAsia"/>
                <w:b/>
                <w:szCs w:val="24"/>
              </w:rPr>
              <w:t>A334</w:t>
            </w:r>
            <w:r>
              <w:rPr>
                <w:rFonts w:ascii="Arial" w:eastAsia="仿宋_GB2312" w:hAnsi="Arial" w:cs="Arial" w:hint="eastAsia"/>
                <w:b/>
                <w:szCs w:val="24"/>
              </w:rPr>
              <w:t>托幼用地项目在估价期日</w:t>
            </w:r>
            <w:r w:rsidR="00550FB0">
              <w:rPr>
                <w:rFonts w:ascii="Arial" w:eastAsia="仿宋_GB2312" w:hAnsi="Arial" w:cs="Arial" w:hint="eastAsia"/>
                <w:b/>
                <w:szCs w:val="24"/>
              </w:rPr>
              <w:t>2023</w:t>
            </w:r>
            <w:r w:rsidR="00550FB0">
              <w:rPr>
                <w:rFonts w:ascii="Arial" w:eastAsia="仿宋_GB2312" w:hAnsi="Arial" w:cs="Arial" w:hint="eastAsia"/>
                <w:b/>
                <w:szCs w:val="24"/>
              </w:rPr>
              <w:t>年</w:t>
            </w:r>
            <w:r w:rsidR="00550FB0">
              <w:rPr>
                <w:rFonts w:ascii="Arial" w:eastAsia="仿宋_GB2312" w:hAnsi="Arial" w:cs="Arial" w:hint="eastAsia"/>
                <w:b/>
                <w:szCs w:val="24"/>
              </w:rPr>
              <w:t>6</w:t>
            </w:r>
            <w:r w:rsidR="00550FB0">
              <w:rPr>
                <w:rFonts w:ascii="Arial" w:eastAsia="仿宋_GB2312" w:hAnsi="Arial" w:cs="Arial" w:hint="eastAsia"/>
                <w:b/>
                <w:szCs w:val="24"/>
              </w:rPr>
              <w:t>月</w:t>
            </w:r>
            <w:r w:rsidR="00550FB0">
              <w:rPr>
                <w:rFonts w:ascii="Arial" w:eastAsia="仿宋_GB2312" w:hAnsi="Arial" w:cs="Arial" w:hint="eastAsia"/>
                <w:b/>
                <w:szCs w:val="24"/>
              </w:rPr>
              <w:t>20</w:t>
            </w:r>
            <w:r w:rsidR="00550FB0">
              <w:rPr>
                <w:rFonts w:ascii="Arial" w:eastAsia="仿宋_GB2312" w:hAnsi="Arial" w:cs="Arial" w:hint="eastAsia"/>
                <w:b/>
                <w:szCs w:val="24"/>
              </w:rPr>
              <w:t>日</w:t>
            </w:r>
            <w:r>
              <w:rPr>
                <w:rFonts w:ascii="Arial" w:eastAsia="仿宋_GB2312" w:hAnsi="Arial" w:cs="Arial" w:hint="eastAsia"/>
                <w:b/>
                <w:szCs w:val="24"/>
              </w:rPr>
              <w:t>的建议土地出让底价为：</w:t>
            </w:r>
          </w:p>
          <w:p w14:paraId="03F9E5A4"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建议出让底价：</w:t>
            </w:r>
            <w:r w:rsidR="00550FB0">
              <w:rPr>
                <w:rFonts w:ascii="Arial" w:eastAsia="仿宋_GB2312" w:hAnsi="Arial" w:cs="Arial" w:hint="eastAsia"/>
                <w:b/>
                <w:szCs w:val="24"/>
              </w:rPr>
              <w:t>104668.3070</w:t>
            </w:r>
            <w:r>
              <w:rPr>
                <w:rFonts w:ascii="Arial" w:eastAsia="仿宋_GB2312" w:hAnsi="Arial" w:cs="Arial"/>
                <w:b/>
                <w:szCs w:val="24"/>
              </w:rPr>
              <w:t>万元</w:t>
            </w:r>
          </w:p>
          <w:p w14:paraId="24EB6E17"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大写金额：</w:t>
            </w:r>
            <w:proofErr w:type="gramStart"/>
            <w:r w:rsidR="00550FB0">
              <w:rPr>
                <w:rFonts w:ascii="Arial" w:eastAsia="仿宋_GB2312" w:hAnsi="Arial" w:cs="Arial" w:hint="eastAsia"/>
                <w:b/>
                <w:szCs w:val="24"/>
              </w:rPr>
              <w:t>壹拾亿零肆仟陆佰陆拾捌万叁仟零柒拾</w:t>
            </w:r>
            <w:proofErr w:type="gramEnd"/>
            <w:r>
              <w:rPr>
                <w:rFonts w:ascii="Arial" w:eastAsia="仿宋_GB2312" w:hAnsi="Arial" w:cs="Arial" w:hint="eastAsia"/>
                <w:b/>
                <w:szCs w:val="24"/>
              </w:rPr>
              <w:t>元整</w:t>
            </w:r>
          </w:p>
        </w:tc>
      </w:tr>
    </w:tbl>
    <w:p w14:paraId="38352269" w14:textId="77777777" w:rsidR="0062768B" w:rsidRDefault="0062768B">
      <w:pPr>
        <w:snapToGrid w:val="0"/>
        <w:spacing w:beforeLines="50" w:before="120" w:line="300" w:lineRule="auto"/>
        <w:ind w:firstLineChars="200" w:firstLine="560"/>
        <w:rPr>
          <w:rFonts w:ascii="Arial" w:eastAsia="仿宋_GB2312" w:hAnsi="Arial" w:cs="Arial"/>
          <w:kern w:val="2"/>
          <w:sz w:val="28"/>
        </w:rPr>
      </w:pPr>
    </w:p>
    <w:p w14:paraId="6975D8E7"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br w:type="page"/>
      </w:r>
    </w:p>
    <w:p w14:paraId="690F100D" w14:textId="77777777" w:rsidR="0062768B" w:rsidRDefault="00136729">
      <w:pPr>
        <w:spacing w:line="300" w:lineRule="auto"/>
        <w:jc w:val="center"/>
        <w:outlineLvl w:val="0"/>
        <w:rPr>
          <w:rFonts w:ascii="Arial" w:hAnsi="Arial" w:cs="Arial"/>
          <w:b/>
          <w:sz w:val="32"/>
        </w:rPr>
      </w:pPr>
      <w:bookmarkStart w:id="434" w:name="_Toc138063043"/>
      <w:r>
        <w:rPr>
          <w:rFonts w:ascii="Arial" w:hAnsi="Arial" w:cs="Arial"/>
          <w:b/>
          <w:sz w:val="32"/>
        </w:rPr>
        <w:lastRenderedPageBreak/>
        <w:t>第四部分</w:t>
      </w:r>
      <w:r>
        <w:rPr>
          <w:rFonts w:ascii="Arial" w:eastAsia="仿宋_GB2312" w:hAnsi="Arial" w:cs="Arial"/>
          <w:b/>
          <w:sz w:val="32"/>
        </w:rPr>
        <w:t xml:space="preserve">  </w:t>
      </w:r>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432"/>
      <w:bookmarkEnd w:id="433"/>
      <w:bookmarkEnd w:id="434"/>
    </w:p>
    <w:p w14:paraId="01E79F6A" w14:textId="77777777" w:rsidR="0062768B" w:rsidRDefault="00136729">
      <w:pPr>
        <w:numPr>
          <w:ilvl w:val="0"/>
          <w:numId w:val="12"/>
        </w:numPr>
        <w:spacing w:line="300" w:lineRule="auto"/>
        <w:jc w:val="both"/>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《国有建设用地使用权出让地价评估委托书》复印件</w:t>
      </w:r>
    </w:p>
    <w:p w14:paraId="2DDB4D12" w14:textId="77777777" w:rsidR="0062768B" w:rsidRDefault="00136729">
      <w:pPr>
        <w:numPr>
          <w:ilvl w:val="0"/>
          <w:numId w:val="12"/>
        </w:numPr>
        <w:spacing w:line="300" w:lineRule="auto"/>
        <w:jc w:val="both"/>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估价对象所在位置示意图</w:t>
      </w:r>
    </w:p>
    <w:p w14:paraId="512881C8" w14:textId="77777777" w:rsidR="0062768B" w:rsidRDefault="00136729">
      <w:pPr>
        <w:numPr>
          <w:ilvl w:val="0"/>
          <w:numId w:val="12"/>
        </w:numPr>
        <w:spacing w:line="300" w:lineRule="auto"/>
        <w:jc w:val="both"/>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估价对象实地勘察情况和相关照片</w:t>
      </w:r>
    </w:p>
    <w:p w14:paraId="1A07C920" w14:textId="77777777" w:rsidR="0062768B" w:rsidRDefault="00136729">
      <w:pPr>
        <w:numPr>
          <w:ilvl w:val="0"/>
          <w:numId w:val="12"/>
        </w:numPr>
        <w:spacing w:line="300" w:lineRule="auto"/>
        <w:jc w:val="both"/>
        <w:rPr>
          <w:rFonts w:ascii="Arial" w:eastAsia="仿宋_GB2312" w:hAnsi="Arial" w:cs="Arial"/>
          <w:sz w:val="28"/>
        </w:rPr>
      </w:pPr>
      <w:r>
        <w:rPr>
          <w:rFonts w:ascii="Arial" w:eastAsia="仿宋_GB2312" w:hAnsi="Arial" w:cs="Arial" w:hint="eastAsia"/>
          <w:sz w:val="28"/>
        </w:rPr>
        <w:t>《北京市</w:t>
      </w:r>
      <w:r>
        <w:rPr>
          <w:rFonts w:ascii="Arial" w:eastAsia="仿宋_GB2312" w:hAnsi="Arial" w:cs="Arial"/>
          <w:sz w:val="28"/>
        </w:rPr>
        <w:t>规划和</w:t>
      </w:r>
      <w:r>
        <w:rPr>
          <w:rFonts w:ascii="Arial" w:eastAsia="仿宋_GB2312" w:hAnsi="Arial" w:cs="Arial" w:hint="eastAsia"/>
          <w:sz w:val="28"/>
        </w:rPr>
        <w:t>国土</w:t>
      </w:r>
      <w:r>
        <w:rPr>
          <w:rFonts w:ascii="Arial" w:eastAsia="仿宋_GB2312" w:hAnsi="Arial" w:cs="Arial"/>
          <w:sz w:val="28"/>
        </w:rPr>
        <w:t>资源管理委员会建设项目规划条件（</w:t>
      </w:r>
      <w:r>
        <w:rPr>
          <w:rFonts w:ascii="Arial" w:eastAsia="仿宋_GB2312" w:hAnsi="Arial" w:cs="Arial" w:hint="eastAsia"/>
          <w:sz w:val="28"/>
        </w:rPr>
        <w:t>土地</w:t>
      </w:r>
      <w:r>
        <w:rPr>
          <w:rFonts w:ascii="Arial" w:eastAsia="仿宋_GB2312" w:hAnsi="Arial" w:cs="Arial"/>
          <w:sz w:val="28"/>
        </w:rPr>
        <w:t>储备</w:t>
      </w:r>
      <w:r>
        <w:rPr>
          <w:rFonts w:ascii="Arial" w:eastAsia="仿宋_GB2312" w:hAnsi="Arial" w:cs="Arial" w:hint="eastAsia"/>
          <w:sz w:val="28"/>
        </w:rPr>
        <w:t>前期</w:t>
      </w:r>
      <w:r>
        <w:rPr>
          <w:rFonts w:ascii="Arial" w:eastAsia="仿宋_GB2312" w:hAnsi="Arial" w:cs="Arial"/>
          <w:sz w:val="28"/>
        </w:rPr>
        <w:t>整理）</w:t>
      </w:r>
      <w:r>
        <w:rPr>
          <w:rFonts w:ascii="Arial" w:eastAsia="仿宋_GB2312" w:hAnsi="Arial" w:cs="Arial" w:hint="eastAsia"/>
          <w:sz w:val="28"/>
        </w:rPr>
        <w:t>》（</w:t>
      </w:r>
      <w:r>
        <w:rPr>
          <w:rFonts w:ascii="Arial" w:eastAsia="仿宋_GB2312" w:hAnsi="Arial" w:cs="Arial" w:hint="eastAsia"/>
          <w:sz w:val="28"/>
        </w:rPr>
        <w:t>2017</w:t>
      </w:r>
      <w:proofErr w:type="gramStart"/>
      <w:r>
        <w:rPr>
          <w:rFonts w:ascii="Arial" w:eastAsia="仿宋_GB2312" w:hAnsi="Arial" w:cs="Arial" w:hint="eastAsia"/>
          <w:sz w:val="28"/>
        </w:rPr>
        <w:t>规</w:t>
      </w:r>
      <w:proofErr w:type="gramEnd"/>
      <w:r>
        <w:rPr>
          <w:rFonts w:ascii="Arial" w:eastAsia="仿宋_GB2312" w:hAnsi="Arial" w:cs="Arial"/>
          <w:sz w:val="28"/>
        </w:rPr>
        <w:t>（</w:t>
      </w:r>
      <w:r>
        <w:rPr>
          <w:rFonts w:ascii="Arial" w:eastAsia="仿宋_GB2312" w:hAnsi="Arial" w:cs="Arial" w:hint="eastAsia"/>
          <w:sz w:val="28"/>
        </w:rPr>
        <w:t>顺</w:t>
      </w:r>
      <w:r>
        <w:rPr>
          <w:rFonts w:ascii="Arial" w:eastAsia="仿宋_GB2312" w:hAnsi="Arial" w:cs="Arial"/>
          <w:sz w:val="28"/>
        </w:rPr>
        <w:t>）</w:t>
      </w:r>
      <w:r>
        <w:rPr>
          <w:rFonts w:ascii="Arial" w:eastAsia="仿宋_GB2312" w:hAnsi="Arial" w:cs="Arial" w:hint="eastAsia"/>
          <w:sz w:val="28"/>
        </w:rPr>
        <w:t>条</w:t>
      </w:r>
      <w:r>
        <w:rPr>
          <w:rFonts w:ascii="Arial" w:eastAsia="仿宋_GB2312" w:hAnsi="Arial" w:cs="Arial"/>
          <w:sz w:val="28"/>
        </w:rPr>
        <w:t>整字</w:t>
      </w:r>
      <w:r>
        <w:rPr>
          <w:rFonts w:ascii="Arial" w:eastAsia="仿宋_GB2312" w:hAnsi="Arial" w:cs="Arial" w:hint="eastAsia"/>
          <w:sz w:val="28"/>
        </w:rPr>
        <w:t>0006</w:t>
      </w:r>
      <w:r>
        <w:rPr>
          <w:rFonts w:ascii="Arial" w:eastAsia="仿宋_GB2312" w:hAnsi="Arial" w:cs="Arial" w:hint="eastAsia"/>
          <w:sz w:val="28"/>
        </w:rPr>
        <w:t>号）复印件</w:t>
      </w:r>
    </w:p>
    <w:p w14:paraId="37BB8094" w14:textId="77777777" w:rsidR="0062768B" w:rsidRDefault="00136729">
      <w:pPr>
        <w:numPr>
          <w:ilvl w:val="0"/>
          <w:numId w:val="12"/>
        </w:numPr>
        <w:spacing w:line="300" w:lineRule="auto"/>
        <w:jc w:val="both"/>
        <w:rPr>
          <w:rFonts w:ascii="Arial" w:eastAsia="仿宋_GB2312" w:hAnsi="Arial" w:cs="Arial"/>
          <w:sz w:val="28"/>
        </w:rPr>
      </w:pPr>
      <w:r>
        <w:rPr>
          <w:rFonts w:ascii="Arial" w:eastAsia="仿宋_GB2312" w:hAnsi="Arial" w:cs="Arial" w:hint="eastAsia"/>
          <w:sz w:val="28"/>
        </w:rPr>
        <w:t>《北京市</w:t>
      </w:r>
      <w:r>
        <w:rPr>
          <w:rFonts w:ascii="Arial" w:eastAsia="仿宋_GB2312" w:hAnsi="Arial" w:cs="Arial"/>
          <w:sz w:val="28"/>
        </w:rPr>
        <w:t>规划和自然资源会员会顺义分局关于顺义区高丽营镇夏县营村棚户区改造土地</w:t>
      </w:r>
      <w:r>
        <w:rPr>
          <w:rFonts w:ascii="Arial" w:eastAsia="仿宋_GB2312" w:hAnsi="Arial" w:cs="Arial" w:hint="eastAsia"/>
          <w:sz w:val="28"/>
        </w:rPr>
        <w:t>开发</w:t>
      </w:r>
      <w:r>
        <w:rPr>
          <w:rFonts w:ascii="Arial" w:eastAsia="仿宋_GB2312" w:hAnsi="Arial" w:cs="Arial"/>
          <w:sz w:val="28"/>
        </w:rPr>
        <w:t>项目调整建设项目规划条件的复函</w:t>
      </w:r>
      <w:r>
        <w:rPr>
          <w:rFonts w:ascii="Arial" w:eastAsia="仿宋_GB2312" w:hAnsi="Arial" w:cs="Arial" w:hint="eastAsia"/>
          <w:sz w:val="28"/>
        </w:rPr>
        <w:t>》（京</w:t>
      </w:r>
      <w:proofErr w:type="gramStart"/>
      <w:r>
        <w:rPr>
          <w:rFonts w:ascii="Arial" w:eastAsia="仿宋_GB2312" w:hAnsi="Arial" w:cs="Arial"/>
          <w:sz w:val="28"/>
        </w:rPr>
        <w:t>规自顺</w:t>
      </w:r>
      <w:r>
        <w:rPr>
          <w:rFonts w:ascii="Arial" w:eastAsia="仿宋_GB2312" w:hAnsi="Arial" w:cs="Arial" w:hint="eastAsia"/>
          <w:sz w:val="28"/>
        </w:rPr>
        <w:t>函</w:t>
      </w:r>
      <w:r>
        <w:rPr>
          <w:rFonts w:ascii="Arial" w:eastAsia="仿宋_GB2312" w:hAnsi="Arial" w:cs="Arial"/>
          <w:sz w:val="28"/>
        </w:rPr>
        <w:t>【</w:t>
      </w:r>
      <w:r>
        <w:rPr>
          <w:rFonts w:ascii="Arial" w:eastAsia="仿宋_GB2312" w:hAnsi="Arial" w:cs="Arial" w:hint="eastAsia"/>
          <w:sz w:val="28"/>
        </w:rPr>
        <w:t>2019</w:t>
      </w:r>
      <w:r>
        <w:rPr>
          <w:rFonts w:ascii="Arial" w:eastAsia="仿宋_GB2312" w:hAnsi="Arial" w:cs="Arial"/>
          <w:sz w:val="28"/>
        </w:rPr>
        <w:t>】</w:t>
      </w:r>
      <w:proofErr w:type="gramEnd"/>
      <w:r>
        <w:rPr>
          <w:rFonts w:ascii="Arial" w:eastAsia="仿宋_GB2312" w:hAnsi="Arial" w:cs="Arial" w:hint="eastAsia"/>
          <w:sz w:val="28"/>
        </w:rPr>
        <w:t>153</w:t>
      </w:r>
      <w:r>
        <w:rPr>
          <w:rFonts w:ascii="Arial" w:eastAsia="仿宋_GB2312" w:hAnsi="Arial" w:cs="Arial" w:hint="eastAsia"/>
          <w:sz w:val="28"/>
        </w:rPr>
        <w:t>号）复印件</w:t>
      </w:r>
    </w:p>
    <w:p w14:paraId="2F409132" w14:textId="77777777" w:rsidR="0062768B" w:rsidRDefault="00136729">
      <w:pPr>
        <w:numPr>
          <w:ilvl w:val="0"/>
          <w:numId w:val="12"/>
        </w:numPr>
        <w:spacing w:line="300" w:lineRule="auto"/>
        <w:jc w:val="both"/>
        <w:rPr>
          <w:rFonts w:ascii="Arial" w:eastAsia="仿宋_GB2312" w:hAnsi="Arial" w:cs="Arial"/>
          <w:sz w:val="28"/>
        </w:rPr>
      </w:pPr>
      <w:r>
        <w:rPr>
          <w:rFonts w:ascii="Arial" w:eastAsia="仿宋_GB2312" w:hAnsi="Arial" w:cs="Arial" w:hint="eastAsia"/>
          <w:sz w:val="28"/>
        </w:rPr>
        <w:t>《北京市人民政府关于顺义区二</w:t>
      </w:r>
      <w:r>
        <w:rPr>
          <w:rFonts w:ascii="微软雅黑" w:eastAsia="微软雅黑" w:hAnsi="微软雅黑" w:cs="微软雅黑" w:hint="eastAsia"/>
          <w:sz w:val="28"/>
        </w:rPr>
        <w:t>〇</w:t>
      </w:r>
      <w:r>
        <w:rPr>
          <w:rFonts w:ascii="Arial" w:eastAsia="仿宋_GB2312" w:hAnsi="Arial" w:cs="Arial" w:hint="eastAsia"/>
          <w:sz w:val="28"/>
        </w:rPr>
        <w:t>二</w:t>
      </w:r>
      <w:r>
        <w:rPr>
          <w:rFonts w:ascii="微软雅黑" w:eastAsia="微软雅黑" w:hAnsi="微软雅黑" w:cs="微软雅黑" w:hint="eastAsia"/>
          <w:sz w:val="28"/>
        </w:rPr>
        <w:t>〇</w:t>
      </w:r>
      <w:r>
        <w:rPr>
          <w:rFonts w:ascii="Arial" w:eastAsia="仿宋_GB2312" w:hAnsi="Arial" w:cs="Arial" w:hint="eastAsia"/>
          <w:sz w:val="28"/>
        </w:rPr>
        <w:t>年度批次建设用地的批复》（</w:t>
      </w:r>
      <w:proofErr w:type="gramStart"/>
      <w:r>
        <w:rPr>
          <w:rFonts w:ascii="仿宋_GB2312" w:eastAsia="仿宋_GB2312" w:hAnsi="仿宋_GB2312" w:cs="仿宋_GB2312" w:hint="eastAsia"/>
          <w:spacing w:val="-6"/>
          <w:sz w:val="28"/>
        </w:rPr>
        <w:t>京政地字</w:t>
      </w:r>
      <w:proofErr w:type="gramEnd"/>
      <w:r>
        <w:rPr>
          <w:rFonts w:ascii="仿宋_GB2312" w:eastAsia="仿宋_GB2312" w:hAnsi="仿宋_GB2312" w:cs="仿宋_GB2312" w:hint="eastAsia"/>
          <w:spacing w:val="-6"/>
          <w:sz w:val="28"/>
        </w:rPr>
        <w:t>【</w:t>
      </w:r>
      <w:r>
        <w:rPr>
          <w:rFonts w:ascii="Arial" w:eastAsia="仿宋_GB2312" w:hAnsi="Arial" w:cs="Arial" w:hint="eastAsia"/>
          <w:sz w:val="28"/>
        </w:rPr>
        <w:t>2020</w:t>
      </w:r>
      <w:r>
        <w:rPr>
          <w:rFonts w:ascii="Arial" w:eastAsia="仿宋_GB2312" w:hAnsi="Arial" w:cs="Arial" w:hint="eastAsia"/>
          <w:sz w:val="28"/>
        </w:rPr>
        <w:t>】</w:t>
      </w:r>
      <w:r>
        <w:rPr>
          <w:rFonts w:ascii="Arial" w:eastAsia="仿宋_GB2312" w:hAnsi="Arial" w:cs="Arial" w:hint="eastAsia"/>
          <w:sz w:val="28"/>
        </w:rPr>
        <w:t>121</w:t>
      </w:r>
      <w:r>
        <w:rPr>
          <w:rFonts w:ascii="仿宋_GB2312" w:eastAsia="仿宋_GB2312" w:hAnsi="仿宋_GB2312" w:cs="仿宋_GB2312" w:hint="eastAsia"/>
          <w:spacing w:val="-6"/>
          <w:sz w:val="28"/>
        </w:rPr>
        <w:t>号）</w:t>
      </w:r>
      <w:r>
        <w:rPr>
          <w:rFonts w:ascii="Arial" w:eastAsia="仿宋_GB2312" w:hAnsi="Arial" w:cs="Arial" w:hint="eastAsia"/>
          <w:spacing w:val="-6"/>
          <w:sz w:val="28"/>
        </w:rPr>
        <w:t>复印件</w:t>
      </w:r>
    </w:p>
    <w:p w14:paraId="5B0F066D" w14:textId="29DE5DAF" w:rsidR="0062768B" w:rsidRDefault="00791FE1">
      <w:pPr>
        <w:numPr>
          <w:ilvl w:val="0"/>
          <w:numId w:val="12"/>
        </w:numPr>
        <w:spacing w:line="300" w:lineRule="auto"/>
        <w:jc w:val="both"/>
        <w:rPr>
          <w:rFonts w:ascii="Arial" w:eastAsia="仿宋_GB2312" w:hAnsi="Arial" w:cs="Arial"/>
          <w:sz w:val="28"/>
        </w:rPr>
      </w:pPr>
      <w:r>
        <w:rPr>
          <w:rFonts w:ascii="Arial" w:eastAsia="仿宋_GB2312" w:hAnsi="Arial" w:cs="Arial"/>
          <w:sz w:val="28"/>
        </w:rPr>
        <w:t>《北京市顺义区人民政府关于顺义区高丽营镇夏县营村棚户区改造土地开发项目</w:t>
      </w:r>
      <w:r>
        <w:rPr>
          <w:rFonts w:ascii="Arial" w:eastAsia="仿宋_GB2312" w:hAnsi="Arial" w:cs="Arial"/>
          <w:sz w:val="28"/>
        </w:rPr>
        <w:t>01-008</w:t>
      </w:r>
      <w:r>
        <w:rPr>
          <w:rFonts w:ascii="Arial" w:eastAsia="仿宋_GB2312" w:hAnsi="Arial" w:cs="Arial"/>
          <w:sz w:val="28"/>
        </w:rPr>
        <w:t>、</w:t>
      </w:r>
      <w:r>
        <w:rPr>
          <w:rFonts w:ascii="Arial" w:eastAsia="仿宋_GB2312" w:hAnsi="Arial" w:cs="Arial"/>
          <w:sz w:val="28"/>
        </w:rPr>
        <w:t>01-016</w:t>
      </w:r>
      <w:r>
        <w:rPr>
          <w:rFonts w:ascii="Arial" w:eastAsia="仿宋_GB2312" w:hAnsi="Arial" w:cs="Arial"/>
          <w:sz w:val="28"/>
        </w:rPr>
        <w:t>、</w:t>
      </w:r>
      <w:r>
        <w:rPr>
          <w:rFonts w:ascii="Arial" w:eastAsia="仿宋_GB2312" w:hAnsi="Arial" w:cs="Arial"/>
          <w:sz w:val="28"/>
        </w:rPr>
        <w:t>01-026-1</w:t>
      </w:r>
      <w:r>
        <w:rPr>
          <w:rFonts w:ascii="Arial" w:eastAsia="仿宋_GB2312" w:hAnsi="Arial" w:cs="Arial"/>
          <w:sz w:val="28"/>
        </w:rPr>
        <w:t>、</w:t>
      </w:r>
      <w:r>
        <w:rPr>
          <w:rFonts w:ascii="Arial" w:eastAsia="仿宋_GB2312" w:hAnsi="Arial" w:cs="Arial"/>
          <w:sz w:val="28"/>
        </w:rPr>
        <w:t>01-020</w:t>
      </w:r>
      <w:r>
        <w:rPr>
          <w:rFonts w:ascii="Arial" w:eastAsia="仿宋_GB2312" w:hAnsi="Arial" w:cs="Arial"/>
          <w:sz w:val="28"/>
        </w:rPr>
        <w:t>地块提请地价审核有关事宜的函》（</w:t>
      </w:r>
      <w:proofErr w:type="gramStart"/>
      <w:r>
        <w:rPr>
          <w:rFonts w:ascii="Arial" w:eastAsia="仿宋_GB2312" w:hAnsi="Arial" w:cs="Arial"/>
          <w:sz w:val="28"/>
        </w:rPr>
        <w:t>顺政函</w:t>
      </w:r>
      <w:proofErr w:type="gramEnd"/>
      <w:r>
        <w:rPr>
          <w:rFonts w:ascii="Arial" w:eastAsia="仿宋_GB2312" w:hAnsi="Arial" w:cs="Arial"/>
          <w:sz w:val="28"/>
        </w:rPr>
        <w:t>【</w:t>
      </w:r>
      <w:r>
        <w:rPr>
          <w:rFonts w:ascii="Arial" w:eastAsia="仿宋_GB2312" w:hAnsi="Arial" w:cs="Arial"/>
          <w:sz w:val="28"/>
        </w:rPr>
        <w:t>2023</w:t>
      </w:r>
      <w:r>
        <w:rPr>
          <w:rFonts w:ascii="Arial" w:eastAsia="仿宋_GB2312" w:hAnsi="Arial" w:cs="Arial"/>
          <w:sz w:val="28"/>
        </w:rPr>
        <w:t>】</w:t>
      </w:r>
      <w:r>
        <w:rPr>
          <w:rFonts w:ascii="Arial" w:eastAsia="仿宋_GB2312" w:hAnsi="Arial" w:cs="Arial"/>
          <w:sz w:val="28"/>
        </w:rPr>
        <w:t>151</w:t>
      </w:r>
      <w:r>
        <w:rPr>
          <w:rFonts w:ascii="Arial" w:eastAsia="仿宋_GB2312" w:hAnsi="Arial" w:cs="Arial"/>
          <w:sz w:val="28"/>
        </w:rPr>
        <w:t>号）</w:t>
      </w:r>
      <w:r w:rsidR="00136729">
        <w:rPr>
          <w:rFonts w:ascii="Arial" w:eastAsia="仿宋_GB2312" w:hAnsi="Arial" w:cs="Arial"/>
          <w:sz w:val="28"/>
        </w:rPr>
        <w:t>复印件</w:t>
      </w:r>
    </w:p>
    <w:p w14:paraId="6A766693" w14:textId="77777777" w:rsidR="0062768B" w:rsidRDefault="00136729">
      <w:pPr>
        <w:numPr>
          <w:ilvl w:val="0"/>
          <w:numId w:val="12"/>
        </w:numPr>
        <w:spacing w:line="300" w:lineRule="auto"/>
        <w:jc w:val="both"/>
        <w:rPr>
          <w:rFonts w:ascii="Arial" w:eastAsia="仿宋_GB2312" w:hAnsi="Arial" w:cs="Arial"/>
          <w:sz w:val="28"/>
        </w:rPr>
      </w:pPr>
      <w:r>
        <w:rPr>
          <w:rFonts w:ascii="Arial" w:eastAsia="仿宋_GB2312" w:hAnsi="Arial" w:cs="Arial"/>
          <w:sz w:val="28"/>
        </w:rPr>
        <w:t>《北京市规划和自然资源委员会顺义分局关于顺义区高丽营镇夏县营村棚户区改造土地开发项目</w:t>
      </w:r>
      <w:r>
        <w:rPr>
          <w:rFonts w:ascii="Arial" w:eastAsia="仿宋_GB2312" w:hAnsi="Arial" w:cs="Arial"/>
          <w:sz w:val="28"/>
        </w:rPr>
        <w:t>01-008</w:t>
      </w:r>
      <w:r>
        <w:rPr>
          <w:rFonts w:ascii="Arial" w:eastAsia="仿宋_GB2312" w:hAnsi="Arial" w:cs="Arial"/>
          <w:sz w:val="28"/>
        </w:rPr>
        <w:t>、</w:t>
      </w:r>
      <w:r>
        <w:rPr>
          <w:rFonts w:ascii="Arial" w:eastAsia="仿宋_GB2312" w:hAnsi="Arial" w:cs="Arial"/>
          <w:sz w:val="28"/>
        </w:rPr>
        <w:t>01-015-1</w:t>
      </w:r>
      <w:r>
        <w:rPr>
          <w:rFonts w:ascii="Arial" w:eastAsia="仿宋_GB2312" w:hAnsi="Arial" w:cs="Arial"/>
          <w:sz w:val="28"/>
        </w:rPr>
        <w:t>、</w:t>
      </w:r>
      <w:r>
        <w:rPr>
          <w:rFonts w:ascii="Arial" w:eastAsia="仿宋_GB2312" w:hAnsi="Arial" w:cs="Arial"/>
          <w:sz w:val="28"/>
        </w:rPr>
        <w:t>01-015-2</w:t>
      </w:r>
      <w:r>
        <w:rPr>
          <w:rFonts w:ascii="Arial" w:eastAsia="仿宋_GB2312" w:hAnsi="Arial" w:cs="Arial"/>
          <w:sz w:val="28"/>
        </w:rPr>
        <w:t>、</w:t>
      </w:r>
      <w:r>
        <w:rPr>
          <w:rFonts w:ascii="Arial" w:eastAsia="仿宋_GB2312" w:hAnsi="Arial" w:cs="Arial"/>
          <w:sz w:val="28"/>
        </w:rPr>
        <w:t>01-016</w:t>
      </w:r>
      <w:r>
        <w:rPr>
          <w:rFonts w:ascii="Arial" w:eastAsia="仿宋_GB2312" w:hAnsi="Arial" w:cs="Arial"/>
          <w:sz w:val="28"/>
        </w:rPr>
        <w:t>、</w:t>
      </w:r>
      <w:r>
        <w:rPr>
          <w:rFonts w:ascii="Arial" w:eastAsia="仿宋_GB2312" w:hAnsi="Arial" w:cs="Arial"/>
          <w:sz w:val="28"/>
        </w:rPr>
        <w:t>01-020</w:t>
      </w:r>
      <w:r>
        <w:rPr>
          <w:rFonts w:ascii="Arial" w:eastAsia="仿宋_GB2312" w:hAnsi="Arial" w:cs="Arial"/>
          <w:sz w:val="28"/>
        </w:rPr>
        <w:t>、</w:t>
      </w:r>
      <w:r>
        <w:rPr>
          <w:rFonts w:ascii="Arial" w:eastAsia="仿宋_GB2312" w:hAnsi="Arial" w:cs="Arial"/>
          <w:sz w:val="28"/>
        </w:rPr>
        <w:t>01-025</w:t>
      </w:r>
      <w:r>
        <w:rPr>
          <w:rFonts w:ascii="Arial" w:eastAsia="仿宋_GB2312" w:hAnsi="Arial" w:cs="Arial"/>
          <w:sz w:val="28"/>
        </w:rPr>
        <w:t>、</w:t>
      </w:r>
      <w:r>
        <w:rPr>
          <w:rFonts w:ascii="Arial" w:eastAsia="仿宋_GB2312" w:hAnsi="Arial" w:cs="Arial"/>
          <w:sz w:val="28"/>
        </w:rPr>
        <w:t>01-026-1</w:t>
      </w:r>
      <w:r>
        <w:rPr>
          <w:rFonts w:ascii="Arial" w:eastAsia="仿宋_GB2312" w:hAnsi="Arial" w:cs="Arial"/>
          <w:sz w:val="28"/>
        </w:rPr>
        <w:t>等二类居住用地、托幼用地、商业用地地块</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协同平台供地审核意见的函》（京</w:t>
      </w:r>
      <w:proofErr w:type="gramStart"/>
      <w:r>
        <w:rPr>
          <w:rFonts w:ascii="Arial" w:eastAsia="仿宋_GB2312" w:hAnsi="Arial" w:cs="Arial"/>
          <w:sz w:val="28"/>
        </w:rPr>
        <w:t>规</w:t>
      </w:r>
      <w:proofErr w:type="gramEnd"/>
      <w:r>
        <w:rPr>
          <w:rFonts w:ascii="Arial" w:eastAsia="仿宋_GB2312" w:hAnsi="Arial" w:cs="Arial"/>
          <w:sz w:val="28"/>
        </w:rPr>
        <w:t>自（顺）</w:t>
      </w:r>
      <w:proofErr w:type="gramStart"/>
      <w:r>
        <w:rPr>
          <w:rFonts w:ascii="Arial" w:eastAsia="仿宋_GB2312" w:hAnsi="Arial" w:cs="Arial"/>
          <w:sz w:val="28"/>
        </w:rPr>
        <w:t>供审函</w:t>
      </w:r>
      <w:proofErr w:type="gramEnd"/>
      <w:r>
        <w:rPr>
          <w:rFonts w:ascii="Arial" w:eastAsia="仿宋_GB2312" w:hAnsi="Arial" w:cs="Arial"/>
          <w:sz w:val="28"/>
        </w:rPr>
        <w:t>【</w:t>
      </w:r>
      <w:r>
        <w:rPr>
          <w:rFonts w:ascii="Arial" w:eastAsia="仿宋_GB2312" w:hAnsi="Arial" w:cs="Arial"/>
          <w:sz w:val="28"/>
        </w:rPr>
        <w:t>2023</w:t>
      </w:r>
      <w:r>
        <w:rPr>
          <w:rFonts w:ascii="Arial" w:eastAsia="仿宋_GB2312" w:hAnsi="Arial" w:cs="Arial"/>
          <w:sz w:val="28"/>
        </w:rPr>
        <w:t>】</w:t>
      </w:r>
      <w:r>
        <w:rPr>
          <w:rFonts w:ascii="Arial" w:eastAsia="仿宋_GB2312" w:hAnsi="Arial" w:cs="Arial"/>
          <w:sz w:val="28"/>
        </w:rPr>
        <w:t>0004</w:t>
      </w:r>
      <w:r>
        <w:rPr>
          <w:rFonts w:ascii="Arial" w:eastAsia="仿宋_GB2312" w:hAnsi="Arial" w:cs="Arial"/>
          <w:sz w:val="28"/>
        </w:rPr>
        <w:t>号）</w:t>
      </w:r>
      <w:r>
        <w:rPr>
          <w:rFonts w:ascii="Arial" w:eastAsia="仿宋_GB2312" w:hAnsi="Arial" w:cs="Arial" w:hint="eastAsia"/>
          <w:sz w:val="28"/>
        </w:rPr>
        <w:t>及规划意见附图</w:t>
      </w:r>
      <w:r>
        <w:rPr>
          <w:rFonts w:ascii="Arial" w:eastAsia="仿宋_GB2312" w:hAnsi="Arial" w:cs="Arial"/>
          <w:sz w:val="28"/>
        </w:rPr>
        <w:t>复印件</w:t>
      </w:r>
    </w:p>
    <w:p w14:paraId="5B4A1395" w14:textId="77777777" w:rsidR="0062768B" w:rsidRDefault="00136729">
      <w:pPr>
        <w:numPr>
          <w:ilvl w:val="0"/>
          <w:numId w:val="12"/>
        </w:numPr>
        <w:spacing w:line="300" w:lineRule="auto"/>
        <w:jc w:val="both"/>
        <w:rPr>
          <w:rFonts w:ascii="Arial" w:eastAsia="仿宋_GB2312" w:hAnsi="Arial" w:cs="Arial"/>
          <w:sz w:val="28"/>
        </w:rPr>
      </w:pPr>
      <w:r>
        <w:rPr>
          <w:rFonts w:ascii="Arial" w:eastAsia="仿宋_GB2312" w:hAnsi="Arial" w:cs="Arial" w:hint="eastAsia"/>
          <w:sz w:val="28"/>
        </w:rPr>
        <w:t>《建设工程规划用地测量成果报告书》（</w:t>
      </w:r>
      <w:r>
        <w:rPr>
          <w:rFonts w:ascii="Arial" w:eastAsia="仿宋_GB2312" w:hAnsi="Arial" w:cs="Arial" w:hint="eastAsia"/>
          <w:sz w:val="28"/>
        </w:rPr>
        <w:t>2021</w:t>
      </w:r>
      <w:proofErr w:type="gramStart"/>
      <w:r>
        <w:rPr>
          <w:rFonts w:ascii="Arial" w:eastAsia="仿宋_GB2312" w:hAnsi="Arial" w:cs="Arial" w:hint="eastAsia"/>
          <w:sz w:val="28"/>
        </w:rPr>
        <w:t>规</w:t>
      </w:r>
      <w:proofErr w:type="gramEnd"/>
      <w:r>
        <w:rPr>
          <w:rFonts w:ascii="Arial" w:eastAsia="仿宋_GB2312" w:hAnsi="Arial" w:cs="Arial" w:hint="eastAsia"/>
          <w:sz w:val="28"/>
        </w:rPr>
        <w:t>自（顺）测字</w:t>
      </w:r>
      <w:r>
        <w:rPr>
          <w:rFonts w:ascii="Arial" w:eastAsia="仿宋_GB2312" w:hAnsi="Arial" w:cs="Arial" w:hint="eastAsia"/>
          <w:sz w:val="28"/>
        </w:rPr>
        <w:t>0008</w:t>
      </w:r>
      <w:r>
        <w:rPr>
          <w:rFonts w:ascii="Arial" w:eastAsia="仿宋_GB2312" w:hAnsi="Arial" w:cs="Arial" w:hint="eastAsia"/>
          <w:sz w:val="28"/>
        </w:rPr>
        <w:t>号）</w:t>
      </w:r>
      <w:r>
        <w:rPr>
          <w:rFonts w:ascii="Arial" w:eastAsia="仿宋_GB2312" w:hAnsi="Arial" w:cs="Arial"/>
          <w:sz w:val="28"/>
        </w:rPr>
        <w:t>复印件</w:t>
      </w:r>
    </w:p>
    <w:p w14:paraId="43DE1079" w14:textId="77777777" w:rsidR="0062768B" w:rsidRDefault="00136729">
      <w:pPr>
        <w:numPr>
          <w:ilvl w:val="0"/>
          <w:numId w:val="12"/>
        </w:numPr>
        <w:spacing w:line="300" w:lineRule="auto"/>
        <w:jc w:val="both"/>
        <w:rPr>
          <w:rFonts w:ascii="Arial" w:eastAsia="仿宋_GB2312" w:hAnsi="Arial" w:cs="Arial"/>
          <w:sz w:val="28"/>
        </w:rPr>
      </w:pPr>
      <w:r>
        <w:rPr>
          <w:rFonts w:ascii="Arial" w:eastAsia="仿宋_GB2312" w:hAnsi="Arial" w:cs="Arial" w:hint="eastAsia"/>
          <w:sz w:val="28"/>
        </w:rPr>
        <w:t>《关于顺义区高丽营镇夏县营村棚户区改造土地开发项目</w:t>
      </w:r>
      <w:r>
        <w:rPr>
          <w:rFonts w:ascii="Arial" w:eastAsia="仿宋_GB2312" w:hAnsi="Arial" w:cs="Arial" w:hint="eastAsia"/>
          <w:sz w:val="28"/>
        </w:rPr>
        <w:t>0</w:t>
      </w:r>
      <w:r>
        <w:rPr>
          <w:rFonts w:ascii="Arial" w:eastAsia="仿宋_GB2312" w:hAnsi="Arial" w:cs="Arial"/>
          <w:sz w:val="28"/>
        </w:rPr>
        <w:t>1-008</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sz w:val="28"/>
        </w:rPr>
        <w:t>1-016</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sz w:val="28"/>
        </w:rPr>
        <w:t>1-026-1</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sz w:val="28"/>
        </w:rPr>
        <w:t>1-020</w:t>
      </w:r>
      <w:r>
        <w:rPr>
          <w:rFonts w:ascii="Arial" w:eastAsia="仿宋_GB2312" w:hAnsi="Arial" w:cs="Arial" w:hint="eastAsia"/>
          <w:sz w:val="28"/>
        </w:rPr>
        <w:t>地块实物补偿内容的说明》复印件</w:t>
      </w:r>
    </w:p>
    <w:p w14:paraId="392AC787" w14:textId="77777777" w:rsidR="0062768B" w:rsidRDefault="00136729">
      <w:pPr>
        <w:numPr>
          <w:ilvl w:val="0"/>
          <w:numId w:val="12"/>
        </w:numPr>
        <w:spacing w:line="300" w:lineRule="auto"/>
        <w:jc w:val="both"/>
        <w:rPr>
          <w:rFonts w:ascii="Arial" w:eastAsia="仿宋_GB2312" w:hAnsi="Arial" w:cs="Arial"/>
          <w:sz w:val="28"/>
        </w:rPr>
      </w:pPr>
      <w:r>
        <w:rPr>
          <w:rFonts w:ascii="Arial" w:eastAsia="仿宋_GB2312" w:hAnsi="Arial" w:cs="Arial" w:hint="eastAsia"/>
          <w:sz w:val="28"/>
        </w:rPr>
        <w:t>《关于顺义区高丽营镇夏县营村棚户区改造土地开发项目</w:t>
      </w:r>
      <w:r>
        <w:rPr>
          <w:rFonts w:ascii="Arial" w:eastAsia="仿宋_GB2312" w:hAnsi="Arial" w:cs="Arial" w:hint="eastAsia"/>
          <w:sz w:val="28"/>
        </w:rPr>
        <w:t>0</w:t>
      </w:r>
      <w:r>
        <w:rPr>
          <w:rFonts w:ascii="Arial" w:eastAsia="仿宋_GB2312" w:hAnsi="Arial" w:cs="Arial"/>
          <w:sz w:val="28"/>
        </w:rPr>
        <w:t>1-008</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sz w:val="28"/>
        </w:rPr>
        <w:t>1-016</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sz w:val="28"/>
        </w:rPr>
        <w:t>1-026-1</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sz w:val="28"/>
        </w:rPr>
        <w:t>1-020</w:t>
      </w:r>
      <w:r>
        <w:rPr>
          <w:rFonts w:ascii="Arial" w:eastAsia="仿宋_GB2312" w:hAnsi="Arial" w:cs="Arial" w:hint="eastAsia"/>
          <w:sz w:val="28"/>
        </w:rPr>
        <w:t>地块市政条件的说明》复印件</w:t>
      </w:r>
    </w:p>
    <w:p w14:paraId="39354A27" w14:textId="77777777" w:rsidR="0062768B" w:rsidRDefault="00136729">
      <w:pPr>
        <w:numPr>
          <w:ilvl w:val="0"/>
          <w:numId w:val="12"/>
        </w:numPr>
        <w:spacing w:line="300" w:lineRule="auto"/>
        <w:jc w:val="both"/>
        <w:rPr>
          <w:rFonts w:ascii="Arial" w:eastAsia="仿宋_GB2312" w:hAnsi="Arial" w:cs="Arial"/>
          <w:sz w:val="28"/>
        </w:rPr>
      </w:pPr>
      <w:r>
        <w:rPr>
          <w:rFonts w:ascii="Arial" w:eastAsia="仿宋_GB2312" w:hAnsi="Arial" w:cs="Arial"/>
          <w:sz w:val="28"/>
          <w:szCs w:val="28"/>
        </w:rPr>
        <w:t>估价机构《营业执照（</w:t>
      </w:r>
      <w:r>
        <w:rPr>
          <w:rFonts w:ascii="Arial" w:eastAsia="仿宋_GB2312" w:hAnsi="Arial" w:cs="Arial"/>
          <w:sz w:val="28"/>
        </w:rPr>
        <w:t>副本）》复印件</w:t>
      </w:r>
    </w:p>
    <w:p w14:paraId="4C6A9847" w14:textId="77777777" w:rsidR="0062768B" w:rsidRDefault="00136729">
      <w:pPr>
        <w:numPr>
          <w:ilvl w:val="0"/>
          <w:numId w:val="12"/>
        </w:numPr>
        <w:spacing w:line="300" w:lineRule="auto"/>
        <w:jc w:val="both"/>
        <w:rPr>
          <w:rFonts w:ascii="Arial" w:eastAsia="仿宋_GB2312" w:hAnsi="Arial" w:cs="Arial"/>
          <w:sz w:val="28"/>
        </w:rPr>
      </w:pPr>
      <w:r>
        <w:rPr>
          <w:rFonts w:ascii="Arial" w:eastAsia="仿宋_GB2312" w:hAnsi="Arial" w:cs="Arial"/>
          <w:sz w:val="28"/>
        </w:rPr>
        <w:t>估价机构评估资质复印件</w:t>
      </w:r>
    </w:p>
    <w:p w14:paraId="3060BB07" w14:textId="77777777" w:rsidR="0062768B" w:rsidRDefault="00136729">
      <w:pPr>
        <w:numPr>
          <w:ilvl w:val="0"/>
          <w:numId w:val="12"/>
        </w:numPr>
        <w:spacing w:line="300" w:lineRule="auto"/>
        <w:jc w:val="both"/>
        <w:rPr>
          <w:rFonts w:ascii="Arial" w:eastAsia="仿宋_GB2312" w:hAnsi="Arial" w:cs="Arial"/>
          <w:sz w:val="28"/>
        </w:rPr>
      </w:pPr>
      <w:r>
        <w:rPr>
          <w:rFonts w:ascii="Arial" w:eastAsia="仿宋_GB2312" w:hAnsi="Arial" w:cs="Arial"/>
          <w:sz w:val="28"/>
        </w:rPr>
        <w:t>土地估价专业评估师资质证书复印件</w:t>
      </w:r>
    </w:p>
    <w:sectPr w:rsidR="0062768B">
      <w:footerReference w:type="default" r:id="rId85"/>
      <w:headerReference w:type="first" r:id="rId86"/>
      <w:pgSz w:w="11907" w:h="16840"/>
      <w:pgMar w:top="1418" w:right="1418" w:bottom="1134" w:left="1418" w:header="794" w:footer="907" w:gutter="0"/>
      <w:cols w:space="425"/>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7" w:author="cheny" w:date="2023-06-27T09:55:00Z" w:initials="c">
    <w:p w14:paraId="062E2CD2" w14:textId="347A2BA9" w:rsidR="00BA64ED" w:rsidRDefault="00BA64ED">
      <w:pPr>
        <w:pStyle w:val="a5"/>
      </w:pPr>
      <w:r>
        <w:rPr>
          <w:rStyle w:val="af6"/>
        </w:rPr>
        <w:annotationRef/>
      </w:r>
    </w:p>
  </w:comment>
  <w:comment w:id="131" w:author="cheny" w:date="2023-06-27T09:59:00Z" w:initials="c">
    <w:p w14:paraId="2533CF91" w14:textId="443B6D88" w:rsidR="00BA64ED" w:rsidRDefault="00BA64ED">
      <w:pPr>
        <w:pStyle w:val="a5"/>
      </w:pPr>
      <w:r>
        <w:rPr>
          <w:rStyle w:val="af6"/>
        </w:rPr>
        <w:annotationRef/>
      </w:r>
      <w:proofErr w:type="gramStart"/>
      <w:r>
        <w:rPr>
          <w:rFonts w:hint="eastAsia"/>
        </w:rPr>
        <w:t>缺微信截</w:t>
      </w:r>
      <w:proofErr w:type="gramEnd"/>
      <w:r>
        <w:rPr>
          <w:rFonts w:hint="eastAsia"/>
        </w:rPr>
        <w:t>图内容</w:t>
      </w:r>
    </w:p>
  </w:comment>
  <w:comment w:id="188" w:author="cheny" w:date="2023-06-27T10:01:00Z" w:initials="c">
    <w:p w14:paraId="41C628AB" w14:textId="6A130EB2" w:rsidR="00BA64ED" w:rsidRDefault="00BA64ED">
      <w:pPr>
        <w:pStyle w:val="a5"/>
      </w:pPr>
      <w:r>
        <w:rPr>
          <w:rStyle w:val="af6"/>
        </w:rPr>
        <w:annotationRef/>
      </w:r>
    </w:p>
  </w:comment>
  <w:comment w:id="192" w:author="cheny" w:date="2023-06-27T10:03:00Z" w:initials="c">
    <w:p w14:paraId="38A8A8C2" w14:textId="40ECF160" w:rsidR="00BA64ED" w:rsidRDefault="00BA64ED">
      <w:pPr>
        <w:pStyle w:val="a5"/>
      </w:pPr>
      <w:r>
        <w:rPr>
          <w:rStyle w:val="af6"/>
        </w:rPr>
        <w:annotationRef/>
      </w:r>
      <w:r>
        <w:rPr>
          <w:rFonts w:hint="eastAsia"/>
        </w:rPr>
        <w:t>同截图，确认一下</w:t>
      </w:r>
    </w:p>
  </w:comment>
  <w:comment w:id="366" w:author="cheny" w:date="2023-06-27T10:06:00Z" w:initials="c">
    <w:p w14:paraId="1F24ED1F" w14:textId="66A97AE0" w:rsidR="00BA64ED" w:rsidRDefault="00BA64ED">
      <w:pPr>
        <w:pStyle w:val="a5"/>
      </w:pPr>
      <w:r>
        <w:rPr>
          <w:rStyle w:val="af6"/>
        </w:rPr>
        <w:annotationRef/>
      </w:r>
    </w:p>
  </w:comment>
  <w:comment w:id="367" w:author="cheny" w:date="2023-06-27T10:12:00Z" w:initials="c">
    <w:p w14:paraId="0EDBE18F" w14:textId="2468D9EE" w:rsidR="00BA64ED" w:rsidRDefault="00BA64ED">
      <w:pPr>
        <w:pStyle w:val="a5"/>
      </w:pPr>
      <w:r>
        <w:rPr>
          <w:rStyle w:val="af6"/>
        </w:rPr>
        <w:annotationRef/>
      </w:r>
    </w:p>
  </w:comment>
  <w:comment w:id="368" w:author="cheny" w:date="2023-06-27T10:13:00Z" w:initials="c">
    <w:p w14:paraId="657D5507" w14:textId="1433D805" w:rsidR="00BA64ED" w:rsidRDefault="00BA64ED">
      <w:pPr>
        <w:pStyle w:val="a5"/>
      </w:pPr>
      <w:r>
        <w:rPr>
          <w:rStyle w:val="af6"/>
        </w:rPr>
        <w:annotationRef/>
      </w:r>
    </w:p>
  </w:comment>
  <w:comment w:id="369" w:author="cheny" w:date="2023-06-27T10:14:00Z" w:initials="c">
    <w:p w14:paraId="23F2EF91" w14:textId="78E83D86" w:rsidR="00BA64ED" w:rsidRDefault="00BA64ED">
      <w:pPr>
        <w:pStyle w:val="a5"/>
      </w:pPr>
      <w:r>
        <w:rPr>
          <w:rStyle w:val="af6"/>
        </w:rPr>
        <w:annotationRef/>
      </w:r>
      <w:r>
        <w:rPr>
          <w:rFonts w:hint="eastAsia"/>
        </w:rPr>
        <w:t>0.0305</w:t>
      </w:r>
    </w:p>
  </w:comment>
  <w:comment w:id="370" w:author="cheny" w:date="2023-06-27T10:17:00Z" w:initials="c">
    <w:p w14:paraId="20CCA2FB" w14:textId="659530BA" w:rsidR="008D4700" w:rsidRDefault="008D4700">
      <w:pPr>
        <w:pStyle w:val="a5"/>
      </w:pPr>
      <w:r>
        <w:rPr>
          <w:rStyle w:val="af6"/>
        </w:rPr>
        <w:annotationRef/>
      </w:r>
    </w:p>
  </w:comment>
  <w:comment w:id="371" w:author="cheny" w:date="2023-06-27T10:19:00Z" w:initials="c">
    <w:p w14:paraId="574AC4A8" w14:textId="1410FCC8" w:rsidR="00343FA8" w:rsidRDefault="00343FA8">
      <w:pPr>
        <w:pStyle w:val="a5"/>
      </w:pPr>
      <w:r>
        <w:rPr>
          <w:rStyle w:val="af6"/>
        </w:rPr>
        <w:annotationRef/>
      </w:r>
      <w:r>
        <w:rPr>
          <w:rFonts w:hint="eastAsia"/>
        </w:rPr>
        <w:t>40</w:t>
      </w:r>
    </w:p>
  </w:comment>
  <w:comment w:id="374" w:author="cheny" w:date="2023-06-27T10:20:00Z" w:initials="c">
    <w:p w14:paraId="6ABE52E1" w14:textId="227E73DB" w:rsidR="00343FA8" w:rsidRDefault="00343FA8">
      <w:pPr>
        <w:pStyle w:val="a5"/>
      </w:pPr>
      <w:r>
        <w:rPr>
          <w:rStyle w:val="af6"/>
        </w:rPr>
        <w:annotationRef/>
      </w:r>
    </w:p>
  </w:comment>
  <w:comment w:id="375" w:author="cheny" w:date="2023-06-27T10:21:00Z" w:initials="c">
    <w:p w14:paraId="20663215" w14:textId="7EB96BBD" w:rsidR="00343FA8" w:rsidRDefault="00343FA8">
      <w:pPr>
        <w:pStyle w:val="a5"/>
      </w:pPr>
      <w:r>
        <w:rPr>
          <w:rStyle w:val="af6"/>
        </w:rPr>
        <w:annotationRef/>
      </w:r>
      <w:proofErr w:type="gramStart"/>
      <w:r>
        <w:rPr>
          <w:rFonts w:hint="eastAsia"/>
        </w:rPr>
        <w:t>删</w:t>
      </w:r>
      <w:proofErr w:type="gramEnd"/>
    </w:p>
  </w:comment>
  <w:comment w:id="376" w:author="cheny" w:date="2023-06-27T10:24:00Z" w:initials="c">
    <w:p w14:paraId="693D1934" w14:textId="67FCBDA0" w:rsidR="00CE6FFC" w:rsidRDefault="00CE6FFC">
      <w:pPr>
        <w:pStyle w:val="a5"/>
      </w:pPr>
      <w:r>
        <w:rPr>
          <w:rStyle w:val="af6"/>
        </w:rPr>
        <w:annotationRef/>
      </w:r>
    </w:p>
  </w:comment>
  <w:comment w:id="410" w:author="cheny" w:date="2023-06-27T10:24:00Z" w:initials="c">
    <w:p w14:paraId="21B40B80" w14:textId="1329E58D" w:rsidR="00812A62" w:rsidRDefault="00812A62">
      <w:pPr>
        <w:pStyle w:val="a5"/>
      </w:pPr>
      <w:r>
        <w:rPr>
          <w:rStyle w:val="af6"/>
        </w:rPr>
        <w:annotationRef/>
      </w:r>
      <w:bookmarkStart w:id="411" w:name="_GoBack"/>
      <w:bookmarkEnd w:id="411"/>
    </w:p>
  </w:comment>
  <w:comment w:id="416" w:author="cheny" w:date="2023-06-27T10:20:00Z" w:initials="c">
    <w:p w14:paraId="682F6489" w14:textId="51C22730" w:rsidR="00343FA8" w:rsidRDefault="00343FA8">
      <w:pPr>
        <w:pStyle w:val="a5"/>
      </w:pPr>
      <w:r>
        <w:rPr>
          <w:rStyle w:val="af6"/>
        </w:rPr>
        <w:annotationRef/>
      </w:r>
      <w:proofErr w:type="gramStart"/>
      <w:r>
        <w:rPr>
          <w:rFonts w:hint="eastAsia"/>
        </w:rPr>
        <w:t>删</w:t>
      </w:r>
      <w:proofErr w:type="gramEnd"/>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66D4DC" w14:textId="77777777" w:rsidR="00A27F87" w:rsidRDefault="00A27F87">
      <w:pPr>
        <w:spacing w:line="240" w:lineRule="auto"/>
      </w:pPr>
      <w:r>
        <w:separator/>
      </w:r>
    </w:p>
  </w:endnote>
  <w:endnote w:type="continuationSeparator" w:id="0">
    <w:p w14:paraId="7D2F35D6" w14:textId="77777777" w:rsidR="00A27F87" w:rsidRDefault="00A27F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Modern">
    <w:altName w:val="Modern No. 20"/>
    <w:charset w:val="00"/>
    <w:family w:val="roman"/>
    <w:pitch w:val="default"/>
    <w:sig w:usb0="00000000" w:usb1="00000000" w:usb2="00000000" w:usb3="00000000" w:csb0="00000001"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default"/>
    <w:sig w:usb0="00000000" w:usb1="00000000" w:usb2="00000010" w:usb3="00000000" w:csb0="00040000" w:csb1="00000000"/>
  </w:font>
  <w:font w:name="华文细黑碙..">
    <w:altName w:val="仿宋"/>
    <w:charset w:val="86"/>
    <w:family w:val="swiss"/>
    <w:pitch w:val="default"/>
    <w:sig w:usb0="00000000" w:usb1="00000000" w:usb2="00000010" w:usb3="00000000" w:csb0="00040000" w:csb1="00000000"/>
  </w:font>
  <w:font w:name="黑体萄">
    <w:altName w:val="方正舒体"/>
    <w:charset w:val="86"/>
    <w:family w:val="swiss"/>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华文细黑">
    <w:panose1 w:val="02010600040101010101"/>
    <w:charset w:val="86"/>
    <w:family w:val="auto"/>
    <w:pitch w:val="variable"/>
    <w:sig w:usb0="00000287" w:usb1="080F0000" w:usb2="00000010" w:usb3="00000000" w:csb0="0004009F" w:csb1="00000000"/>
  </w:font>
  <w:font w:name="方正黑体简体">
    <w:altName w:val="微软雅黑"/>
    <w:charset w:val="86"/>
    <w:family w:val="auto"/>
    <w:pitch w:val="variable"/>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DengXian Light">
    <w:panose1 w:val="00000000000000000000"/>
    <w:charset w:val="00"/>
    <w:family w:val="roman"/>
    <w:notTrueType/>
    <w:pitch w:val="default"/>
  </w:font>
  <w:font w:name="DengXi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04248" w14:textId="77777777" w:rsidR="00BA64ED" w:rsidRDefault="00BA64ED">
    <w:pPr>
      <w:pStyle w:val="ab"/>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269B8246" w14:textId="77777777" w:rsidR="00BA64ED" w:rsidRDefault="00BA64ED">
    <w:pPr>
      <w:pStyle w:val="ab"/>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B967B" w14:textId="77777777" w:rsidR="00BA64ED" w:rsidRDefault="00BA64ED">
    <w:pPr>
      <w:pStyle w:val="ab"/>
      <w:pBdr>
        <w:top w:val="single" w:sz="4" w:space="1" w:color="auto"/>
      </w:pBdr>
      <w:jc w:val="center"/>
      <w:rPr>
        <w:rFonts w:ascii="Arial" w:hAnsi="Arial" w:cs="Arial"/>
      </w:rPr>
    </w:pPr>
    <w:r>
      <w:rPr>
        <w:noProof/>
        <w:lang w:val="en-US"/>
      </w:rPr>
      <mc:AlternateContent>
        <mc:Choice Requires="wps">
          <w:drawing>
            <wp:anchor distT="0" distB="0" distL="114300" distR="114300" simplePos="0" relativeHeight="251659264" behindDoc="0" locked="0" layoutInCell="1" allowOverlap="1" wp14:anchorId="2A1336D6" wp14:editId="3E2B665E">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769FC3" w14:textId="77777777" w:rsidR="00BA64ED" w:rsidRDefault="00BA64ED">
                          <w:pPr>
                            <w:pStyle w:val="ab"/>
                            <w:pBdr>
                              <w:top w:val="single" w:sz="4" w:space="1" w:color="auto"/>
                            </w:pBdr>
                            <w:jc w:val="cente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rPr>
                            <w:t>58</w:t>
                          </w:r>
                          <w:r>
                            <w:rPr>
                              <w:rFonts w:ascii="Arial" w:hAnsi="Arial" w:cs="Arial"/>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7" o:spid="_x0000_s1030"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7rGV0YgIAAAwFAAAOAAAAAAAAAAAAAAAAAC4CAABkcnMvZTJvRG9jLnht&#10;bFBLAQItABQABgAIAAAAIQBxqtG51wAAAAUBAAAPAAAAAAAAAAAAAAAAALwEAABkcnMvZG93bnJl&#10;di54bWxQSwUGAAAAAAQABADzAAAAwAUAAAAA&#10;" filled="f" stroked="f" strokeweight=".5pt">
              <v:textbox style="mso-fit-shape-to-text:t" inset="0,0,0,0">
                <w:txbxContent>
                  <w:p w14:paraId="2D769FC3" w14:textId="77777777" w:rsidR="00BA64ED" w:rsidRDefault="00BA64ED">
                    <w:pPr>
                      <w:pStyle w:val="ab"/>
                      <w:pBdr>
                        <w:top w:val="single" w:sz="4" w:space="1" w:color="auto"/>
                      </w:pBdr>
                      <w:jc w:val="cente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rPr>
                      <w:t>58</w:t>
                    </w:r>
                    <w:r>
                      <w:rPr>
                        <w:rFonts w:ascii="Arial" w:hAnsi="Arial" w:cs="Arial"/>
                      </w:rPr>
                      <w:fldChar w:fldCharType="end"/>
                    </w:r>
                  </w:p>
                </w:txbxContent>
              </v:textbox>
              <w10:wrap anchorx="margin"/>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5FA57" w14:textId="77777777" w:rsidR="00BA64ED" w:rsidRDefault="00BA64ED">
    <w:pPr>
      <w:pStyle w:val="ab"/>
      <w:pBdr>
        <w:top w:val="single" w:sz="4" w:space="1" w:color="auto"/>
      </w:pBdr>
      <w:jc w:val="center"/>
    </w:pPr>
    <w:r>
      <w:rPr>
        <w:noProof/>
        <w:lang w:val="en-US"/>
      </w:rPr>
      <mc:AlternateContent>
        <mc:Choice Requires="wps">
          <w:drawing>
            <wp:anchor distT="0" distB="0" distL="114300" distR="114300" simplePos="0" relativeHeight="251660288" behindDoc="0" locked="0" layoutInCell="1" allowOverlap="1" wp14:anchorId="64371435" wp14:editId="300F2CEA">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AEB184" w14:textId="77777777" w:rsidR="00BA64ED" w:rsidRDefault="00BA64ED">
                          <w:pPr>
                            <w:pStyle w:val="ab"/>
                          </w:pPr>
                          <w:r>
                            <w:fldChar w:fldCharType="begin"/>
                          </w:r>
                          <w:r>
                            <w:instrText xml:space="preserve"> PAGE  \* MERGEFORMAT </w:instrText>
                          </w:r>
                          <w:r>
                            <w:fldChar w:fldCharType="separate"/>
                          </w:r>
                          <w:r>
                            <w:rPr>
                              <w:noProof/>
                            </w:rPr>
                            <w:t>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8" o:spid="_x0000_s1031"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4ny9gWMCAAATBQAADgAAAAAAAAAAAAAAAAAuAgAAZHJzL2Uyb0RvYy54&#10;bWxQSwECLQAUAAYACAAAACEAcarRudcAAAAFAQAADwAAAAAAAAAAAAAAAAC9BAAAZHJzL2Rvd25y&#10;ZXYueG1sUEsFBgAAAAAEAAQA8wAAAMEFAAAAAA==&#10;" filled="f" stroked="f" strokeweight=".5pt">
              <v:textbox style="mso-fit-shape-to-text:t" inset="0,0,0,0">
                <w:txbxContent>
                  <w:p w14:paraId="65AEB184" w14:textId="77777777" w:rsidR="00BA64ED" w:rsidRDefault="00BA64ED">
                    <w:pPr>
                      <w:pStyle w:val="ab"/>
                    </w:pPr>
                    <w:r>
                      <w:fldChar w:fldCharType="begin"/>
                    </w:r>
                    <w:r>
                      <w:instrText xml:space="preserve"> PAGE  \* MERGEFORMAT </w:instrText>
                    </w:r>
                    <w:r>
                      <w:fldChar w:fldCharType="separate"/>
                    </w:r>
                    <w:r>
                      <w:rPr>
                        <w:noProof/>
                      </w:rPr>
                      <w:t>54</w:t>
                    </w:r>
                    <w:r>
                      <w:fldChar w:fldCharType="end"/>
                    </w:r>
                  </w:p>
                </w:txbxContent>
              </v:textbox>
              <w10:wrap anchorx="margin"/>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F180D" w14:textId="77777777" w:rsidR="00BA64ED" w:rsidRDefault="00BA64ED">
    <w:pPr>
      <w:pStyle w:val="ab"/>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17388" w14:textId="77777777" w:rsidR="00BA64ED" w:rsidRDefault="00BA64ED">
    <w:pPr>
      <w:pStyle w:val="ab"/>
      <w:pBdr>
        <w:top w:val="single" w:sz="4" w:space="1" w:color="auto"/>
      </w:pBd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2D3A2" w14:textId="77777777" w:rsidR="00BA64ED" w:rsidRDefault="00BA64ED">
    <w:pPr>
      <w:pStyle w:val="ab"/>
      <w:pBdr>
        <w:top w:val="single" w:sz="4" w:space="1" w:color="auto"/>
      </w:pBdr>
      <w:jc w:val="center"/>
    </w:pPr>
    <w:r>
      <w:fldChar w:fldCharType="begin"/>
    </w:r>
    <w:r>
      <w:instrText>PAGE   \* MERGEFORMAT</w:instrText>
    </w:r>
    <w:r>
      <w:fldChar w:fldCharType="separate"/>
    </w:r>
    <w:r w:rsidR="00812A62">
      <w:rPr>
        <w:noProof/>
      </w:rPr>
      <w:t>117</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35B6A" w14:textId="77777777" w:rsidR="00BA64ED" w:rsidRDefault="00BA64ED">
    <w:pPr>
      <w:pStyle w:val="ab"/>
      <w:pBdr>
        <w:top w:val="single" w:sz="4" w:space="1" w:color="auto"/>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812A62">
      <w:rPr>
        <w:rFonts w:ascii="Arial" w:hAnsi="Arial" w:cs="Arial"/>
        <w:noProof/>
      </w:rPr>
      <w:t>122</w:t>
    </w:r>
    <w:r>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4D18C" w14:textId="77777777" w:rsidR="00BA64ED" w:rsidRDefault="00BA64ED">
    <w:pPr>
      <w:pStyle w:val="ab"/>
      <w:framePr w:wrap="around" w:vAnchor="text" w:hAnchor="margin" w:xAlign="center" w:y="1"/>
      <w:rPr>
        <w:rStyle w:val="af3"/>
        <w:sz w:val="21"/>
      </w:rPr>
    </w:pPr>
  </w:p>
  <w:p w14:paraId="13879E8F" w14:textId="77777777" w:rsidR="00BA64ED" w:rsidRDefault="00BA64ED">
    <w:pPr>
      <w:pStyle w:val="ab"/>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DE6C6" w14:textId="77777777" w:rsidR="00BA64ED" w:rsidRDefault="00BA64ED">
    <w:pPr>
      <w:pStyle w:val="ab"/>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49ED2" w14:textId="77777777" w:rsidR="00BA64ED" w:rsidRDefault="00BA64ED">
    <w:pPr>
      <w:pStyle w:val="ab"/>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14AD961D" w14:textId="77777777" w:rsidR="00BA64ED" w:rsidRDefault="00BA64ED">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9B16C" w14:textId="77777777" w:rsidR="00BA64ED" w:rsidRDefault="00BA64ED">
    <w:pPr>
      <w:pStyle w:val="ab"/>
      <w:pBdr>
        <w:top w:val="single" w:sz="4" w:space="1" w:color="auto"/>
      </w:pBdr>
      <w:jc w:val="center"/>
      <w:rPr>
        <w:rStyle w:val="af3"/>
      </w:rPr>
    </w:pPr>
    <w:r>
      <w:rPr>
        <w:rStyle w:val="af3"/>
      </w:rPr>
      <w:fldChar w:fldCharType="begin"/>
    </w:r>
    <w:r>
      <w:rPr>
        <w:rStyle w:val="af3"/>
      </w:rPr>
      <w:instrText>PAGE   \* MERGEFORMAT</w:instrText>
    </w:r>
    <w:r>
      <w:rPr>
        <w:rStyle w:val="af3"/>
      </w:rPr>
      <w:fldChar w:fldCharType="separate"/>
    </w:r>
    <w:r>
      <w:rPr>
        <w:rStyle w:val="af3"/>
        <w:noProof/>
      </w:rPr>
      <w:t>8</w:t>
    </w:r>
    <w:r>
      <w:rPr>
        <w:rStyle w:val="af3"/>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FED38" w14:textId="77777777" w:rsidR="00BA64ED" w:rsidRDefault="00BA64ED">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D312A" w14:textId="77777777" w:rsidR="00BA64ED" w:rsidRDefault="00BA64ED">
    <w:pPr>
      <w:pStyle w:val="ab"/>
      <w:pBdr>
        <w:top w:val="single" w:sz="4" w:space="1" w:color="auto"/>
      </w:pBdr>
      <w:jc w:val="center"/>
    </w:pPr>
    <w:r>
      <w:fldChar w:fldCharType="begin"/>
    </w:r>
    <w:r>
      <w:instrText>PAGE   \* MERGEFORMAT</w:instrText>
    </w:r>
    <w:r>
      <w:fldChar w:fldCharType="separate"/>
    </w:r>
    <w:r>
      <w:rPr>
        <w:noProof/>
      </w:rPr>
      <w:t>10</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52522" w14:textId="77777777" w:rsidR="00BA64ED" w:rsidRDefault="00BA64ED">
    <w:pPr>
      <w:pStyle w:val="ab"/>
      <w:framePr w:w="13887" w:wrap="around" w:vAnchor="text" w:hAnchor="page" w:x="1560" w:y="341"/>
      <w:jc w:val="center"/>
      <w:rPr>
        <w:rStyle w:val="af3"/>
        <w:sz w:val="21"/>
      </w:rPr>
    </w:pPr>
    <w:r>
      <w:rPr>
        <w:rStyle w:val="af3"/>
        <w:sz w:val="21"/>
        <w:szCs w:val="21"/>
      </w:rPr>
      <w:t xml:space="preserve">- </w:t>
    </w:r>
    <w:r>
      <w:rPr>
        <w:rStyle w:val="af3"/>
        <w:sz w:val="21"/>
        <w:szCs w:val="21"/>
      </w:rPr>
      <w:fldChar w:fldCharType="begin"/>
    </w:r>
    <w:r>
      <w:rPr>
        <w:rStyle w:val="af3"/>
        <w:sz w:val="21"/>
        <w:szCs w:val="21"/>
      </w:rPr>
      <w:instrText xml:space="preserve"> PAGE </w:instrText>
    </w:r>
    <w:r>
      <w:rPr>
        <w:rStyle w:val="af3"/>
        <w:sz w:val="21"/>
        <w:szCs w:val="21"/>
      </w:rPr>
      <w:fldChar w:fldCharType="separate"/>
    </w:r>
    <w:r>
      <w:rPr>
        <w:rStyle w:val="af3"/>
        <w:sz w:val="21"/>
        <w:szCs w:val="21"/>
      </w:rPr>
      <w:t>8</w:t>
    </w:r>
    <w:r>
      <w:rPr>
        <w:rStyle w:val="af3"/>
        <w:sz w:val="21"/>
        <w:szCs w:val="21"/>
      </w:rPr>
      <w:fldChar w:fldCharType="end"/>
    </w:r>
    <w:r>
      <w:rPr>
        <w:rStyle w:val="af3"/>
        <w:sz w:val="21"/>
        <w:szCs w:val="21"/>
      </w:rPr>
      <w:t xml:space="preserve"> -</w:t>
    </w:r>
  </w:p>
  <w:p w14:paraId="7BBE5733" w14:textId="77777777" w:rsidR="00BA64ED" w:rsidRDefault="00BA64ED">
    <w:pPr>
      <w:pStyle w:val="ab"/>
      <w:pBdr>
        <w:top w:val="single" w:sz="8" w:space="15"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1EA74" w14:textId="77777777" w:rsidR="00BA64ED" w:rsidRDefault="00BA64ED">
    <w:pPr>
      <w:pStyle w:val="ab"/>
      <w:pBdr>
        <w:top w:val="single" w:sz="4" w:space="1" w:color="auto"/>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noProof/>
      </w:rPr>
      <w:t>53</w:t>
    </w:r>
    <w:r>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88FC39" w14:textId="77777777" w:rsidR="00A27F87" w:rsidRDefault="00A27F87">
      <w:pPr>
        <w:spacing w:line="240" w:lineRule="auto"/>
      </w:pPr>
      <w:r>
        <w:separator/>
      </w:r>
    </w:p>
  </w:footnote>
  <w:footnote w:type="continuationSeparator" w:id="0">
    <w:p w14:paraId="047B23F7" w14:textId="77777777" w:rsidR="00A27F87" w:rsidRDefault="00A27F8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C9006" w14:textId="77777777" w:rsidR="00BA64ED" w:rsidRDefault="00BA64ED">
    <w:pPr>
      <w:pStyle w:val="ac"/>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A8F94" w14:textId="77777777" w:rsidR="00BA64ED" w:rsidRDefault="00BA64ED">
    <w:pPr>
      <w:pStyle w:val="ac"/>
      <w:pBdr>
        <w:bottom w:val="none" w:sz="0" w:space="0" w:color="auto"/>
      </w:pBdr>
      <w:jc w:val="both"/>
    </w:pPr>
    <w:r>
      <w:rPr>
        <w:noProof/>
        <w:lang w:val="en-US"/>
      </w:rPr>
      <w:drawing>
        <wp:inline distT="0" distB="0" distL="0" distR="0" wp14:anchorId="10CA0CCA" wp14:editId="3259620C">
          <wp:extent cx="5497195" cy="276225"/>
          <wp:effectExtent l="0" t="0" r="0" b="3175"/>
          <wp:docPr id="58" name="图片 0" descr="评估报告内页页眉.jpg"/>
          <wp:cNvGraphicFramePr/>
          <a:graphic xmlns:a="http://schemas.openxmlformats.org/drawingml/2006/main">
            <a:graphicData uri="http://schemas.openxmlformats.org/drawingml/2006/picture">
              <pic:pic xmlns:pic="http://schemas.openxmlformats.org/drawingml/2006/picture">
                <pic:nvPicPr>
                  <pic:cNvPr id="58"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497195" cy="276225"/>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06464" w14:textId="77777777" w:rsidR="00BA64ED" w:rsidRDefault="00BA64ED">
    <w:pPr>
      <w:pStyle w:val="ac"/>
      <w:pBdr>
        <w:bottom w:val="none" w:sz="0" w:space="0" w:color="auto"/>
      </w:pBdr>
      <w:jc w:val="both"/>
    </w:pPr>
    <w:r>
      <w:rPr>
        <w:noProof/>
        <w:lang w:val="en-US"/>
      </w:rPr>
      <w:drawing>
        <wp:inline distT="0" distB="0" distL="0" distR="0" wp14:anchorId="2202E796" wp14:editId="647B2B40">
          <wp:extent cx="5901055" cy="287020"/>
          <wp:effectExtent l="0" t="0" r="0" b="0"/>
          <wp:docPr id="59" name="图片 0" descr="评估报告内页页眉.jpg"/>
          <wp:cNvGraphicFramePr/>
          <a:graphic xmlns:a="http://schemas.openxmlformats.org/drawingml/2006/main">
            <a:graphicData uri="http://schemas.openxmlformats.org/drawingml/2006/picture">
              <pic:pic xmlns:pic="http://schemas.openxmlformats.org/drawingml/2006/picture">
                <pic:nvPicPr>
                  <pic:cNvPr id="59"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1055" cy="287020"/>
                  </a:xfrm>
                  <a:prstGeom prst="rect">
                    <a:avLst/>
                  </a:prstGeom>
                  <a:noFill/>
                  <a:ln>
                    <a:noFill/>
                  </a:ln>
                </pic:spPr>
              </pic:pic>
            </a:graphicData>
          </a:graphic>
        </wp:inline>
      </w:drawing>
    </w:r>
  </w:p>
  <w:p w14:paraId="43780FA5" w14:textId="77777777" w:rsidR="00BA64ED" w:rsidRDefault="00BA64ED">
    <w:pPr>
      <w:pStyle w:val="ac"/>
      <w:pBdr>
        <w:bottom w:val="none" w:sz="0" w:space="0" w:color="auto"/>
      </w:pBdr>
      <w:jc w:val="both"/>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3AFF8" w14:textId="77777777" w:rsidR="00BA64ED" w:rsidRDefault="00BA64ED">
    <w:pPr>
      <w:pStyle w:val="ac"/>
      <w:pBdr>
        <w:bottom w:val="none" w:sz="0" w:space="0" w:color="auto"/>
      </w:pBdr>
      <w:jc w:val="both"/>
    </w:pPr>
    <w:r>
      <w:rPr>
        <w:noProof/>
        <w:lang w:val="en-US"/>
      </w:rPr>
      <w:drawing>
        <wp:inline distT="0" distB="0" distL="0" distR="0" wp14:anchorId="513AE9EB" wp14:editId="5C2CBF33">
          <wp:extent cx="5901055" cy="287020"/>
          <wp:effectExtent l="0" t="0" r="0" b="0"/>
          <wp:docPr id="60" name="图片 0" descr="评估报告内页页眉.jpg"/>
          <wp:cNvGraphicFramePr/>
          <a:graphic xmlns:a="http://schemas.openxmlformats.org/drawingml/2006/main">
            <a:graphicData uri="http://schemas.openxmlformats.org/drawingml/2006/picture">
              <pic:pic xmlns:pic="http://schemas.openxmlformats.org/drawingml/2006/picture">
                <pic:nvPicPr>
                  <pic:cNvPr id="6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1055" cy="287020"/>
                  </a:xfrm>
                  <a:prstGeom prst="rect">
                    <a:avLst/>
                  </a:prstGeom>
                  <a:noFill/>
                  <a:ln>
                    <a:noFill/>
                  </a:ln>
                </pic:spPr>
              </pic:pic>
            </a:graphicData>
          </a:graphic>
        </wp:inline>
      </w:drawing>
    </w:r>
  </w:p>
  <w:p w14:paraId="2B42A086" w14:textId="77777777" w:rsidR="00BA64ED" w:rsidRDefault="00BA64ED">
    <w:pPr>
      <w:pStyle w:val="ac"/>
      <w:pBdr>
        <w:bottom w:val="none" w:sz="0" w:space="0" w:color="auto"/>
      </w:pBdr>
      <w:jc w:val="both"/>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033BD" w14:textId="77777777" w:rsidR="00BA64ED" w:rsidRDefault="00BA64ED">
    <w:pPr>
      <w:pStyle w:val="ac"/>
      <w:pBdr>
        <w:bottom w:val="none" w:sz="0" w:space="0" w:color="auto"/>
      </w:pBdr>
      <w:rPr>
        <w:rFonts w:ascii="楷体_GB2312" w:eastAsia="楷体_GB2312"/>
        <w:spacing w:val="-20"/>
        <w:sz w:val="24"/>
      </w:rPr>
    </w:pPr>
    <w:r>
      <w:rPr>
        <w:noProof/>
        <w:lang w:val="en-US"/>
      </w:rPr>
      <w:drawing>
        <wp:inline distT="0" distB="0" distL="0" distR="0" wp14:anchorId="744FB284" wp14:editId="308056BC">
          <wp:extent cx="5901055" cy="287020"/>
          <wp:effectExtent l="0" t="0" r="0" b="0"/>
          <wp:docPr id="6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6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1055" cy="28702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54265" w14:textId="77777777" w:rsidR="00BA64ED" w:rsidRDefault="00BA64ED">
    <w:pPr>
      <w:pStyle w:val="ac"/>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9CAB2" w14:textId="77777777" w:rsidR="00BA64ED" w:rsidRDefault="00BA64ED">
    <w:pPr>
      <w:pStyle w:val="ac"/>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15A4A" w14:textId="77777777" w:rsidR="00BA64ED" w:rsidRDefault="00BA64ED">
    <w:pPr>
      <w:pStyle w:val="ac"/>
      <w:pBdr>
        <w:bottom w:val="none" w:sz="0" w:space="0" w:color="auto"/>
      </w:pBdr>
      <w:jc w:val="both"/>
    </w:pPr>
    <w:r>
      <w:rPr>
        <w:noProof/>
        <w:lang w:val="en-US"/>
      </w:rPr>
      <w:drawing>
        <wp:inline distT="0" distB="0" distL="0" distR="0" wp14:anchorId="36A0D0B9" wp14:editId="52741EB3">
          <wp:extent cx="5752465" cy="276225"/>
          <wp:effectExtent l="0" t="0" r="0" b="3175"/>
          <wp:docPr id="51" name="图片 0"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0" descr="评估报告内页页眉.jpg"/>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52465" cy="27622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EF71D" w14:textId="77777777" w:rsidR="00BA64ED" w:rsidRDefault="00BA64ED">
    <w:pPr>
      <w:pStyle w:val="ac"/>
      <w:pBdr>
        <w:bottom w:val="none" w:sz="0" w:space="0" w:color="auto"/>
      </w:pBdr>
    </w:pPr>
    <w:r>
      <w:rPr>
        <w:noProof/>
        <w:lang w:val="en-US"/>
      </w:rPr>
      <w:drawing>
        <wp:inline distT="0" distB="0" distL="0" distR="0" wp14:anchorId="4BCA9C88" wp14:editId="36E3EFA3">
          <wp:extent cx="5752465" cy="276225"/>
          <wp:effectExtent l="0" t="0" r="0" b="3175"/>
          <wp:docPr id="52" name="图片 0"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0" descr="评估报告内页页眉.jpg"/>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52465" cy="27622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98D7D" w14:textId="77777777" w:rsidR="00BA64ED" w:rsidRDefault="00BA64ED">
    <w:pPr>
      <w:pStyle w:val="ac"/>
      <w:pBdr>
        <w:bottom w:val="none" w:sz="0" w:space="0" w:color="auto"/>
      </w:pBdr>
      <w:jc w:val="both"/>
      <w:rPr>
        <w:rFonts w:ascii="Arial" w:eastAsia="华文行楷" w:hAnsi="Arial"/>
      </w:rPr>
    </w:pPr>
    <w:r>
      <w:rPr>
        <w:rFonts w:ascii="楷体_GB2312" w:eastAsia="楷体_GB2312" w:hint="eastAsia"/>
        <w:noProof/>
        <w:spacing w:val="-20"/>
        <w:sz w:val="24"/>
        <w:lang w:val="en-US"/>
      </w:rPr>
      <w:drawing>
        <wp:inline distT="0" distB="0" distL="0" distR="0" wp14:anchorId="0ACAF627" wp14:editId="2751E7D9">
          <wp:extent cx="8867775" cy="393700"/>
          <wp:effectExtent l="0" t="0" r="0" b="12700"/>
          <wp:docPr id="53" name="图片 53" descr="评估报告内页页眉-马甸-横版"/>
          <wp:cNvGraphicFramePr/>
          <a:graphic xmlns:a="http://schemas.openxmlformats.org/drawingml/2006/main">
            <a:graphicData uri="http://schemas.openxmlformats.org/drawingml/2006/picture">
              <pic:pic xmlns:pic="http://schemas.openxmlformats.org/drawingml/2006/picture">
                <pic:nvPicPr>
                  <pic:cNvPr id="53" name="图片 53" descr="评估报告内页页眉-马甸-横版"/>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867775" cy="39370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86CFE" w14:textId="77777777" w:rsidR="00BA64ED" w:rsidRDefault="00BA64ED">
    <w:pPr>
      <w:jc w:val="center"/>
    </w:pPr>
    <w:r>
      <w:rPr>
        <w:noProof/>
      </w:rPr>
      <w:drawing>
        <wp:inline distT="0" distB="0" distL="0" distR="0" wp14:anchorId="0C3833B8" wp14:editId="6324E30C">
          <wp:extent cx="5752465" cy="276225"/>
          <wp:effectExtent l="0" t="0" r="0" b="3175"/>
          <wp:docPr id="54" name="图片 0"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0" descr="评估报告内页页眉.jpg"/>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52465" cy="27622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23972" w14:textId="77777777" w:rsidR="00BA64ED" w:rsidRDefault="00BA64ED">
    <w:pPr>
      <w:pStyle w:val="ac"/>
      <w:pBdr>
        <w:bottom w:val="none" w:sz="0" w:space="0" w:color="auto"/>
      </w:pBdr>
      <w:rPr>
        <w:rFonts w:ascii="楷体_GB2312" w:eastAsia="楷体_GB2312"/>
        <w:spacing w:val="-20"/>
        <w:sz w:val="24"/>
      </w:rPr>
    </w:pPr>
    <w:r>
      <w:rPr>
        <w:noProof/>
        <w:lang w:val="en-US"/>
      </w:rPr>
      <w:drawing>
        <wp:inline distT="0" distB="0" distL="0" distR="0" wp14:anchorId="19272EF6" wp14:editId="0F41408D">
          <wp:extent cx="5901055" cy="287020"/>
          <wp:effectExtent l="0" t="0" r="0" b="0"/>
          <wp:docPr id="55" name="图片 0"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1055" cy="28702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7AF1A" w14:textId="77777777" w:rsidR="00BA64ED" w:rsidRDefault="00BA64ED">
    <w:pPr>
      <w:pStyle w:val="ac"/>
      <w:pBdr>
        <w:bottom w:val="none" w:sz="0" w:space="0" w:color="auto"/>
      </w:pBdr>
    </w:pPr>
    <w:r>
      <w:rPr>
        <w:noProof/>
        <w:lang w:val="en-US"/>
      </w:rPr>
      <w:drawing>
        <wp:inline distT="0" distB="0" distL="0" distR="0" wp14:anchorId="55562901" wp14:editId="656FE5A6">
          <wp:extent cx="5752465" cy="276225"/>
          <wp:effectExtent l="0" t="0" r="0" b="3175"/>
          <wp:docPr id="57" name="图片 0"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0" descr="评估报告内页页眉.jpg"/>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52465" cy="2762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54A2F"/>
    <w:multiLevelType w:val="multilevel"/>
    <w:tmpl w:val="08054A2F"/>
    <w:lvl w:ilvl="0">
      <w:start w:val="1"/>
      <w:numFmt w:val="decimal"/>
      <w:lvlText w:val="%1."/>
      <w:lvlJc w:val="left"/>
      <w:pPr>
        <w:ind w:left="1540" w:hanging="420"/>
      </w:pPr>
      <w:rPr>
        <w:rFonts w:hint="eastAsia"/>
      </w:rPr>
    </w:lvl>
    <w:lvl w:ilvl="1">
      <w:start w:val="1"/>
      <w:numFmt w:val="decimal"/>
      <w:lvlText w:val="%2."/>
      <w:lvlJc w:val="left"/>
      <w:pPr>
        <w:ind w:left="0" w:firstLine="980"/>
      </w:pPr>
      <w:rPr>
        <w:rFonts w:hint="eastAsia"/>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
    <w:nsid w:val="298A5976"/>
    <w:multiLevelType w:val="multilevel"/>
    <w:tmpl w:val="5D6E18AA"/>
    <w:lvl w:ilvl="0">
      <w:start w:val="1"/>
      <w:numFmt w:val="decimal"/>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2D832380"/>
    <w:multiLevelType w:val="multilevel"/>
    <w:tmpl w:val="2D832380"/>
    <w:lvl w:ilvl="0">
      <w:start w:val="1"/>
      <w:numFmt w:val="decimal"/>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381A0F3A"/>
    <w:multiLevelType w:val="multilevel"/>
    <w:tmpl w:val="381A0F3A"/>
    <w:lvl w:ilvl="0">
      <w:start w:val="1"/>
      <w:numFmt w:val="decimal"/>
      <w:lvlText w:val="%1、"/>
      <w:lvlJc w:val="left"/>
      <w:pPr>
        <w:ind w:left="1185" w:hanging="720"/>
      </w:pPr>
      <w:rPr>
        <w:rFonts w:hint="default"/>
      </w:rPr>
    </w:lvl>
    <w:lvl w:ilvl="1">
      <w:start w:val="1"/>
      <w:numFmt w:val="lowerLetter"/>
      <w:lvlText w:val="%2)"/>
      <w:lvlJc w:val="left"/>
      <w:pPr>
        <w:ind w:left="1305" w:hanging="420"/>
      </w:pPr>
    </w:lvl>
    <w:lvl w:ilvl="2">
      <w:start w:val="1"/>
      <w:numFmt w:val="lowerRoman"/>
      <w:lvlText w:val="%3."/>
      <w:lvlJc w:val="right"/>
      <w:pPr>
        <w:ind w:left="1725" w:hanging="420"/>
      </w:pPr>
    </w:lvl>
    <w:lvl w:ilvl="3">
      <w:start w:val="1"/>
      <w:numFmt w:val="decimal"/>
      <w:lvlText w:val="%4."/>
      <w:lvlJc w:val="left"/>
      <w:pPr>
        <w:ind w:left="2145" w:hanging="420"/>
      </w:pPr>
    </w:lvl>
    <w:lvl w:ilvl="4">
      <w:start w:val="1"/>
      <w:numFmt w:val="lowerLetter"/>
      <w:lvlText w:val="%5)"/>
      <w:lvlJc w:val="left"/>
      <w:pPr>
        <w:ind w:left="2565" w:hanging="420"/>
      </w:pPr>
    </w:lvl>
    <w:lvl w:ilvl="5">
      <w:start w:val="1"/>
      <w:numFmt w:val="lowerRoman"/>
      <w:lvlText w:val="%6."/>
      <w:lvlJc w:val="right"/>
      <w:pPr>
        <w:ind w:left="2985" w:hanging="420"/>
      </w:pPr>
    </w:lvl>
    <w:lvl w:ilvl="6">
      <w:start w:val="1"/>
      <w:numFmt w:val="decimal"/>
      <w:lvlText w:val="%7."/>
      <w:lvlJc w:val="left"/>
      <w:pPr>
        <w:ind w:left="3405" w:hanging="420"/>
      </w:pPr>
    </w:lvl>
    <w:lvl w:ilvl="7">
      <w:start w:val="1"/>
      <w:numFmt w:val="lowerLetter"/>
      <w:lvlText w:val="%8)"/>
      <w:lvlJc w:val="left"/>
      <w:pPr>
        <w:ind w:left="3825" w:hanging="420"/>
      </w:pPr>
    </w:lvl>
    <w:lvl w:ilvl="8">
      <w:start w:val="1"/>
      <w:numFmt w:val="lowerRoman"/>
      <w:lvlText w:val="%9."/>
      <w:lvlJc w:val="right"/>
      <w:pPr>
        <w:ind w:left="4245" w:hanging="420"/>
      </w:pPr>
    </w:lvl>
  </w:abstractNum>
  <w:abstractNum w:abstractNumId="5">
    <w:nsid w:val="3F305BA7"/>
    <w:multiLevelType w:val="multilevel"/>
    <w:tmpl w:val="08054A2F"/>
    <w:lvl w:ilvl="0">
      <w:start w:val="1"/>
      <w:numFmt w:val="decimal"/>
      <w:lvlText w:val="%1."/>
      <w:lvlJc w:val="left"/>
      <w:pPr>
        <w:ind w:left="1540" w:hanging="420"/>
      </w:pPr>
      <w:rPr>
        <w:rFonts w:hint="eastAsia"/>
      </w:rPr>
    </w:lvl>
    <w:lvl w:ilvl="1">
      <w:start w:val="1"/>
      <w:numFmt w:val="decimal"/>
      <w:lvlText w:val="%2."/>
      <w:lvlJc w:val="left"/>
      <w:pPr>
        <w:ind w:left="0" w:firstLine="980"/>
      </w:pPr>
      <w:rPr>
        <w:rFonts w:hint="eastAsia"/>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54B154BE"/>
    <w:multiLevelType w:val="multilevel"/>
    <w:tmpl w:val="54B154BE"/>
    <w:lvl w:ilvl="0">
      <w:start w:val="1"/>
      <w:numFmt w:val="decimal"/>
      <w:lvlText w:val="%1、"/>
      <w:lvlJc w:val="left"/>
      <w:pPr>
        <w:ind w:left="1185" w:hanging="720"/>
      </w:pPr>
      <w:rPr>
        <w:rFonts w:hint="default"/>
      </w:rPr>
    </w:lvl>
    <w:lvl w:ilvl="1">
      <w:start w:val="1"/>
      <w:numFmt w:val="lowerLetter"/>
      <w:lvlText w:val="%2)"/>
      <w:lvlJc w:val="left"/>
      <w:pPr>
        <w:ind w:left="1305" w:hanging="420"/>
      </w:pPr>
    </w:lvl>
    <w:lvl w:ilvl="2">
      <w:start w:val="1"/>
      <w:numFmt w:val="lowerRoman"/>
      <w:lvlText w:val="%3."/>
      <w:lvlJc w:val="right"/>
      <w:pPr>
        <w:ind w:left="1725" w:hanging="420"/>
      </w:pPr>
    </w:lvl>
    <w:lvl w:ilvl="3">
      <w:start w:val="1"/>
      <w:numFmt w:val="decimal"/>
      <w:lvlText w:val="%4."/>
      <w:lvlJc w:val="left"/>
      <w:pPr>
        <w:ind w:left="2145" w:hanging="420"/>
      </w:pPr>
    </w:lvl>
    <w:lvl w:ilvl="4">
      <w:start w:val="1"/>
      <w:numFmt w:val="lowerLetter"/>
      <w:lvlText w:val="%5)"/>
      <w:lvlJc w:val="left"/>
      <w:pPr>
        <w:ind w:left="2565" w:hanging="420"/>
      </w:pPr>
    </w:lvl>
    <w:lvl w:ilvl="5">
      <w:start w:val="1"/>
      <w:numFmt w:val="lowerRoman"/>
      <w:lvlText w:val="%6."/>
      <w:lvlJc w:val="right"/>
      <w:pPr>
        <w:ind w:left="2985" w:hanging="420"/>
      </w:pPr>
    </w:lvl>
    <w:lvl w:ilvl="6">
      <w:start w:val="1"/>
      <w:numFmt w:val="decimal"/>
      <w:lvlText w:val="%7."/>
      <w:lvlJc w:val="left"/>
      <w:pPr>
        <w:ind w:left="3405" w:hanging="420"/>
      </w:pPr>
    </w:lvl>
    <w:lvl w:ilvl="7">
      <w:start w:val="1"/>
      <w:numFmt w:val="lowerLetter"/>
      <w:lvlText w:val="%8)"/>
      <w:lvlJc w:val="left"/>
      <w:pPr>
        <w:ind w:left="3825" w:hanging="420"/>
      </w:pPr>
    </w:lvl>
    <w:lvl w:ilvl="8">
      <w:start w:val="1"/>
      <w:numFmt w:val="lowerRoman"/>
      <w:lvlText w:val="%9."/>
      <w:lvlJc w:val="right"/>
      <w:pPr>
        <w:ind w:left="4245" w:hanging="420"/>
      </w:pPr>
    </w:lvl>
  </w:abstractNum>
  <w:abstractNum w:abstractNumId="7">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5D6E18AA"/>
    <w:multiLevelType w:val="multilevel"/>
    <w:tmpl w:val="5D6E18AA"/>
    <w:lvl w:ilvl="0">
      <w:start w:val="1"/>
      <w:numFmt w:val="decimal"/>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10">
    <w:nsid w:val="68041C08"/>
    <w:multiLevelType w:val="multilevel"/>
    <w:tmpl w:val="68041C08"/>
    <w:lvl w:ilvl="0">
      <w:start w:val="1"/>
      <w:numFmt w:val="decimal"/>
      <w:lvlText w:val="%1."/>
      <w:lvlJc w:val="left"/>
      <w:pPr>
        <w:ind w:left="9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6D2F769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nsid w:val="6F015446"/>
    <w:multiLevelType w:val="multilevel"/>
    <w:tmpl w:val="6F015446"/>
    <w:lvl w:ilvl="0">
      <w:start w:val="1"/>
      <w:numFmt w:val="decimal"/>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nsid w:val="6F880C65"/>
    <w:multiLevelType w:val="multilevel"/>
    <w:tmpl w:val="68041C08"/>
    <w:lvl w:ilvl="0">
      <w:start w:val="1"/>
      <w:numFmt w:val="decimal"/>
      <w:lvlText w:val="%1."/>
      <w:lvlJc w:val="left"/>
      <w:pPr>
        <w:ind w:left="9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5"/>
  </w:num>
  <w:num w:numId="2">
    <w:abstractNumId w:val="14"/>
  </w:num>
  <w:num w:numId="3">
    <w:abstractNumId w:val="1"/>
  </w:num>
  <w:num w:numId="4">
    <w:abstractNumId w:val="9"/>
  </w:num>
  <w:num w:numId="5">
    <w:abstractNumId w:val="7"/>
  </w:num>
  <w:num w:numId="6">
    <w:abstractNumId w:val="8"/>
  </w:num>
  <w:num w:numId="7">
    <w:abstractNumId w:val="10"/>
  </w:num>
  <w:num w:numId="8">
    <w:abstractNumId w:val="0"/>
  </w:num>
  <w:num w:numId="9">
    <w:abstractNumId w:val="4"/>
  </w:num>
  <w:num w:numId="10">
    <w:abstractNumId w:val="12"/>
  </w:num>
  <w:num w:numId="11">
    <w:abstractNumId w:val="6"/>
  </w:num>
  <w:num w:numId="12">
    <w:abstractNumId w:val="3"/>
  </w:num>
  <w:num w:numId="13">
    <w:abstractNumId w:val="2"/>
  </w:num>
  <w:num w:numId="14">
    <w:abstractNumId w:val="13"/>
  </w:num>
  <w:num w:numId="15">
    <w:abstractNumId w:val="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bordersDoNotSurroundHeader/>
  <w:bordersDoNotSurroundFooter/>
  <w:hideSpellingErrors/>
  <w:hideGrammaticalErrors/>
  <w:proofState w:spelling="clean" w:grammar="clean"/>
  <w:defaultTabStop w:val="4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2ZjVlM2VmNjAwMmNmMzg0MTcxOTI1ODA5M2MyOGEifQ=="/>
  </w:docVars>
  <w:rsids>
    <w:rsidRoot w:val="000001B0"/>
    <w:rsid w:val="000001B0"/>
    <w:rsid w:val="00000385"/>
    <w:rsid w:val="00000B0E"/>
    <w:rsid w:val="00000F3D"/>
    <w:rsid w:val="000014F3"/>
    <w:rsid w:val="0000160F"/>
    <w:rsid w:val="00001705"/>
    <w:rsid w:val="000020FA"/>
    <w:rsid w:val="00002460"/>
    <w:rsid w:val="000029BA"/>
    <w:rsid w:val="00002D13"/>
    <w:rsid w:val="00002EA6"/>
    <w:rsid w:val="00003069"/>
    <w:rsid w:val="0000377F"/>
    <w:rsid w:val="00004316"/>
    <w:rsid w:val="00004A11"/>
    <w:rsid w:val="0000540D"/>
    <w:rsid w:val="0000552E"/>
    <w:rsid w:val="00006FDF"/>
    <w:rsid w:val="000070FE"/>
    <w:rsid w:val="00007BAB"/>
    <w:rsid w:val="00010109"/>
    <w:rsid w:val="00010B65"/>
    <w:rsid w:val="00010EAA"/>
    <w:rsid w:val="00011141"/>
    <w:rsid w:val="0001115C"/>
    <w:rsid w:val="00011558"/>
    <w:rsid w:val="00011835"/>
    <w:rsid w:val="000123F7"/>
    <w:rsid w:val="00012421"/>
    <w:rsid w:val="00013298"/>
    <w:rsid w:val="00013C78"/>
    <w:rsid w:val="00014067"/>
    <w:rsid w:val="0001436A"/>
    <w:rsid w:val="000146DB"/>
    <w:rsid w:val="00014C8C"/>
    <w:rsid w:val="00014DA6"/>
    <w:rsid w:val="00014E20"/>
    <w:rsid w:val="00016DDE"/>
    <w:rsid w:val="000173D9"/>
    <w:rsid w:val="0001759E"/>
    <w:rsid w:val="00017627"/>
    <w:rsid w:val="000201B0"/>
    <w:rsid w:val="00020655"/>
    <w:rsid w:val="000206D2"/>
    <w:rsid w:val="000209C6"/>
    <w:rsid w:val="00020E16"/>
    <w:rsid w:val="00020F24"/>
    <w:rsid w:val="00022A81"/>
    <w:rsid w:val="00022AEF"/>
    <w:rsid w:val="00022C9C"/>
    <w:rsid w:val="00022E09"/>
    <w:rsid w:val="00023655"/>
    <w:rsid w:val="00023994"/>
    <w:rsid w:val="00023A9D"/>
    <w:rsid w:val="000246BB"/>
    <w:rsid w:val="00024A2A"/>
    <w:rsid w:val="00024D48"/>
    <w:rsid w:val="000252F7"/>
    <w:rsid w:val="00025447"/>
    <w:rsid w:val="0002583D"/>
    <w:rsid w:val="00031515"/>
    <w:rsid w:val="00031A2A"/>
    <w:rsid w:val="0003261A"/>
    <w:rsid w:val="0003311A"/>
    <w:rsid w:val="00033433"/>
    <w:rsid w:val="000335C0"/>
    <w:rsid w:val="00035D39"/>
    <w:rsid w:val="0003601C"/>
    <w:rsid w:val="00036421"/>
    <w:rsid w:val="00036A93"/>
    <w:rsid w:val="00036F92"/>
    <w:rsid w:val="000378BE"/>
    <w:rsid w:val="0004037C"/>
    <w:rsid w:val="00040501"/>
    <w:rsid w:val="00041021"/>
    <w:rsid w:val="0004160E"/>
    <w:rsid w:val="00041BED"/>
    <w:rsid w:val="00042272"/>
    <w:rsid w:val="0004246B"/>
    <w:rsid w:val="00044B78"/>
    <w:rsid w:val="00044D14"/>
    <w:rsid w:val="00045097"/>
    <w:rsid w:val="000453CE"/>
    <w:rsid w:val="0004637F"/>
    <w:rsid w:val="00046536"/>
    <w:rsid w:val="00047314"/>
    <w:rsid w:val="00050B46"/>
    <w:rsid w:val="00050DE4"/>
    <w:rsid w:val="000515F1"/>
    <w:rsid w:val="00051792"/>
    <w:rsid w:val="00052093"/>
    <w:rsid w:val="00052E12"/>
    <w:rsid w:val="00052FC0"/>
    <w:rsid w:val="00053869"/>
    <w:rsid w:val="0005412C"/>
    <w:rsid w:val="0005420E"/>
    <w:rsid w:val="0005458B"/>
    <w:rsid w:val="00054E3F"/>
    <w:rsid w:val="0005516C"/>
    <w:rsid w:val="00055233"/>
    <w:rsid w:val="00055277"/>
    <w:rsid w:val="000556C5"/>
    <w:rsid w:val="00055712"/>
    <w:rsid w:val="00055D46"/>
    <w:rsid w:val="000561F2"/>
    <w:rsid w:val="00060139"/>
    <w:rsid w:val="000601EE"/>
    <w:rsid w:val="00061106"/>
    <w:rsid w:val="00061D36"/>
    <w:rsid w:val="00061F17"/>
    <w:rsid w:val="000622DC"/>
    <w:rsid w:val="00062CAF"/>
    <w:rsid w:val="00062FEC"/>
    <w:rsid w:val="000631E3"/>
    <w:rsid w:val="00063483"/>
    <w:rsid w:val="000634D6"/>
    <w:rsid w:val="00064140"/>
    <w:rsid w:val="000652D5"/>
    <w:rsid w:val="000661C2"/>
    <w:rsid w:val="000664A6"/>
    <w:rsid w:val="0006677E"/>
    <w:rsid w:val="00066B9F"/>
    <w:rsid w:val="00066D8D"/>
    <w:rsid w:val="000678BD"/>
    <w:rsid w:val="00067A30"/>
    <w:rsid w:val="00067B58"/>
    <w:rsid w:val="00070276"/>
    <w:rsid w:val="000702FB"/>
    <w:rsid w:val="0007071A"/>
    <w:rsid w:val="0007098B"/>
    <w:rsid w:val="00072B8B"/>
    <w:rsid w:val="00074664"/>
    <w:rsid w:val="00074CD2"/>
    <w:rsid w:val="0007570B"/>
    <w:rsid w:val="00075C27"/>
    <w:rsid w:val="00075DF4"/>
    <w:rsid w:val="00075E74"/>
    <w:rsid w:val="00076922"/>
    <w:rsid w:val="00077757"/>
    <w:rsid w:val="00080BCA"/>
    <w:rsid w:val="00080C3C"/>
    <w:rsid w:val="000823BB"/>
    <w:rsid w:val="00083887"/>
    <w:rsid w:val="000847D5"/>
    <w:rsid w:val="0008487F"/>
    <w:rsid w:val="00084977"/>
    <w:rsid w:val="000849A1"/>
    <w:rsid w:val="00084DA6"/>
    <w:rsid w:val="00085169"/>
    <w:rsid w:val="00085336"/>
    <w:rsid w:val="0008571D"/>
    <w:rsid w:val="00085EDD"/>
    <w:rsid w:val="00086670"/>
    <w:rsid w:val="000874F1"/>
    <w:rsid w:val="00087A1B"/>
    <w:rsid w:val="00090057"/>
    <w:rsid w:val="00090D05"/>
    <w:rsid w:val="00090F6E"/>
    <w:rsid w:val="00090F7F"/>
    <w:rsid w:val="000911A1"/>
    <w:rsid w:val="00091897"/>
    <w:rsid w:val="0009241E"/>
    <w:rsid w:val="000924F6"/>
    <w:rsid w:val="0009253E"/>
    <w:rsid w:val="00094171"/>
    <w:rsid w:val="00094478"/>
    <w:rsid w:val="0009472A"/>
    <w:rsid w:val="000955AC"/>
    <w:rsid w:val="00095710"/>
    <w:rsid w:val="000961E0"/>
    <w:rsid w:val="00097626"/>
    <w:rsid w:val="00097642"/>
    <w:rsid w:val="000A02EB"/>
    <w:rsid w:val="000A174F"/>
    <w:rsid w:val="000A1CB0"/>
    <w:rsid w:val="000A316C"/>
    <w:rsid w:val="000A34DA"/>
    <w:rsid w:val="000A3619"/>
    <w:rsid w:val="000A37F3"/>
    <w:rsid w:val="000A3974"/>
    <w:rsid w:val="000A410B"/>
    <w:rsid w:val="000A5413"/>
    <w:rsid w:val="000A645F"/>
    <w:rsid w:val="000A6C40"/>
    <w:rsid w:val="000A76BD"/>
    <w:rsid w:val="000A7977"/>
    <w:rsid w:val="000A79FF"/>
    <w:rsid w:val="000A7BA3"/>
    <w:rsid w:val="000B0985"/>
    <w:rsid w:val="000B2161"/>
    <w:rsid w:val="000B264E"/>
    <w:rsid w:val="000B32A5"/>
    <w:rsid w:val="000B374C"/>
    <w:rsid w:val="000B3AC4"/>
    <w:rsid w:val="000B494D"/>
    <w:rsid w:val="000B55A0"/>
    <w:rsid w:val="000B5F9D"/>
    <w:rsid w:val="000B66B5"/>
    <w:rsid w:val="000B73DD"/>
    <w:rsid w:val="000B7865"/>
    <w:rsid w:val="000B7EFB"/>
    <w:rsid w:val="000C07B6"/>
    <w:rsid w:val="000C2A8C"/>
    <w:rsid w:val="000C3729"/>
    <w:rsid w:val="000C3808"/>
    <w:rsid w:val="000C3D3D"/>
    <w:rsid w:val="000C461F"/>
    <w:rsid w:val="000C488A"/>
    <w:rsid w:val="000C48BA"/>
    <w:rsid w:val="000C4DE1"/>
    <w:rsid w:val="000C52A6"/>
    <w:rsid w:val="000C6389"/>
    <w:rsid w:val="000C68E8"/>
    <w:rsid w:val="000C6F13"/>
    <w:rsid w:val="000C71EB"/>
    <w:rsid w:val="000C7456"/>
    <w:rsid w:val="000C798D"/>
    <w:rsid w:val="000C7EE5"/>
    <w:rsid w:val="000D00FC"/>
    <w:rsid w:val="000D0141"/>
    <w:rsid w:val="000D04CC"/>
    <w:rsid w:val="000D07F5"/>
    <w:rsid w:val="000D0C1F"/>
    <w:rsid w:val="000D0EB9"/>
    <w:rsid w:val="000D1305"/>
    <w:rsid w:val="000D169E"/>
    <w:rsid w:val="000D2261"/>
    <w:rsid w:val="000D2476"/>
    <w:rsid w:val="000D289F"/>
    <w:rsid w:val="000D2CED"/>
    <w:rsid w:val="000D32B9"/>
    <w:rsid w:val="000D3D4A"/>
    <w:rsid w:val="000D462D"/>
    <w:rsid w:val="000D5028"/>
    <w:rsid w:val="000D5EBB"/>
    <w:rsid w:val="000D6A35"/>
    <w:rsid w:val="000D7FD2"/>
    <w:rsid w:val="000E15A5"/>
    <w:rsid w:val="000E1680"/>
    <w:rsid w:val="000E16D2"/>
    <w:rsid w:val="000E18A3"/>
    <w:rsid w:val="000E1F0D"/>
    <w:rsid w:val="000E30A7"/>
    <w:rsid w:val="000E38E9"/>
    <w:rsid w:val="000E3B78"/>
    <w:rsid w:val="000E3EBB"/>
    <w:rsid w:val="000E4173"/>
    <w:rsid w:val="000E4236"/>
    <w:rsid w:val="000E4DAA"/>
    <w:rsid w:val="000E5165"/>
    <w:rsid w:val="000E5232"/>
    <w:rsid w:val="000E560B"/>
    <w:rsid w:val="000E568C"/>
    <w:rsid w:val="000E5BA0"/>
    <w:rsid w:val="000E67F1"/>
    <w:rsid w:val="000E68A1"/>
    <w:rsid w:val="000E693C"/>
    <w:rsid w:val="000E6A27"/>
    <w:rsid w:val="000E6A71"/>
    <w:rsid w:val="000E705E"/>
    <w:rsid w:val="000E78B4"/>
    <w:rsid w:val="000E7CD8"/>
    <w:rsid w:val="000F027C"/>
    <w:rsid w:val="000F0517"/>
    <w:rsid w:val="000F23FF"/>
    <w:rsid w:val="000F4961"/>
    <w:rsid w:val="000F4A93"/>
    <w:rsid w:val="000F4BC7"/>
    <w:rsid w:val="000F4BD7"/>
    <w:rsid w:val="000F4D50"/>
    <w:rsid w:val="000F4DB2"/>
    <w:rsid w:val="000F4DEE"/>
    <w:rsid w:val="000F52D9"/>
    <w:rsid w:val="000F53BD"/>
    <w:rsid w:val="000F55A4"/>
    <w:rsid w:val="000F5C18"/>
    <w:rsid w:val="000F5E70"/>
    <w:rsid w:val="000F6922"/>
    <w:rsid w:val="000F7526"/>
    <w:rsid w:val="000F75AF"/>
    <w:rsid w:val="000F78F6"/>
    <w:rsid w:val="000F7CE9"/>
    <w:rsid w:val="000F7E39"/>
    <w:rsid w:val="001001D5"/>
    <w:rsid w:val="00100A2C"/>
    <w:rsid w:val="001010B5"/>
    <w:rsid w:val="00101A70"/>
    <w:rsid w:val="001027E5"/>
    <w:rsid w:val="0010295F"/>
    <w:rsid w:val="00102CF4"/>
    <w:rsid w:val="001030E5"/>
    <w:rsid w:val="001035EA"/>
    <w:rsid w:val="00103BB1"/>
    <w:rsid w:val="00103C31"/>
    <w:rsid w:val="00103E0E"/>
    <w:rsid w:val="001052D6"/>
    <w:rsid w:val="00105368"/>
    <w:rsid w:val="001058BF"/>
    <w:rsid w:val="00105CE1"/>
    <w:rsid w:val="0010624D"/>
    <w:rsid w:val="00106393"/>
    <w:rsid w:val="00106671"/>
    <w:rsid w:val="001066AB"/>
    <w:rsid w:val="00106A81"/>
    <w:rsid w:val="001077F0"/>
    <w:rsid w:val="00107A81"/>
    <w:rsid w:val="00107B1B"/>
    <w:rsid w:val="00110BDD"/>
    <w:rsid w:val="00111921"/>
    <w:rsid w:val="001119D8"/>
    <w:rsid w:val="00113B26"/>
    <w:rsid w:val="001142D5"/>
    <w:rsid w:val="00114318"/>
    <w:rsid w:val="00114D8E"/>
    <w:rsid w:val="001159FF"/>
    <w:rsid w:val="00115A3F"/>
    <w:rsid w:val="00120689"/>
    <w:rsid w:val="00120A72"/>
    <w:rsid w:val="00120C20"/>
    <w:rsid w:val="00120EF6"/>
    <w:rsid w:val="00120FB9"/>
    <w:rsid w:val="0012236F"/>
    <w:rsid w:val="001224D0"/>
    <w:rsid w:val="001225D4"/>
    <w:rsid w:val="00122917"/>
    <w:rsid w:val="001231C1"/>
    <w:rsid w:val="001233C9"/>
    <w:rsid w:val="001248ED"/>
    <w:rsid w:val="001252F8"/>
    <w:rsid w:val="00125547"/>
    <w:rsid w:val="0012612F"/>
    <w:rsid w:val="001264F3"/>
    <w:rsid w:val="00126E72"/>
    <w:rsid w:val="00127B62"/>
    <w:rsid w:val="00130705"/>
    <w:rsid w:val="001310CA"/>
    <w:rsid w:val="001316B6"/>
    <w:rsid w:val="00132061"/>
    <w:rsid w:val="00132078"/>
    <w:rsid w:val="001326A2"/>
    <w:rsid w:val="001330DF"/>
    <w:rsid w:val="001334DC"/>
    <w:rsid w:val="00133657"/>
    <w:rsid w:val="001336BA"/>
    <w:rsid w:val="00133D47"/>
    <w:rsid w:val="00133E61"/>
    <w:rsid w:val="00134B7C"/>
    <w:rsid w:val="00134C7C"/>
    <w:rsid w:val="00134D60"/>
    <w:rsid w:val="001352C1"/>
    <w:rsid w:val="00135EF3"/>
    <w:rsid w:val="0013600F"/>
    <w:rsid w:val="001360A3"/>
    <w:rsid w:val="00136729"/>
    <w:rsid w:val="00137CC6"/>
    <w:rsid w:val="00137E12"/>
    <w:rsid w:val="00140155"/>
    <w:rsid w:val="00140697"/>
    <w:rsid w:val="001407BE"/>
    <w:rsid w:val="00140DF7"/>
    <w:rsid w:val="00141212"/>
    <w:rsid w:val="001412D0"/>
    <w:rsid w:val="001421D2"/>
    <w:rsid w:val="001421FE"/>
    <w:rsid w:val="001427F3"/>
    <w:rsid w:val="00142E1D"/>
    <w:rsid w:val="00143890"/>
    <w:rsid w:val="0014421E"/>
    <w:rsid w:val="001443C8"/>
    <w:rsid w:val="00144CCC"/>
    <w:rsid w:val="001454D3"/>
    <w:rsid w:val="00145624"/>
    <w:rsid w:val="00145CD8"/>
    <w:rsid w:val="00145CF7"/>
    <w:rsid w:val="0014698B"/>
    <w:rsid w:val="00146A69"/>
    <w:rsid w:val="00146C03"/>
    <w:rsid w:val="00146C65"/>
    <w:rsid w:val="001472FB"/>
    <w:rsid w:val="00147E23"/>
    <w:rsid w:val="00150A15"/>
    <w:rsid w:val="00150D85"/>
    <w:rsid w:val="00150DA3"/>
    <w:rsid w:val="00151572"/>
    <w:rsid w:val="00151812"/>
    <w:rsid w:val="00151D94"/>
    <w:rsid w:val="00152BCA"/>
    <w:rsid w:val="00152BE0"/>
    <w:rsid w:val="00152E9C"/>
    <w:rsid w:val="001532E0"/>
    <w:rsid w:val="00153CC7"/>
    <w:rsid w:val="00153F5F"/>
    <w:rsid w:val="001549DD"/>
    <w:rsid w:val="001552B4"/>
    <w:rsid w:val="00155558"/>
    <w:rsid w:val="00156342"/>
    <w:rsid w:val="00156953"/>
    <w:rsid w:val="00156A47"/>
    <w:rsid w:val="00157153"/>
    <w:rsid w:val="00157CE1"/>
    <w:rsid w:val="00157DD9"/>
    <w:rsid w:val="0016047A"/>
    <w:rsid w:val="00160E04"/>
    <w:rsid w:val="00161D4E"/>
    <w:rsid w:val="00161FF8"/>
    <w:rsid w:val="001632D8"/>
    <w:rsid w:val="00163358"/>
    <w:rsid w:val="0016345B"/>
    <w:rsid w:val="0016366E"/>
    <w:rsid w:val="00164354"/>
    <w:rsid w:val="00164DD0"/>
    <w:rsid w:val="0016536F"/>
    <w:rsid w:val="0016546F"/>
    <w:rsid w:val="00165735"/>
    <w:rsid w:val="00165EAB"/>
    <w:rsid w:val="00166117"/>
    <w:rsid w:val="001662FD"/>
    <w:rsid w:val="001665BC"/>
    <w:rsid w:val="001672EE"/>
    <w:rsid w:val="001675CA"/>
    <w:rsid w:val="00167DB5"/>
    <w:rsid w:val="00170095"/>
    <w:rsid w:val="001703A0"/>
    <w:rsid w:val="00170A33"/>
    <w:rsid w:val="00170CBB"/>
    <w:rsid w:val="001710D5"/>
    <w:rsid w:val="00171DE2"/>
    <w:rsid w:val="00171F78"/>
    <w:rsid w:val="00171F94"/>
    <w:rsid w:val="001731EA"/>
    <w:rsid w:val="0017355C"/>
    <w:rsid w:val="001739BC"/>
    <w:rsid w:val="0017469E"/>
    <w:rsid w:val="00174815"/>
    <w:rsid w:val="00174981"/>
    <w:rsid w:val="00174AF5"/>
    <w:rsid w:val="00175460"/>
    <w:rsid w:val="001769D7"/>
    <w:rsid w:val="00177B96"/>
    <w:rsid w:val="00177F3D"/>
    <w:rsid w:val="00177F4C"/>
    <w:rsid w:val="00180C81"/>
    <w:rsid w:val="00180D5D"/>
    <w:rsid w:val="00181861"/>
    <w:rsid w:val="00181C4A"/>
    <w:rsid w:val="00182186"/>
    <w:rsid w:val="00182700"/>
    <w:rsid w:val="00182B70"/>
    <w:rsid w:val="0018333E"/>
    <w:rsid w:val="001835BA"/>
    <w:rsid w:val="001838C3"/>
    <w:rsid w:val="0018515C"/>
    <w:rsid w:val="0018524F"/>
    <w:rsid w:val="001855B8"/>
    <w:rsid w:val="00185C38"/>
    <w:rsid w:val="001860A7"/>
    <w:rsid w:val="001869E6"/>
    <w:rsid w:val="00186BB0"/>
    <w:rsid w:val="0018781B"/>
    <w:rsid w:val="00187AA5"/>
    <w:rsid w:val="00187B9D"/>
    <w:rsid w:val="0019030D"/>
    <w:rsid w:val="00190C4C"/>
    <w:rsid w:val="00190F32"/>
    <w:rsid w:val="001919F3"/>
    <w:rsid w:val="00191A67"/>
    <w:rsid w:val="00192533"/>
    <w:rsid w:val="00192B76"/>
    <w:rsid w:val="00193555"/>
    <w:rsid w:val="001942A4"/>
    <w:rsid w:val="001943BA"/>
    <w:rsid w:val="00194452"/>
    <w:rsid w:val="0019457C"/>
    <w:rsid w:val="00194C16"/>
    <w:rsid w:val="00194C21"/>
    <w:rsid w:val="00194CC6"/>
    <w:rsid w:val="001951E9"/>
    <w:rsid w:val="00195908"/>
    <w:rsid w:val="0019650E"/>
    <w:rsid w:val="00196A9D"/>
    <w:rsid w:val="00196F58"/>
    <w:rsid w:val="00197A5E"/>
    <w:rsid w:val="00197C81"/>
    <w:rsid w:val="001A059E"/>
    <w:rsid w:val="001A0B0D"/>
    <w:rsid w:val="001A10B5"/>
    <w:rsid w:val="001A138A"/>
    <w:rsid w:val="001A2ADE"/>
    <w:rsid w:val="001A35E8"/>
    <w:rsid w:val="001A4CB5"/>
    <w:rsid w:val="001A6D5A"/>
    <w:rsid w:val="001A7889"/>
    <w:rsid w:val="001B010C"/>
    <w:rsid w:val="001B0307"/>
    <w:rsid w:val="001B0B57"/>
    <w:rsid w:val="001B0DCD"/>
    <w:rsid w:val="001B19F9"/>
    <w:rsid w:val="001B2396"/>
    <w:rsid w:val="001B24AC"/>
    <w:rsid w:val="001B25EC"/>
    <w:rsid w:val="001B32E6"/>
    <w:rsid w:val="001B363D"/>
    <w:rsid w:val="001B3D44"/>
    <w:rsid w:val="001B4136"/>
    <w:rsid w:val="001B4602"/>
    <w:rsid w:val="001B47B8"/>
    <w:rsid w:val="001B53FF"/>
    <w:rsid w:val="001B583A"/>
    <w:rsid w:val="001B6796"/>
    <w:rsid w:val="001B6DFF"/>
    <w:rsid w:val="001B7DD4"/>
    <w:rsid w:val="001C076D"/>
    <w:rsid w:val="001C0D47"/>
    <w:rsid w:val="001C100B"/>
    <w:rsid w:val="001C1329"/>
    <w:rsid w:val="001C1959"/>
    <w:rsid w:val="001C1AC5"/>
    <w:rsid w:val="001C2A88"/>
    <w:rsid w:val="001C3012"/>
    <w:rsid w:val="001C335E"/>
    <w:rsid w:val="001C362D"/>
    <w:rsid w:val="001C39B5"/>
    <w:rsid w:val="001C4940"/>
    <w:rsid w:val="001C4E44"/>
    <w:rsid w:val="001C4F43"/>
    <w:rsid w:val="001C5267"/>
    <w:rsid w:val="001C528B"/>
    <w:rsid w:val="001C5BE0"/>
    <w:rsid w:val="001C6371"/>
    <w:rsid w:val="001C6BA5"/>
    <w:rsid w:val="001C77B0"/>
    <w:rsid w:val="001D0253"/>
    <w:rsid w:val="001D159D"/>
    <w:rsid w:val="001D1F2E"/>
    <w:rsid w:val="001D2376"/>
    <w:rsid w:val="001D3FE8"/>
    <w:rsid w:val="001D41D4"/>
    <w:rsid w:val="001D515B"/>
    <w:rsid w:val="001D5467"/>
    <w:rsid w:val="001D61BE"/>
    <w:rsid w:val="001D6617"/>
    <w:rsid w:val="001D66E5"/>
    <w:rsid w:val="001D727E"/>
    <w:rsid w:val="001E0220"/>
    <w:rsid w:val="001E045E"/>
    <w:rsid w:val="001E0749"/>
    <w:rsid w:val="001E09AD"/>
    <w:rsid w:val="001E1032"/>
    <w:rsid w:val="001E1188"/>
    <w:rsid w:val="001E1887"/>
    <w:rsid w:val="001E2004"/>
    <w:rsid w:val="001E369A"/>
    <w:rsid w:val="001E3B08"/>
    <w:rsid w:val="001E3D8E"/>
    <w:rsid w:val="001E4531"/>
    <w:rsid w:val="001E4E5D"/>
    <w:rsid w:val="001E5843"/>
    <w:rsid w:val="001E5DD9"/>
    <w:rsid w:val="001E65D1"/>
    <w:rsid w:val="001E6C6E"/>
    <w:rsid w:val="001E6F64"/>
    <w:rsid w:val="001E71E1"/>
    <w:rsid w:val="001E7695"/>
    <w:rsid w:val="001F0E0C"/>
    <w:rsid w:val="001F1291"/>
    <w:rsid w:val="001F1676"/>
    <w:rsid w:val="001F1854"/>
    <w:rsid w:val="001F19E5"/>
    <w:rsid w:val="001F1AF4"/>
    <w:rsid w:val="001F1D45"/>
    <w:rsid w:val="001F1F22"/>
    <w:rsid w:val="001F2814"/>
    <w:rsid w:val="001F40BF"/>
    <w:rsid w:val="001F427E"/>
    <w:rsid w:val="001F4FBD"/>
    <w:rsid w:val="001F5298"/>
    <w:rsid w:val="001F5529"/>
    <w:rsid w:val="001F6F74"/>
    <w:rsid w:val="001F713D"/>
    <w:rsid w:val="001F757C"/>
    <w:rsid w:val="001F780D"/>
    <w:rsid w:val="00200A8B"/>
    <w:rsid w:val="00200D45"/>
    <w:rsid w:val="00200D69"/>
    <w:rsid w:val="00200F4E"/>
    <w:rsid w:val="00201E18"/>
    <w:rsid w:val="00202C3A"/>
    <w:rsid w:val="00202EC5"/>
    <w:rsid w:val="002030E3"/>
    <w:rsid w:val="002032D8"/>
    <w:rsid w:val="0020390D"/>
    <w:rsid w:val="002048E0"/>
    <w:rsid w:val="00204944"/>
    <w:rsid w:val="0020512A"/>
    <w:rsid w:val="0020553A"/>
    <w:rsid w:val="00205CDA"/>
    <w:rsid w:val="00205E2A"/>
    <w:rsid w:val="002060F6"/>
    <w:rsid w:val="0020629B"/>
    <w:rsid w:val="002076DA"/>
    <w:rsid w:val="00207AC4"/>
    <w:rsid w:val="0021207E"/>
    <w:rsid w:val="00212432"/>
    <w:rsid w:val="002131D5"/>
    <w:rsid w:val="002148A7"/>
    <w:rsid w:val="0021562A"/>
    <w:rsid w:val="0021589A"/>
    <w:rsid w:val="00215A31"/>
    <w:rsid w:val="00215F4F"/>
    <w:rsid w:val="00216279"/>
    <w:rsid w:val="00216413"/>
    <w:rsid w:val="00216B0F"/>
    <w:rsid w:val="00217068"/>
    <w:rsid w:val="0021724D"/>
    <w:rsid w:val="00220E17"/>
    <w:rsid w:val="00220E88"/>
    <w:rsid w:val="0022151B"/>
    <w:rsid w:val="0022157D"/>
    <w:rsid w:val="00221B39"/>
    <w:rsid w:val="00221E8A"/>
    <w:rsid w:val="00222030"/>
    <w:rsid w:val="00222221"/>
    <w:rsid w:val="0022512A"/>
    <w:rsid w:val="002252F5"/>
    <w:rsid w:val="002254C5"/>
    <w:rsid w:val="00225B95"/>
    <w:rsid w:val="0022721B"/>
    <w:rsid w:val="00227D28"/>
    <w:rsid w:val="00227E8D"/>
    <w:rsid w:val="00230F3E"/>
    <w:rsid w:val="002316DB"/>
    <w:rsid w:val="0023225E"/>
    <w:rsid w:val="00232A30"/>
    <w:rsid w:val="00232BC5"/>
    <w:rsid w:val="00232D19"/>
    <w:rsid w:val="00233168"/>
    <w:rsid w:val="0023355D"/>
    <w:rsid w:val="002336AF"/>
    <w:rsid w:val="00233B6E"/>
    <w:rsid w:val="00234AD8"/>
    <w:rsid w:val="00234CE0"/>
    <w:rsid w:val="00234E28"/>
    <w:rsid w:val="00235642"/>
    <w:rsid w:val="00235676"/>
    <w:rsid w:val="00235889"/>
    <w:rsid w:val="00235ACC"/>
    <w:rsid w:val="00235BD2"/>
    <w:rsid w:val="00236537"/>
    <w:rsid w:val="002373DA"/>
    <w:rsid w:val="0023787C"/>
    <w:rsid w:val="002379DD"/>
    <w:rsid w:val="00237DCE"/>
    <w:rsid w:val="00240329"/>
    <w:rsid w:val="002419BD"/>
    <w:rsid w:val="00241A3D"/>
    <w:rsid w:val="002429C2"/>
    <w:rsid w:val="00242A93"/>
    <w:rsid w:val="00242FD8"/>
    <w:rsid w:val="002448E3"/>
    <w:rsid w:val="00244AC9"/>
    <w:rsid w:val="0024531A"/>
    <w:rsid w:val="00245CB5"/>
    <w:rsid w:val="002469D5"/>
    <w:rsid w:val="00246B21"/>
    <w:rsid w:val="002474D3"/>
    <w:rsid w:val="00250F82"/>
    <w:rsid w:val="00251110"/>
    <w:rsid w:val="0025183F"/>
    <w:rsid w:val="00251CF0"/>
    <w:rsid w:val="002532C4"/>
    <w:rsid w:val="002539B8"/>
    <w:rsid w:val="00253A2B"/>
    <w:rsid w:val="002546C6"/>
    <w:rsid w:val="002559BB"/>
    <w:rsid w:val="0025641F"/>
    <w:rsid w:val="00256420"/>
    <w:rsid w:val="00257C17"/>
    <w:rsid w:val="00257DCE"/>
    <w:rsid w:val="002605F1"/>
    <w:rsid w:val="002609C3"/>
    <w:rsid w:val="00260DBA"/>
    <w:rsid w:val="00261064"/>
    <w:rsid w:val="00261AA1"/>
    <w:rsid w:val="00261C3B"/>
    <w:rsid w:val="00261D6C"/>
    <w:rsid w:val="00262E25"/>
    <w:rsid w:val="00263684"/>
    <w:rsid w:val="0026407E"/>
    <w:rsid w:val="0026430E"/>
    <w:rsid w:val="002647DB"/>
    <w:rsid w:val="002649CE"/>
    <w:rsid w:val="00264B54"/>
    <w:rsid w:val="00264B79"/>
    <w:rsid w:val="00264C28"/>
    <w:rsid w:val="00264EB2"/>
    <w:rsid w:val="00265C9F"/>
    <w:rsid w:val="00265F5D"/>
    <w:rsid w:val="00267F49"/>
    <w:rsid w:val="0027002E"/>
    <w:rsid w:val="002702D4"/>
    <w:rsid w:val="00271275"/>
    <w:rsid w:val="002717C6"/>
    <w:rsid w:val="002718AF"/>
    <w:rsid w:val="00271B49"/>
    <w:rsid w:val="00271F45"/>
    <w:rsid w:val="00272AE5"/>
    <w:rsid w:val="002736D2"/>
    <w:rsid w:val="00273DE0"/>
    <w:rsid w:val="00273FA3"/>
    <w:rsid w:val="00275313"/>
    <w:rsid w:val="00275EAB"/>
    <w:rsid w:val="002763D9"/>
    <w:rsid w:val="00276A1A"/>
    <w:rsid w:val="00276BB2"/>
    <w:rsid w:val="00276F7E"/>
    <w:rsid w:val="0027714F"/>
    <w:rsid w:val="00277188"/>
    <w:rsid w:val="0027775C"/>
    <w:rsid w:val="002777AB"/>
    <w:rsid w:val="002777E4"/>
    <w:rsid w:val="002800F4"/>
    <w:rsid w:val="00280229"/>
    <w:rsid w:val="00280F8F"/>
    <w:rsid w:val="0028121B"/>
    <w:rsid w:val="0028137D"/>
    <w:rsid w:val="00281750"/>
    <w:rsid w:val="00281CB1"/>
    <w:rsid w:val="00282105"/>
    <w:rsid w:val="00282942"/>
    <w:rsid w:val="00282B19"/>
    <w:rsid w:val="0028380A"/>
    <w:rsid w:val="00283A14"/>
    <w:rsid w:val="00283B94"/>
    <w:rsid w:val="00283D4F"/>
    <w:rsid w:val="00283F25"/>
    <w:rsid w:val="00284E77"/>
    <w:rsid w:val="00285479"/>
    <w:rsid w:val="0028590E"/>
    <w:rsid w:val="0028666F"/>
    <w:rsid w:val="00287334"/>
    <w:rsid w:val="002876D1"/>
    <w:rsid w:val="002878DF"/>
    <w:rsid w:val="00287EDA"/>
    <w:rsid w:val="002908E0"/>
    <w:rsid w:val="00290BC0"/>
    <w:rsid w:val="00291E12"/>
    <w:rsid w:val="00292192"/>
    <w:rsid w:val="00293169"/>
    <w:rsid w:val="00293ABA"/>
    <w:rsid w:val="002942E8"/>
    <w:rsid w:val="0029535A"/>
    <w:rsid w:val="002955AE"/>
    <w:rsid w:val="00296CBD"/>
    <w:rsid w:val="002977A8"/>
    <w:rsid w:val="002A0435"/>
    <w:rsid w:val="002A0E6F"/>
    <w:rsid w:val="002A0F54"/>
    <w:rsid w:val="002A13AE"/>
    <w:rsid w:val="002A13D0"/>
    <w:rsid w:val="002A148B"/>
    <w:rsid w:val="002A1AAF"/>
    <w:rsid w:val="002A1F6D"/>
    <w:rsid w:val="002A29BD"/>
    <w:rsid w:val="002A2D5C"/>
    <w:rsid w:val="002A3AB4"/>
    <w:rsid w:val="002A3AE5"/>
    <w:rsid w:val="002A42A5"/>
    <w:rsid w:val="002A44CE"/>
    <w:rsid w:val="002A52B6"/>
    <w:rsid w:val="002A53B5"/>
    <w:rsid w:val="002A5CC8"/>
    <w:rsid w:val="002A6AA9"/>
    <w:rsid w:val="002A71B6"/>
    <w:rsid w:val="002A7288"/>
    <w:rsid w:val="002A749A"/>
    <w:rsid w:val="002B0053"/>
    <w:rsid w:val="002B04E5"/>
    <w:rsid w:val="002B105C"/>
    <w:rsid w:val="002B138E"/>
    <w:rsid w:val="002B1ED0"/>
    <w:rsid w:val="002B3037"/>
    <w:rsid w:val="002B380C"/>
    <w:rsid w:val="002B3FEF"/>
    <w:rsid w:val="002B41E3"/>
    <w:rsid w:val="002B4288"/>
    <w:rsid w:val="002B4691"/>
    <w:rsid w:val="002B4725"/>
    <w:rsid w:val="002B47CF"/>
    <w:rsid w:val="002B51E0"/>
    <w:rsid w:val="002B5A0B"/>
    <w:rsid w:val="002B5CCC"/>
    <w:rsid w:val="002B62BA"/>
    <w:rsid w:val="002B6325"/>
    <w:rsid w:val="002B67C8"/>
    <w:rsid w:val="002B6CFE"/>
    <w:rsid w:val="002B73FC"/>
    <w:rsid w:val="002B7582"/>
    <w:rsid w:val="002C07CC"/>
    <w:rsid w:val="002C1F9C"/>
    <w:rsid w:val="002C2105"/>
    <w:rsid w:val="002C2309"/>
    <w:rsid w:val="002C236A"/>
    <w:rsid w:val="002C3188"/>
    <w:rsid w:val="002C3B1E"/>
    <w:rsid w:val="002C3F6F"/>
    <w:rsid w:val="002C4651"/>
    <w:rsid w:val="002C4D07"/>
    <w:rsid w:val="002C5656"/>
    <w:rsid w:val="002C5D8A"/>
    <w:rsid w:val="002C6C39"/>
    <w:rsid w:val="002D0DA9"/>
    <w:rsid w:val="002D0E5B"/>
    <w:rsid w:val="002D0E82"/>
    <w:rsid w:val="002D0E9B"/>
    <w:rsid w:val="002D0F98"/>
    <w:rsid w:val="002D1955"/>
    <w:rsid w:val="002D19A5"/>
    <w:rsid w:val="002D1DA2"/>
    <w:rsid w:val="002D1E6A"/>
    <w:rsid w:val="002D2502"/>
    <w:rsid w:val="002D27C3"/>
    <w:rsid w:val="002D3B81"/>
    <w:rsid w:val="002D3F93"/>
    <w:rsid w:val="002D5684"/>
    <w:rsid w:val="002D6449"/>
    <w:rsid w:val="002D74A4"/>
    <w:rsid w:val="002D7BDC"/>
    <w:rsid w:val="002D7E69"/>
    <w:rsid w:val="002E0834"/>
    <w:rsid w:val="002E1EA7"/>
    <w:rsid w:val="002E3695"/>
    <w:rsid w:val="002E4847"/>
    <w:rsid w:val="002E54A6"/>
    <w:rsid w:val="002E5745"/>
    <w:rsid w:val="002E69F7"/>
    <w:rsid w:val="002E6E46"/>
    <w:rsid w:val="002E769F"/>
    <w:rsid w:val="002E7880"/>
    <w:rsid w:val="002E7A5B"/>
    <w:rsid w:val="002F0328"/>
    <w:rsid w:val="002F0EA1"/>
    <w:rsid w:val="002F0F6A"/>
    <w:rsid w:val="002F1264"/>
    <w:rsid w:val="002F130A"/>
    <w:rsid w:val="002F1863"/>
    <w:rsid w:val="002F1F02"/>
    <w:rsid w:val="002F2461"/>
    <w:rsid w:val="002F246F"/>
    <w:rsid w:val="002F2B90"/>
    <w:rsid w:val="002F2E86"/>
    <w:rsid w:val="002F43F5"/>
    <w:rsid w:val="002F4573"/>
    <w:rsid w:val="002F4903"/>
    <w:rsid w:val="002F49F8"/>
    <w:rsid w:val="002F53AB"/>
    <w:rsid w:val="002F53EB"/>
    <w:rsid w:val="002F6CD0"/>
    <w:rsid w:val="002F6FD8"/>
    <w:rsid w:val="002F709D"/>
    <w:rsid w:val="003001A8"/>
    <w:rsid w:val="0030102F"/>
    <w:rsid w:val="003011B9"/>
    <w:rsid w:val="00301381"/>
    <w:rsid w:val="00301791"/>
    <w:rsid w:val="003025EC"/>
    <w:rsid w:val="00302BED"/>
    <w:rsid w:val="0030312A"/>
    <w:rsid w:val="00303655"/>
    <w:rsid w:val="00303703"/>
    <w:rsid w:val="00304D70"/>
    <w:rsid w:val="00304D85"/>
    <w:rsid w:val="00304DF3"/>
    <w:rsid w:val="00305B0D"/>
    <w:rsid w:val="00305B3F"/>
    <w:rsid w:val="00305FAA"/>
    <w:rsid w:val="003061D0"/>
    <w:rsid w:val="00306649"/>
    <w:rsid w:val="003067EC"/>
    <w:rsid w:val="00306D21"/>
    <w:rsid w:val="00307247"/>
    <w:rsid w:val="003074CA"/>
    <w:rsid w:val="003103CC"/>
    <w:rsid w:val="00310B11"/>
    <w:rsid w:val="00312F5D"/>
    <w:rsid w:val="00313C22"/>
    <w:rsid w:val="00314512"/>
    <w:rsid w:val="00314F8D"/>
    <w:rsid w:val="00315B54"/>
    <w:rsid w:val="00315B92"/>
    <w:rsid w:val="00315D0F"/>
    <w:rsid w:val="003161E4"/>
    <w:rsid w:val="00316DD4"/>
    <w:rsid w:val="00317440"/>
    <w:rsid w:val="00317619"/>
    <w:rsid w:val="00317EA7"/>
    <w:rsid w:val="00320176"/>
    <w:rsid w:val="00320214"/>
    <w:rsid w:val="0032056A"/>
    <w:rsid w:val="0032078F"/>
    <w:rsid w:val="0032092C"/>
    <w:rsid w:val="003211D1"/>
    <w:rsid w:val="0032174A"/>
    <w:rsid w:val="00322252"/>
    <w:rsid w:val="0032242C"/>
    <w:rsid w:val="00323758"/>
    <w:rsid w:val="00323DDF"/>
    <w:rsid w:val="003246D6"/>
    <w:rsid w:val="003252DF"/>
    <w:rsid w:val="00326CFB"/>
    <w:rsid w:val="00327283"/>
    <w:rsid w:val="00327893"/>
    <w:rsid w:val="00327B61"/>
    <w:rsid w:val="0033093B"/>
    <w:rsid w:val="00330A6F"/>
    <w:rsid w:val="00330E56"/>
    <w:rsid w:val="00331607"/>
    <w:rsid w:val="00331C9F"/>
    <w:rsid w:val="00332CBE"/>
    <w:rsid w:val="00333409"/>
    <w:rsid w:val="00333CE6"/>
    <w:rsid w:val="003340F6"/>
    <w:rsid w:val="003353B0"/>
    <w:rsid w:val="003354A2"/>
    <w:rsid w:val="00335BFD"/>
    <w:rsid w:val="00336B3B"/>
    <w:rsid w:val="003375E2"/>
    <w:rsid w:val="00340679"/>
    <w:rsid w:val="00340A4E"/>
    <w:rsid w:val="003417D7"/>
    <w:rsid w:val="00341A91"/>
    <w:rsid w:val="00342E49"/>
    <w:rsid w:val="0034317C"/>
    <w:rsid w:val="003437FB"/>
    <w:rsid w:val="00343F11"/>
    <w:rsid w:val="00343FA8"/>
    <w:rsid w:val="00344BE6"/>
    <w:rsid w:val="003454FF"/>
    <w:rsid w:val="00345EFE"/>
    <w:rsid w:val="003461ED"/>
    <w:rsid w:val="0034689C"/>
    <w:rsid w:val="00347E8F"/>
    <w:rsid w:val="00350291"/>
    <w:rsid w:val="00350F79"/>
    <w:rsid w:val="003518C4"/>
    <w:rsid w:val="00352789"/>
    <w:rsid w:val="00352B6D"/>
    <w:rsid w:val="00352B7B"/>
    <w:rsid w:val="00353704"/>
    <w:rsid w:val="00354770"/>
    <w:rsid w:val="00354DD7"/>
    <w:rsid w:val="00354E7A"/>
    <w:rsid w:val="003559EF"/>
    <w:rsid w:val="003564AB"/>
    <w:rsid w:val="00356C67"/>
    <w:rsid w:val="0036002F"/>
    <w:rsid w:val="00361861"/>
    <w:rsid w:val="00361B6D"/>
    <w:rsid w:val="00361D48"/>
    <w:rsid w:val="00362360"/>
    <w:rsid w:val="003626D7"/>
    <w:rsid w:val="003634F1"/>
    <w:rsid w:val="00363838"/>
    <w:rsid w:val="00364114"/>
    <w:rsid w:val="00365228"/>
    <w:rsid w:val="00365B1F"/>
    <w:rsid w:val="00365D97"/>
    <w:rsid w:val="0036680A"/>
    <w:rsid w:val="00366BB6"/>
    <w:rsid w:val="00367135"/>
    <w:rsid w:val="003671A9"/>
    <w:rsid w:val="003672A9"/>
    <w:rsid w:val="003674DF"/>
    <w:rsid w:val="0037060C"/>
    <w:rsid w:val="00370E22"/>
    <w:rsid w:val="003717A2"/>
    <w:rsid w:val="0037203A"/>
    <w:rsid w:val="00372252"/>
    <w:rsid w:val="003727EA"/>
    <w:rsid w:val="00372FCA"/>
    <w:rsid w:val="00373752"/>
    <w:rsid w:val="003744D6"/>
    <w:rsid w:val="0037464C"/>
    <w:rsid w:val="003749B4"/>
    <w:rsid w:val="00375354"/>
    <w:rsid w:val="00376043"/>
    <w:rsid w:val="00376176"/>
    <w:rsid w:val="0037624E"/>
    <w:rsid w:val="00376335"/>
    <w:rsid w:val="00376B39"/>
    <w:rsid w:val="00376C6B"/>
    <w:rsid w:val="00376DB7"/>
    <w:rsid w:val="0037766C"/>
    <w:rsid w:val="003778F8"/>
    <w:rsid w:val="00377D36"/>
    <w:rsid w:val="003803AF"/>
    <w:rsid w:val="00380485"/>
    <w:rsid w:val="00380764"/>
    <w:rsid w:val="00380B99"/>
    <w:rsid w:val="00380D85"/>
    <w:rsid w:val="00381220"/>
    <w:rsid w:val="00381C6B"/>
    <w:rsid w:val="00381D2E"/>
    <w:rsid w:val="00382F22"/>
    <w:rsid w:val="003837ED"/>
    <w:rsid w:val="00383822"/>
    <w:rsid w:val="00383D1A"/>
    <w:rsid w:val="00383F44"/>
    <w:rsid w:val="0038459D"/>
    <w:rsid w:val="0038476B"/>
    <w:rsid w:val="0038497E"/>
    <w:rsid w:val="00384AC7"/>
    <w:rsid w:val="00384E7C"/>
    <w:rsid w:val="0038506C"/>
    <w:rsid w:val="003853B3"/>
    <w:rsid w:val="0038541D"/>
    <w:rsid w:val="00386461"/>
    <w:rsid w:val="00386D4F"/>
    <w:rsid w:val="003873C1"/>
    <w:rsid w:val="00387DF5"/>
    <w:rsid w:val="00390670"/>
    <w:rsid w:val="00390C99"/>
    <w:rsid w:val="00391884"/>
    <w:rsid w:val="00391CAD"/>
    <w:rsid w:val="00391CCD"/>
    <w:rsid w:val="003924DF"/>
    <w:rsid w:val="003931B1"/>
    <w:rsid w:val="00393A7C"/>
    <w:rsid w:val="00393F08"/>
    <w:rsid w:val="00394C71"/>
    <w:rsid w:val="003962AF"/>
    <w:rsid w:val="003973FE"/>
    <w:rsid w:val="0039750D"/>
    <w:rsid w:val="003976EE"/>
    <w:rsid w:val="003A010F"/>
    <w:rsid w:val="003A01EC"/>
    <w:rsid w:val="003A0615"/>
    <w:rsid w:val="003A16EC"/>
    <w:rsid w:val="003A1DBA"/>
    <w:rsid w:val="003A27C2"/>
    <w:rsid w:val="003A2B4D"/>
    <w:rsid w:val="003A2B81"/>
    <w:rsid w:val="003A2F73"/>
    <w:rsid w:val="003A32F5"/>
    <w:rsid w:val="003A3702"/>
    <w:rsid w:val="003A389C"/>
    <w:rsid w:val="003A39BF"/>
    <w:rsid w:val="003A3D50"/>
    <w:rsid w:val="003A4023"/>
    <w:rsid w:val="003A4123"/>
    <w:rsid w:val="003A44AF"/>
    <w:rsid w:val="003A6272"/>
    <w:rsid w:val="003A75B8"/>
    <w:rsid w:val="003A7A20"/>
    <w:rsid w:val="003B084D"/>
    <w:rsid w:val="003B14B1"/>
    <w:rsid w:val="003B1855"/>
    <w:rsid w:val="003B1AD3"/>
    <w:rsid w:val="003B1CD1"/>
    <w:rsid w:val="003B30E9"/>
    <w:rsid w:val="003B34E8"/>
    <w:rsid w:val="003B3725"/>
    <w:rsid w:val="003B3B67"/>
    <w:rsid w:val="003B3EE7"/>
    <w:rsid w:val="003B56CD"/>
    <w:rsid w:val="003B72A9"/>
    <w:rsid w:val="003B7537"/>
    <w:rsid w:val="003B775A"/>
    <w:rsid w:val="003B7BC7"/>
    <w:rsid w:val="003B7D95"/>
    <w:rsid w:val="003B7DF0"/>
    <w:rsid w:val="003C04C8"/>
    <w:rsid w:val="003C0C11"/>
    <w:rsid w:val="003C113A"/>
    <w:rsid w:val="003C1790"/>
    <w:rsid w:val="003C18F8"/>
    <w:rsid w:val="003C3089"/>
    <w:rsid w:val="003C3095"/>
    <w:rsid w:val="003C32E8"/>
    <w:rsid w:val="003C3A44"/>
    <w:rsid w:val="003C3AC5"/>
    <w:rsid w:val="003C445C"/>
    <w:rsid w:val="003C6B80"/>
    <w:rsid w:val="003C72B6"/>
    <w:rsid w:val="003C7842"/>
    <w:rsid w:val="003D01C2"/>
    <w:rsid w:val="003D02C3"/>
    <w:rsid w:val="003D07EA"/>
    <w:rsid w:val="003D0AA1"/>
    <w:rsid w:val="003D1C97"/>
    <w:rsid w:val="003D253F"/>
    <w:rsid w:val="003D350B"/>
    <w:rsid w:val="003D3628"/>
    <w:rsid w:val="003D3C19"/>
    <w:rsid w:val="003D3EE0"/>
    <w:rsid w:val="003D4DA4"/>
    <w:rsid w:val="003D50A2"/>
    <w:rsid w:val="003D5B54"/>
    <w:rsid w:val="003D737A"/>
    <w:rsid w:val="003D7B11"/>
    <w:rsid w:val="003D7FBB"/>
    <w:rsid w:val="003E07A8"/>
    <w:rsid w:val="003E1C74"/>
    <w:rsid w:val="003E235F"/>
    <w:rsid w:val="003E265F"/>
    <w:rsid w:val="003E2A56"/>
    <w:rsid w:val="003E3819"/>
    <w:rsid w:val="003E4C16"/>
    <w:rsid w:val="003E4FE2"/>
    <w:rsid w:val="003E548F"/>
    <w:rsid w:val="003E5688"/>
    <w:rsid w:val="003E6371"/>
    <w:rsid w:val="003E72AC"/>
    <w:rsid w:val="003F04A3"/>
    <w:rsid w:val="003F0A4A"/>
    <w:rsid w:val="003F0AA8"/>
    <w:rsid w:val="003F1157"/>
    <w:rsid w:val="003F121E"/>
    <w:rsid w:val="003F1391"/>
    <w:rsid w:val="003F13B3"/>
    <w:rsid w:val="003F1DCD"/>
    <w:rsid w:val="003F1DED"/>
    <w:rsid w:val="003F27BE"/>
    <w:rsid w:val="003F2F09"/>
    <w:rsid w:val="003F45CB"/>
    <w:rsid w:val="003F4D5E"/>
    <w:rsid w:val="003F4E0E"/>
    <w:rsid w:val="003F5E55"/>
    <w:rsid w:val="003F690B"/>
    <w:rsid w:val="003F6A05"/>
    <w:rsid w:val="003F6DAE"/>
    <w:rsid w:val="003F7A62"/>
    <w:rsid w:val="003F7C33"/>
    <w:rsid w:val="003F7F06"/>
    <w:rsid w:val="004003E3"/>
    <w:rsid w:val="00400B08"/>
    <w:rsid w:val="00400D0C"/>
    <w:rsid w:val="00401258"/>
    <w:rsid w:val="0040134C"/>
    <w:rsid w:val="0040149B"/>
    <w:rsid w:val="00401709"/>
    <w:rsid w:val="00401DCC"/>
    <w:rsid w:val="00402200"/>
    <w:rsid w:val="00402822"/>
    <w:rsid w:val="004029EF"/>
    <w:rsid w:val="00403615"/>
    <w:rsid w:val="00403E19"/>
    <w:rsid w:val="00404907"/>
    <w:rsid w:val="00404AAC"/>
    <w:rsid w:val="00404BB3"/>
    <w:rsid w:val="00404F17"/>
    <w:rsid w:val="00405024"/>
    <w:rsid w:val="00405ECA"/>
    <w:rsid w:val="00406269"/>
    <w:rsid w:val="00406E91"/>
    <w:rsid w:val="0040740A"/>
    <w:rsid w:val="004074CC"/>
    <w:rsid w:val="00407C54"/>
    <w:rsid w:val="00407F12"/>
    <w:rsid w:val="00407FA0"/>
    <w:rsid w:val="00411559"/>
    <w:rsid w:val="00411AEF"/>
    <w:rsid w:val="00411DE0"/>
    <w:rsid w:val="00412BBC"/>
    <w:rsid w:val="00412E92"/>
    <w:rsid w:val="00413AD4"/>
    <w:rsid w:val="00413E36"/>
    <w:rsid w:val="00413FCA"/>
    <w:rsid w:val="004140EB"/>
    <w:rsid w:val="0041467F"/>
    <w:rsid w:val="00414EA1"/>
    <w:rsid w:val="00415084"/>
    <w:rsid w:val="00415F96"/>
    <w:rsid w:val="004212E5"/>
    <w:rsid w:val="00421BC7"/>
    <w:rsid w:val="00422679"/>
    <w:rsid w:val="00422C2C"/>
    <w:rsid w:val="00422C6D"/>
    <w:rsid w:val="00423526"/>
    <w:rsid w:val="00423A03"/>
    <w:rsid w:val="004246BE"/>
    <w:rsid w:val="00424ED5"/>
    <w:rsid w:val="00425574"/>
    <w:rsid w:val="0042580F"/>
    <w:rsid w:val="00425F7B"/>
    <w:rsid w:val="00426209"/>
    <w:rsid w:val="0042679D"/>
    <w:rsid w:val="004267E5"/>
    <w:rsid w:val="00427636"/>
    <w:rsid w:val="00427638"/>
    <w:rsid w:val="00431710"/>
    <w:rsid w:val="0043174D"/>
    <w:rsid w:val="004317BA"/>
    <w:rsid w:val="00431979"/>
    <w:rsid w:val="00431C32"/>
    <w:rsid w:val="00433B59"/>
    <w:rsid w:val="00433DA8"/>
    <w:rsid w:val="0043423E"/>
    <w:rsid w:val="00434748"/>
    <w:rsid w:val="004349A6"/>
    <w:rsid w:val="00436024"/>
    <w:rsid w:val="0043632F"/>
    <w:rsid w:val="004366C4"/>
    <w:rsid w:val="00436F2D"/>
    <w:rsid w:val="0043790A"/>
    <w:rsid w:val="00440587"/>
    <w:rsid w:val="0044268B"/>
    <w:rsid w:val="00442DD5"/>
    <w:rsid w:val="00442DE7"/>
    <w:rsid w:val="00443A83"/>
    <w:rsid w:val="004442D4"/>
    <w:rsid w:val="0044446E"/>
    <w:rsid w:val="00445378"/>
    <w:rsid w:val="00445623"/>
    <w:rsid w:val="0044566F"/>
    <w:rsid w:val="00445F4B"/>
    <w:rsid w:val="00446260"/>
    <w:rsid w:val="00446502"/>
    <w:rsid w:val="004469D9"/>
    <w:rsid w:val="00447375"/>
    <w:rsid w:val="00447DFF"/>
    <w:rsid w:val="00447E72"/>
    <w:rsid w:val="00450879"/>
    <w:rsid w:val="00451E74"/>
    <w:rsid w:val="004521BC"/>
    <w:rsid w:val="004532BF"/>
    <w:rsid w:val="0045386B"/>
    <w:rsid w:val="004538B7"/>
    <w:rsid w:val="004543B6"/>
    <w:rsid w:val="00454763"/>
    <w:rsid w:val="00454949"/>
    <w:rsid w:val="00454CF9"/>
    <w:rsid w:val="00454F67"/>
    <w:rsid w:val="00455A0C"/>
    <w:rsid w:val="00455F8C"/>
    <w:rsid w:val="00455FC7"/>
    <w:rsid w:val="00456CF7"/>
    <w:rsid w:val="00456D07"/>
    <w:rsid w:val="00456DAC"/>
    <w:rsid w:val="00460276"/>
    <w:rsid w:val="004604BD"/>
    <w:rsid w:val="004607CF"/>
    <w:rsid w:val="0046160C"/>
    <w:rsid w:val="0046179B"/>
    <w:rsid w:val="00461D6E"/>
    <w:rsid w:val="004624F5"/>
    <w:rsid w:val="00463A44"/>
    <w:rsid w:val="00464895"/>
    <w:rsid w:val="00465EAC"/>
    <w:rsid w:val="004663B4"/>
    <w:rsid w:val="0046679D"/>
    <w:rsid w:val="0046694B"/>
    <w:rsid w:val="00470AB7"/>
    <w:rsid w:val="00471492"/>
    <w:rsid w:val="00471709"/>
    <w:rsid w:val="0047210D"/>
    <w:rsid w:val="004724D0"/>
    <w:rsid w:val="004728BF"/>
    <w:rsid w:val="00472B12"/>
    <w:rsid w:val="00474178"/>
    <w:rsid w:val="0047450A"/>
    <w:rsid w:val="0047488D"/>
    <w:rsid w:val="004749F0"/>
    <w:rsid w:val="00475735"/>
    <w:rsid w:val="00475A1E"/>
    <w:rsid w:val="00475A83"/>
    <w:rsid w:val="00476E92"/>
    <w:rsid w:val="0048029B"/>
    <w:rsid w:val="0048108A"/>
    <w:rsid w:val="00481286"/>
    <w:rsid w:val="004819C7"/>
    <w:rsid w:val="00481F5B"/>
    <w:rsid w:val="00482038"/>
    <w:rsid w:val="0048234D"/>
    <w:rsid w:val="004827DA"/>
    <w:rsid w:val="00484220"/>
    <w:rsid w:val="0048436D"/>
    <w:rsid w:val="00484664"/>
    <w:rsid w:val="0048491A"/>
    <w:rsid w:val="004851A3"/>
    <w:rsid w:val="0048577B"/>
    <w:rsid w:val="00485C8F"/>
    <w:rsid w:val="00485EE9"/>
    <w:rsid w:val="00485F20"/>
    <w:rsid w:val="004866EA"/>
    <w:rsid w:val="00486ECB"/>
    <w:rsid w:val="004875C9"/>
    <w:rsid w:val="00490774"/>
    <w:rsid w:val="00490C8D"/>
    <w:rsid w:val="0049106A"/>
    <w:rsid w:val="0049106F"/>
    <w:rsid w:val="0049111F"/>
    <w:rsid w:val="004913A2"/>
    <w:rsid w:val="004914CD"/>
    <w:rsid w:val="004919A1"/>
    <w:rsid w:val="00491B46"/>
    <w:rsid w:val="00491C66"/>
    <w:rsid w:val="00491F14"/>
    <w:rsid w:val="00492EF0"/>
    <w:rsid w:val="00493150"/>
    <w:rsid w:val="004931B1"/>
    <w:rsid w:val="00494CCE"/>
    <w:rsid w:val="00495E02"/>
    <w:rsid w:val="00496E84"/>
    <w:rsid w:val="004974E2"/>
    <w:rsid w:val="004975F9"/>
    <w:rsid w:val="0049773E"/>
    <w:rsid w:val="004A0C51"/>
    <w:rsid w:val="004A1D0B"/>
    <w:rsid w:val="004A2D55"/>
    <w:rsid w:val="004A2F06"/>
    <w:rsid w:val="004A3102"/>
    <w:rsid w:val="004A4BED"/>
    <w:rsid w:val="004A5273"/>
    <w:rsid w:val="004A5A78"/>
    <w:rsid w:val="004A5D2C"/>
    <w:rsid w:val="004A61F0"/>
    <w:rsid w:val="004A63B3"/>
    <w:rsid w:val="004A6955"/>
    <w:rsid w:val="004A6C1E"/>
    <w:rsid w:val="004A6FE2"/>
    <w:rsid w:val="004A7BC8"/>
    <w:rsid w:val="004A7C41"/>
    <w:rsid w:val="004A7F41"/>
    <w:rsid w:val="004B09BA"/>
    <w:rsid w:val="004B1B4E"/>
    <w:rsid w:val="004B2CE3"/>
    <w:rsid w:val="004B2D37"/>
    <w:rsid w:val="004B3142"/>
    <w:rsid w:val="004B3AA0"/>
    <w:rsid w:val="004B3C8E"/>
    <w:rsid w:val="004B42A9"/>
    <w:rsid w:val="004B453B"/>
    <w:rsid w:val="004B4737"/>
    <w:rsid w:val="004B4AC0"/>
    <w:rsid w:val="004B50EE"/>
    <w:rsid w:val="004B5B18"/>
    <w:rsid w:val="004B62DE"/>
    <w:rsid w:val="004B652C"/>
    <w:rsid w:val="004B6CCC"/>
    <w:rsid w:val="004B79FF"/>
    <w:rsid w:val="004B7B40"/>
    <w:rsid w:val="004B7BB5"/>
    <w:rsid w:val="004C0329"/>
    <w:rsid w:val="004C0429"/>
    <w:rsid w:val="004C0A0E"/>
    <w:rsid w:val="004C1361"/>
    <w:rsid w:val="004C136E"/>
    <w:rsid w:val="004C21E0"/>
    <w:rsid w:val="004C2E12"/>
    <w:rsid w:val="004C3172"/>
    <w:rsid w:val="004C368F"/>
    <w:rsid w:val="004C3E14"/>
    <w:rsid w:val="004C4021"/>
    <w:rsid w:val="004C47F4"/>
    <w:rsid w:val="004C5682"/>
    <w:rsid w:val="004C57C5"/>
    <w:rsid w:val="004C598C"/>
    <w:rsid w:val="004C59E4"/>
    <w:rsid w:val="004C5FD4"/>
    <w:rsid w:val="004C60BF"/>
    <w:rsid w:val="004C68B9"/>
    <w:rsid w:val="004C6B0A"/>
    <w:rsid w:val="004C6FB7"/>
    <w:rsid w:val="004C74C4"/>
    <w:rsid w:val="004C7D74"/>
    <w:rsid w:val="004C7D7E"/>
    <w:rsid w:val="004D0662"/>
    <w:rsid w:val="004D0BCA"/>
    <w:rsid w:val="004D17E3"/>
    <w:rsid w:val="004D25F0"/>
    <w:rsid w:val="004D29EC"/>
    <w:rsid w:val="004D31CD"/>
    <w:rsid w:val="004D3E88"/>
    <w:rsid w:val="004D5889"/>
    <w:rsid w:val="004D5C14"/>
    <w:rsid w:val="004D5C37"/>
    <w:rsid w:val="004D5C4D"/>
    <w:rsid w:val="004D6092"/>
    <w:rsid w:val="004D6719"/>
    <w:rsid w:val="004D74F4"/>
    <w:rsid w:val="004E01B4"/>
    <w:rsid w:val="004E033F"/>
    <w:rsid w:val="004E0609"/>
    <w:rsid w:val="004E0877"/>
    <w:rsid w:val="004E1E3C"/>
    <w:rsid w:val="004E22F0"/>
    <w:rsid w:val="004E234F"/>
    <w:rsid w:val="004E2FAA"/>
    <w:rsid w:val="004E30B7"/>
    <w:rsid w:val="004E33AE"/>
    <w:rsid w:val="004E3416"/>
    <w:rsid w:val="004E3735"/>
    <w:rsid w:val="004E38DF"/>
    <w:rsid w:val="004E3C1C"/>
    <w:rsid w:val="004E419C"/>
    <w:rsid w:val="004E4EEF"/>
    <w:rsid w:val="004E5C77"/>
    <w:rsid w:val="004E5EA1"/>
    <w:rsid w:val="004E60C7"/>
    <w:rsid w:val="004E6529"/>
    <w:rsid w:val="004E65D7"/>
    <w:rsid w:val="004E7333"/>
    <w:rsid w:val="004E7890"/>
    <w:rsid w:val="004E7E58"/>
    <w:rsid w:val="004F00C6"/>
    <w:rsid w:val="004F046B"/>
    <w:rsid w:val="004F0A61"/>
    <w:rsid w:val="004F216F"/>
    <w:rsid w:val="004F2298"/>
    <w:rsid w:val="004F5A32"/>
    <w:rsid w:val="004F63E6"/>
    <w:rsid w:val="004F6973"/>
    <w:rsid w:val="004F7343"/>
    <w:rsid w:val="00500031"/>
    <w:rsid w:val="005006F0"/>
    <w:rsid w:val="00500AE9"/>
    <w:rsid w:val="00500DEF"/>
    <w:rsid w:val="00501DCA"/>
    <w:rsid w:val="005024A1"/>
    <w:rsid w:val="00502E1D"/>
    <w:rsid w:val="00504671"/>
    <w:rsid w:val="00504B3B"/>
    <w:rsid w:val="00506104"/>
    <w:rsid w:val="0050674E"/>
    <w:rsid w:val="005074A8"/>
    <w:rsid w:val="00507959"/>
    <w:rsid w:val="00507F9A"/>
    <w:rsid w:val="00510330"/>
    <w:rsid w:val="005112FE"/>
    <w:rsid w:val="00511544"/>
    <w:rsid w:val="00511E6D"/>
    <w:rsid w:val="00512324"/>
    <w:rsid w:val="0051283A"/>
    <w:rsid w:val="00512A86"/>
    <w:rsid w:val="00512F89"/>
    <w:rsid w:val="005136D2"/>
    <w:rsid w:val="00513F06"/>
    <w:rsid w:val="0051452C"/>
    <w:rsid w:val="0051594B"/>
    <w:rsid w:val="00516A41"/>
    <w:rsid w:val="00516C5F"/>
    <w:rsid w:val="005170F1"/>
    <w:rsid w:val="00517ACD"/>
    <w:rsid w:val="00517B71"/>
    <w:rsid w:val="0052033F"/>
    <w:rsid w:val="005203C3"/>
    <w:rsid w:val="00521F40"/>
    <w:rsid w:val="00522129"/>
    <w:rsid w:val="005224A8"/>
    <w:rsid w:val="0052254C"/>
    <w:rsid w:val="00523BAB"/>
    <w:rsid w:val="00523CA7"/>
    <w:rsid w:val="00524104"/>
    <w:rsid w:val="005255B5"/>
    <w:rsid w:val="00525870"/>
    <w:rsid w:val="005259FC"/>
    <w:rsid w:val="005266BA"/>
    <w:rsid w:val="0052677F"/>
    <w:rsid w:val="00527A41"/>
    <w:rsid w:val="00527E39"/>
    <w:rsid w:val="00530B60"/>
    <w:rsid w:val="00530FDC"/>
    <w:rsid w:val="005318FF"/>
    <w:rsid w:val="00532E27"/>
    <w:rsid w:val="00533CF1"/>
    <w:rsid w:val="00534A5C"/>
    <w:rsid w:val="00534C75"/>
    <w:rsid w:val="005356FB"/>
    <w:rsid w:val="005357F7"/>
    <w:rsid w:val="00535CA1"/>
    <w:rsid w:val="00535F31"/>
    <w:rsid w:val="00536411"/>
    <w:rsid w:val="00540133"/>
    <w:rsid w:val="00541BB4"/>
    <w:rsid w:val="005426EE"/>
    <w:rsid w:val="00542AED"/>
    <w:rsid w:val="00542D7F"/>
    <w:rsid w:val="00543087"/>
    <w:rsid w:val="00543B14"/>
    <w:rsid w:val="00544019"/>
    <w:rsid w:val="00544B34"/>
    <w:rsid w:val="00544DCD"/>
    <w:rsid w:val="00545066"/>
    <w:rsid w:val="005465A0"/>
    <w:rsid w:val="0054718C"/>
    <w:rsid w:val="005501EB"/>
    <w:rsid w:val="00550D0A"/>
    <w:rsid w:val="00550FB0"/>
    <w:rsid w:val="00551D2D"/>
    <w:rsid w:val="00551DF1"/>
    <w:rsid w:val="00552DCE"/>
    <w:rsid w:val="00552EDE"/>
    <w:rsid w:val="00554049"/>
    <w:rsid w:val="00554866"/>
    <w:rsid w:val="00554B20"/>
    <w:rsid w:val="0055582C"/>
    <w:rsid w:val="00556A9F"/>
    <w:rsid w:val="00556C2B"/>
    <w:rsid w:val="00556DB6"/>
    <w:rsid w:val="005570B2"/>
    <w:rsid w:val="00557C18"/>
    <w:rsid w:val="00557E0C"/>
    <w:rsid w:val="00560CD2"/>
    <w:rsid w:val="00560DC3"/>
    <w:rsid w:val="00560FDE"/>
    <w:rsid w:val="00561A61"/>
    <w:rsid w:val="00561C9D"/>
    <w:rsid w:val="0056271E"/>
    <w:rsid w:val="00562F2F"/>
    <w:rsid w:val="00562FC8"/>
    <w:rsid w:val="005632F1"/>
    <w:rsid w:val="00564F35"/>
    <w:rsid w:val="00565014"/>
    <w:rsid w:val="00565BDF"/>
    <w:rsid w:val="005664EC"/>
    <w:rsid w:val="00566E0D"/>
    <w:rsid w:val="00567076"/>
    <w:rsid w:val="00567A97"/>
    <w:rsid w:val="005701AC"/>
    <w:rsid w:val="00570F02"/>
    <w:rsid w:val="005715BA"/>
    <w:rsid w:val="005716C1"/>
    <w:rsid w:val="005719DE"/>
    <w:rsid w:val="00571B16"/>
    <w:rsid w:val="005723A3"/>
    <w:rsid w:val="005739C4"/>
    <w:rsid w:val="00573D43"/>
    <w:rsid w:val="0057436C"/>
    <w:rsid w:val="0057450B"/>
    <w:rsid w:val="0057486F"/>
    <w:rsid w:val="005752D0"/>
    <w:rsid w:val="005756C7"/>
    <w:rsid w:val="00576DED"/>
    <w:rsid w:val="00577FF4"/>
    <w:rsid w:val="005807D9"/>
    <w:rsid w:val="005813CC"/>
    <w:rsid w:val="00582273"/>
    <w:rsid w:val="0058279E"/>
    <w:rsid w:val="00582D43"/>
    <w:rsid w:val="00583158"/>
    <w:rsid w:val="005846C7"/>
    <w:rsid w:val="00584A25"/>
    <w:rsid w:val="0058581A"/>
    <w:rsid w:val="00585A7F"/>
    <w:rsid w:val="00585B42"/>
    <w:rsid w:val="005902A3"/>
    <w:rsid w:val="005902E8"/>
    <w:rsid w:val="00591124"/>
    <w:rsid w:val="005913B3"/>
    <w:rsid w:val="00592F0B"/>
    <w:rsid w:val="00593068"/>
    <w:rsid w:val="005930A0"/>
    <w:rsid w:val="00593157"/>
    <w:rsid w:val="00594D11"/>
    <w:rsid w:val="005956C8"/>
    <w:rsid w:val="00595A93"/>
    <w:rsid w:val="005961B7"/>
    <w:rsid w:val="00596609"/>
    <w:rsid w:val="00596707"/>
    <w:rsid w:val="00596857"/>
    <w:rsid w:val="0059765C"/>
    <w:rsid w:val="005A0114"/>
    <w:rsid w:val="005A03A7"/>
    <w:rsid w:val="005A18FD"/>
    <w:rsid w:val="005A1C4B"/>
    <w:rsid w:val="005A20C8"/>
    <w:rsid w:val="005A2136"/>
    <w:rsid w:val="005A323A"/>
    <w:rsid w:val="005A3AB3"/>
    <w:rsid w:val="005A3C7F"/>
    <w:rsid w:val="005A3E7B"/>
    <w:rsid w:val="005A3E8C"/>
    <w:rsid w:val="005A4891"/>
    <w:rsid w:val="005A5087"/>
    <w:rsid w:val="005A542C"/>
    <w:rsid w:val="005A60BF"/>
    <w:rsid w:val="005A64B0"/>
    <w:rsid w:val="005A6864"/>
    <w:rsid w:val="005A6B63"/>
    <w:rsid w:val="005A6BAC"/>
    <w:rsid w:val="005A6D32"/>
    <w:rsid w:val="005A6E68"/>
    <w:rsid w:val="005A744A"/>
    <w:rsid w:val="005A7716"/>
    <w:rsid w:val="005A7871"/>
    <w:rsid w:val="005B01FF"/>
    <w:rsid w:val="005B0348"/>
    <w:rsid w:val="005B0B73"/>
    <w:rsid w:val="005B1E71"/>
    <w:rsid w:val="005B2245"/>
    <w:rsid w:val="005B2B6C"/>
    <w:rsid w:val="005B32E1"/>
    <w:rsid w:val="005B4C08"/>
    <w:rsid w:val="005B51D0"/>
    <w:rsid w:val="005B5A0A"/>
    <w:rsid w:val="005B64E9"/>
    <w:rsid w:val="005B68C2"/>
    <w:rsid w:val="005B6C3A"/>
    <w:rsid w:val="005B6F57"/>
    <w:rsid w:val="005B7910"/>
    <w:rsid w:val="005B7CD3"/>
    <w:rsid w:val="005C0D16"/>
    <w:rsid w:val="005C11F3"/>
    <w:rsid w:val="005C1665"/>
    <w:rsid w:val="005C18DA"/>
    <w:rsid w:val="005C1CF5"/>
    <w:rsid w:val="005C1D72"/>
    <w:rsid w:val="005C1F65"/>
    <w:rsid w:val="005C1F9C"/>
    <w:rsid w:val="005C280F"/>
    <w:rsid w:val="005C2CF3"/>
    <w:rsid w:val="005C4A8E"/>
    <w:rsid w:val="005C630C"/>
    <w:rsid w:val="005C65D8"/>
    <w:rsid w:val="005C68A7"/>
    <w:rsid w:val="005C6F00"/>
    <w:rsid w:val="005C76C4"/>
    <w:rsid w:val="005C77B6"/>
    <w:rsid w:val="005D1D78"/>
    <w:rsid w:val="005D2236"/>
    <w:rsid w:val="005D299F"/>
    <w:rsid w:val="005D3126"/>
    <w:rsid w:val="005D3369"/>
    <w:rsid w:val="005D3699"/>
    <w:rsid w:val="005D39B6"/>
    <w:rsid w:val="005D4587"/>
    <w:rsid w:val="005D4945"/>
    <w:rsid w:val="005D49D2"/>
    <w:rsid w:val="005D4DB0"/>
    <w:rsid w:val="005D5067"/>
    <w:rsid w:val="005D5E5E"/>
    <w:rsid w:val="005D6184"/>
    <w:rsid w:val="005D63A3"/>
    <w:rsid w:val="005D6A26"/>
    <w:rsid w:val="005D72D1"/>
    <w:rsid w:val="005D74CD"/>
    <w:rsid w:val="005E0540"/>
    <w:rsid w:val="005E0802"/>
    <w:rsid w:val="005E0BF2"/>
    <w:rsid w:val="005E0C77"/>
    <w:rsid w:val="005E0E1E"/>
    <w:rsid w:val="005E0F41"/>
    <w:rsid w:val="005E1BA0"/>
    <w:rsid w:val="005E1D49"/>
    <w:rsid w:val="005E27EF"/>
    <w:rsid w:val="005E2BC3"/>
    <w:rsid w:val="005E2DCA"/>
    <w:rsid w:val="005E355F"/>
    <w:rsid w:val="005E48AF"/>
    <w:rsid w:val="005E4BFA"/>
    <w:rsid w:val="005E554D"/>
    <w:rsid w:val="005E575C"/>
    <w:rsid w:val="005E5A54"/>
    <w:rsid w:val="005E5CF8"/>
    <w:rsid w:val="005E5E21"/>
    <w:rsid w:val="005E62ED"/>
    <w:rsid w:val="005E6691"/>
    <w:rsid w:val="005E6C08"/>
    <w:rsid w:val="005E6CA7"/>
    <w:rsid w:val="005E6F31"/>
    <w:rsid w:val="005E7178"/>
    <w:rsid w:val="005E7283"/>
    <w:rsid w:val="005E76EF"/>
    <w:rsid w:val="005E7C27"/>
    <w:rsid w:val="005F02D7"/>
    <w:rsid w:val="005F0AF1"/>
    <w:rsid w:val="005F0B10"/>
    <w:rsid w:val="005F0C53"/>
    <w:rsid w:val="005F1163"/>
    <w:rsid w:val="005F14DC"/>
    <w:rsid w:val="005F180B"/>
    <w:rsid w:val="005F23CF"/>
    <w:rsid w:val="005F277B"/>
    <w:rsid w:val="005F29FE"/>
    <w:rsid w:val="005F2C45"/>
    <w:rsid w:val="005F2C82"/>
    <w:rsid w:val="005F30F1"/>
    <w:rsid w:val="005F37AE"/>
    <w:rsid w:val="005F397D"/>
    <w:rsid w:val="005F3C2F"/>
    <w:rsid w:val="005F4292"/>
    <w:rsid w:val="005F4344"/>
    <w:rsid w:val="005F5C77"/>
    <w:rsid w:val="005F621E"/>
    <w:rsid w:val="005F6540"/>
    <w:rsid w:val="00600697"/>
    <w:rsid w:val="00601E54"/>
    <w:rsid w:val="006028A0"/>
    <w:rsid w:val="0060299E"/>
    <w:rsid w:val="006029F9"/>
    <w:rsid w:val="0060313B"/>
    <w:rsid w:val="00603A6F"/>
    <w:rsid w:val="00603B3C"/>
    <w:rsid w:val="00603C15"/>
    <w:rsid w:val="00603EF9"/>
    <w:rsid w:val="00603F27"/>
    <w:rsid w:val="0060408F"/>
    <w:rsid w:val="0060470D"/>
    <w:rsid w:val="006049A6"/>
    <w:rsid w:val="006054D5"/>
    <w:rsid w:val="00605A77"/>
    <w:rsid w:val="00606011"/>
    <w:rsid w:val="00606159"/>
    <w:rsid w:val="0060652A"/>
    <w:rsid w:val="00606F21"/>
    <w:rsid w:val="006075E2"/>
    <w:rsid w:val="0060767A"/>
    <w:rsid w:val="006102C2"/>
    <w:rsid w:val="00611088"/>
    <w:rsid w:val="0061111C"/>
    <w:rsid w:val="00612524"/>
    <w:rsid w:val="006126E3"/>
    <w:rsid w:val="00612A4F"/>
    <w:rsid w:val="00612B8D"/>
    <w:rsid w:val="00612F38"/>
    <w:rsid w:val="00613454"/>
    <w:rsid w:val="006135E5"/>
    <w:rsid w:val="00615D92"/>
    <w:rsid w:val="00616FFB"/>
    <w:rsid w:val="0061781D"/>
    <w:rsid w:val="00617D58"/>
    <w:rsid w:val="00621184"/>
    <w:rsid w:val="00621723"/>
    <w:rsid w:val="00621ABE"/>
    <w:rsid w:val="00621E48"/>
    <w:rsid w:val="006229B9"/>
    <w:rsid w:val="0062347A"/>
    <w:rsid w:val="00625DF7"/>
    <w:rsid w:val="006260BA"/>
    <w:rsid w:val="006261FE"/>
    <w:rsid w:val="00626679"/>
    <w:rsid w:val="006271AD"/>
    <w:rsid w:val="0062768B"/>
    <w:rsid w:val="0062771A"/>
    <w:rsid w:val="00627A92"/>
    <w:rsid w:val="00630AF9"/>
    <w:rsid w:val="0063146E"/>
    <w:rsid w:val="0063236C"/>
    <w:rsid w:val="0063308E"/>
    <w:rsid w:val="00633DE0"/>
    <w:rsid w:val="0063454E"/>
    <w:rsid w:val="006352C1"/>
    <w:rsid w:val="006356AC"/>
    <w:rsid w:val="00636CA7"/>
    <w:rsid w:val="006373EF"/>
    <w:rsid w:val="006378CD"/>
    <w:rsid w:val="00640B80"/>
    <w:rsid w:val="00640CB1"/>
    <w:rsid w:val="00641317"/>
    <w:rsid w:val="00642D1C"/>
    <w:rsid w:val="00642F89"/>
    <w:rsid w:val="0064358D"/>
    <w:rsid w:val="00643A5E"/>
    <w:rsid w:val="00644374"/>
    <w:rsid w:val="00644595"/>
    <w:rsid w:val="00644BBD"/>
    <w:rsid w:val="00644E5E"/>
    <w:rsid w:val="0064727F"/>
    <w:rsid w:val="00647863"/>
    <w:rsid w:val="00650B0A"/>
    <w:rsid w:val="0065126F"/>
    <w:rsid w:val="0065215E"/>
    <w:rsid w:val="0065237F"/>
    <w:rsid w:val="006523D1"/>
    <w:rsid w:val="00652993"/>
    <w:rsid w:val="00652F31"/>
    <w:rsid w:val="0065604B"/>
    <w:rsid w:val="00656501"/>
    <w:rsid w:val="00656920"/>
    <w:rsid w:val="0065693C"/>
    <w:rsid w:val="00656C5E"/>
    <w:rsid w:val="006570DD"/>
    <w:rsid w:val="00657D05"/>
    <w:rsid w:val="006611A9"/>
    <w:rsid w:val="0066169B"/>
    <w:rsid w:val="006637A9"/>
    <w:rsid w:val="00663AE8"/>
    <w:rsid w:val="0066416A"/>
    <w:rsid w:val="0066425A"/>
    <w:rsid w:val="006643A0"/>
    <w:rsid w:val="00664738"/>
    <w:rsid w:val="00665351"/>
    <w:rsid w:val="006675FD"/>
    <w:rsid w:val="00667D95"/>
    <w:rsid w:val="00670013"/>
    <w:rsid w:val="0067102A"/>
    <w:rsid w:val="00671D6C"/>
    <w:rsid w:val="00671EED"/>
    <w:rsid w:val="00672C2B"/>
    <w:rsid w:val="00673F19"/>
    <w:rsid w:val="0067451E"/>
    <w:rsid w:val="00674B86"/>
    <w:rsid w:val="0067512A"/>
    <w:rsid w:val="00675533"/>
    <w:rsid w:val="006755BC"/>
    <w:rsid w:val="006758B7"/>
    <w:rsid w:val="00675A56"/>
    <w:rsid w:val="00675AC6"/>
    <w:rsid w:val="00675C35"/>
    <w:rsid w:val="00676B4A"/>
    <w:rsid w:val="0068004C"/>
    <w:rsid w:val="006800B4"/>
    <w:rsid w:val="006803B4"/>
    <w:rsid w:val="00680D25"/>
    <w:rsid w:val="006812E1"/>
    <w:rsid w:val="006815C2"/>
    <w:rsid w:val="00681780"/>
    <w:rsid w:val="00681809"/>
    <w:rsid w:val="00681897"/>
    <w:rsid w:val="00681C2F"/>
    <w:rsid w:val="00683328"/>
    <w:rsid w:val="00683546"/>
    <w:rsid w:val="00683641"/>
    <w:rsid w:val="006836CD"/>
    <w:rsid w:val="00683A07"/>
    <w:rsid w:val="00683D9D"/>
    <w:rsid w:val="0068411A"/>
    <w:rsid w:val="00684E0F"/>
    <w:rsid w:val="006853F7"/>
    <w:rsid w:val="00685C9D"/>
    <w:rsid w:val="00686A69"/>
    <w:rsid w:val="00686CDB"/>
    <w:rsid w:val="006874E9"/>
    <w:rsid w:val="006879C6"/>
    <w:rsid w:val="00687FC0"/>
    <w:rsid w:val="00691410"/>
    <w:rsid w:val="00692E68"/>
    <w:rsid w:val="0069312D"/>
    <w:rsid w:val="006932DC"/>
    <w:rsid w:val="006938C6"/>
    <w:rsid w:val="00694196"/>
    <w:rsid w:val="00694869"/>
    <w:rsid w:val="00695F95"/>
    <w:rsid w:val="0069632E"/>
    <w:rsid w:val="00696337"/>
    <w:rsid w:val="00696911"/>
    <w:rsid w:val="00696AF0"/>
    <w:rsid w:val="00696D89"/>
    <w:rsid w:val="00696FED"/>
    <w:rsid w:val="006A084D"/>
    <w:rsid w:val="006A0BB7"/>
    <w:rsid w:val="006A0BE8"/>
    <w:rsid w:val="006A1502"/>
    <w:rsid w:val="006A1BC4"/>
    <w:rsid w:val="006A267D"/>
    <w:rsid w:val="006A27B1"/>
    <w:rsid w:val="006A2850"/>
    <w:rsid w:val="006A2F51"/>
    <w:rsid w:val="006A3167"/>
    <w:rsid w:val="006A3509"/>
    <w:rsid w:val="006A3CD0"/>
    <w:rsid w:val="006A43D3"/>
    <w:rsid w:val="006A4978"/>
    <w:rsid w:val="006A4E04"/>
    <w:rsid w:val="006A63CC"/>
    <w:rsid w:val="006A6DEA"/>
    <w:rsid w:val="006A7314"/>
    <w:rsid w:val="006A74C1"/>
    <w:rsid w:val="006B052F"/>
    <w:rsid w:val="006B0945"/>
    <w:rsid w:val="006B0CFC"/>
    <w:rsid w:val="006B0DBC"/>
    <w:rsid w:val="006B13EB"/>
    <w:rsid w:val="006B16A1"/>
    <w:rsid w:val="006B175B"/>
    <w:rsid w:val="006B1AA0"/>
    <w:rsid w:val="006B22CE"/>
    <w:rsid w:val="006B26A0"/>
    <w:rsid w:val="006B2CEE"/>
    <w:rsid w:val="006B2E8D"/>
    <w:rsid w:val="006B32CF"/>
    <w:rsid w:val="006B34B1"/>
    <w:rsid w:val="006B3D35"/>
    <w:rsid w:val="006B3DEE"/>
    <w:rsid w:val="006B41FB"/>
    <w:rsid w:val="006B61B3"/>
    <w:rsid w:val="006B6777"/>
    <w:rsid w:val="006B696D"/>
    <w:rsid w:val="006B6C44"/>
    <w:rsid w:val="006B7005"/>
    <w:rsid w:val="006B707D"/>
    <w:rsid w:val="006B72D4"/>
    <w:rsid w:val="006B74AA"/>
    <w:rsid w:val="006B79CC"/>
    <w:rsid w:val="006B7A8B"/>
    <w:rsid w:val="006B7B29"/>
    <w:rsid w:val="006C2012"/>
    <w:rsid w:val="006C217D"/>
    <w:rsid w:val="006C2355"/>
    <w:rsid w:val="006C2611"/>
    <w:rsid w:val="006C3716"/>
    <w:rsid w:val="006C3733"/>
    <w:rsid w:val="006C3B67"/>
    <w:rsid w:val="006C4112"/>
    <w:rsid w:val="006C46CA"/>
    <w:rsid w:val="006C4741"/>
    <w:rsid w:val="006C49CC"/>
    <w:rsid w:val="006C60A7"/>
    <w:rsid w:val="006C7C27"/>
    <w:rsid w:val="006D017D"/>
    <w:rsid w:val="006D094A"/>
    <w:rsid w:val="006D09F4"/>
    <w:rsid w:val="006D0AD0"/>
    <w:rsid w:val="006D15DE"/>
    <w:rsid w:val="006D2660"/>
    <w:rsid w:val="006D27AD"/>
    <w:rsid w:val="006D2954"/>
    <w:rsid w:val="006D2CCC"/>
    <w:rsid w:val="006D3757"/>
    <w:rsid w:val="006D3B54"/>
    <w:rsid w:val="006D3C3B"/>
    <w:rsid w:val="006D4727"/>
    <w:rsid w:val="006D54CD"/>
    <w:rsid w:val="006D6232"/>
    <w:rsid w:val="006D6690"/>
    <w:rsid w:val="006D6703"/>
    <w:rsid w:val="006D69F8"/>
    <w:rsid w:val="006D6F29"/>
    <w:rsid w:val="006D6FA9"/>
    <w:rsid w:val="006D7085"/>
    <w:rsid w:val="006D7A21"/>
    <w:rsid w:val="006E04FE"/>
    <w:rsid w:val="006E1310"/>
    <w:rsid w:val="006E1364"/>
    <w:rsid w:val="006E1DD9"/>
    <w:rsid w:val="006E217B"/>
    <w:rsid w:val="006E22F5"/>
    <w:rsid w:val="006E251A"/>
    <w:rsid w:val="006E2A0F"/>
    <w:rsid w:val="006E324B"/>
    <w:rsid w:val="006E325D"/>
    <w:rsid w:val="006E4011"/>
    <w:rsid w:val="006E4780"/>
    <w:rsid w:val="006E48F5"/>
    <w:rsid w:val="006E4951"/>
    <w:rsid w:val="006E516F"/>
    <w:rsid w:val="006E599D"/>
    <w:rsid w:val="006E5A29"/>
    <w:rsid w:val="006E615D"/>
    <w:rsid w:val="006E737D"/>
    <w:rsid w:val="006E7468"/>
    <w:rsid w:val="006E7B1E"/>
    <w:rsid w:val="006E7E40"/>
    <w:rsid w:val="006F09B1"/>
    <w:rsid w:val="006F19D6"/>
    <w:rsid w:val="006F1E95"/>
    <w:rsid w:val="006F23BC"/>
    <w:rsid w:val="006F2C7F"/>
    <w:rsid w:val="006F38D5"/>
    <w:rsid w:val="006F41D4"/>
    <w:rsid w:val="006F485C"/>
    <w:rsid w:val="006F48A2"/>
    <w:rsid w:val="006F4F57"/>
    <w:rsid w:val="006F5351"/>
    <w:rsid w:val="006F53EA"/>
    <w:rsid w:val="006F61F2"/>
    <w:rsid w:val="006F745A"/>
    <w:rsid w:val="006F7DF7"/>
    <w:rsid w:val="006F7F27"/>
    <w:rsid w:val="00700628"/>
    <w:rsid w:val="00701C37"/>
    <w:rsid w:val="00702B03"/>
    <w:rsid w:val="007036CE"/>
    <w:rsid w:val="0070387B"/>
    <w:rsid w:val="00705736"/>
    <w:rsid w:val="007057C1"/>
    <w:rsid w:val="00705AB7"/>
    <w:rsid w:val="00705AE4"/>
    <w:rsid w:val="00706784"/>
    <w:rsid w:val="0070699A"/>
    <w:rsid w:val="00707106"/>
    <w:rsid w:val="00707EC5"/>
    <w:rsid w:val="007112A1"/>
    <w:rsid w:val="00711521"/>
    <w:rsid w:val="00711605"/>
    <w:rsid w:val="00711BBB"/>
    <w:rsid w:val="00711C9A"/>
    <w:rsid w:val="00712069"/>
    <w:rsid w:val="007122E6"/>
    <w:rsid w:val="00712447"/>
    <w:rsid w:val="007132CB"/>
    <w:rsid w:val="007132D6"/>
    <w:rsid w:val="007145D1"/>
    <w:rsid w:val="00714619"/>
    <w:rsid w:val="00714A36"/>
    <w:rsid w:val="007157C7"/>
    <w:rsid w:val="00715A03"/>
    <w:rsid w:val="00715DE1"/>
    <w:rsid w:val="00716720"/>
    <w:rsid w:val="00716811"/>
    <w:rsid w:val="007169E6"/>
    <w:rsid w:val="007172C1"/>
    <w:rsid w:val="007179CE"/>
    <w:rsid w:val="0072035B"/>
    <w:rsid w:val="007204E4"/>
    <w:rsid w:val="00720C66"/>
    <w:rsid w:val="00720EF9"/>
    <w:rsid w:val="00721B77"/>
    <w:rsid w:val="00722215"/>
    <w:rsid w:val="00722749"/>
    <w:rsid w:val="00722B6D"/>
    <w:rsid w:val="00723DBB"/>
    <w:rsid w:val="00724082"/>
    <w:rsid w:val="00724906"/>
    <w:rsid w:val="00724966"/>
    <w:rsid w:val="00724D90"/>
    <w:rsid w:val="007250C3"/>
    <w:rsid w:val="00725221"/>
    <w:rsid w:val="007275D6"/>
    <w:rsid w:val="00730BF1"/>
    <w:rsid w:val="00732806"/>
    <w:rsid w:val="007328EB"/>
    <w:rsid w:val="007339FD"/>
    <w:rsid w:val="00733FA8"/>
    <w:rsid w:val="00734970"/>
    <w:rsid w:val="007349A5"/>
    <w:rsid w:val="00735669"/>
    <w:rsid w:val="0073571E"/>
    <w:rsid w:val="00737545"/>
    <w:rsid w:val="00737B2F"/>
    <w:rsid w:val="00737E0F"/>
    <w:rsid w:val="00740149"/>
    <w:rsid w:val="00740E6D"/>
    <w:rsid w:val="00741289"/>
    <w:rsid w:val="007417BC"/>
    <w:rsid w:val="00741811"/>
    <w:rsid w:val="00742554"/>
    <w:rsid w:val="00743D6D"/>
    <w:rsid w:val="00743F68"/>
    <w:rsid w:val="00744520"/>
    <w:rsid w:val="0074553A"/>
    <w:rsid w:val="00745DDD"/>
    <w:rsid w:val="00746292"/>
    <w:rsid w:val="0074692B"/>
    <w:rsid w:val="00746CA5"/>
    <w:rsid w:val="00747806"/>
    <w:rsid w:val="00750604"/>
    <w:rsid w:val="0075099D"/>
    <w:rsid w:val="007516F3"/>
    <w:rsid w:val="007523B6"/>
    <w:rsid w:val="0075385D"/>
    <w:rsid w:val="00753DB4"/>
    <w:rsid w:val="00753ED6"/>
    <w:rsid w:val="00754113"/>
    <w:rsid w:val="00754E55"/>
    <w:rsid w:val="00755406"/>
    <w:rsid w:val="00755480"/>
    <w:rsid w:val="00756886"/>
    <w:rsid w:val="00756D4F"/>
    <w:rsid w:val="00757549"/>
    <w:rsid w:val="00757F02"/>
    <w:rsid w:val="007609B8"/>
    <w:rsid w:val="00760EBD"/>
    <w:rsid w:val="00762466"/>
    <w:rsid w:val="0076284D"/>
    <w:rsid w:val="00762B39"/>
    <w:rsid w:val="00762D4F"/>
    <w:rsid w:val="00763695"/>
    <w:rsid w:val="00763ADF"/>
    <w:rsid w:val="00763F21"/>
    <w:rsid w:val="007640D0"/>
    <w:rsid w:val="007645BE"/>
    <w:rsid w:val="0076539A"/>
    <w:rsid w:val="00765615"/>
    <w:rsid w:val="00766256"/>
    <w:rsid w:val="0076753D"/>
    <w:rsid w:val="00770175"/>
    <w:rsid w:val="00770790"/>
    <w:rsid w:val="00770A8E"/>
    <w:rsid w:val="00770C9F"/>
    <w:rsid w:val="00771257"/>
    <w:rsid w:val="00771A58"/>
    <w:rsid w:val="00771AC3"/>
    <w:rsid w:val="0077229F"/>
    <w:rsid w:val="007726FA"/>
    <w:rsid w:val="00772CE9"/>
    <w:rsid w:val="007733C0"/>
    <w:rsid w:val="0077343E"/>
    <w:rsid w:val="00773507"/>
    <w:rsid w:val="00773AE5"/>
    <w:rsid w:val="0077401E"/>
    <w:rsid w:val="007741C3"/>
    <w:rsid w:val="00774408"/>
    <w:rsid w:val="00775806"/>
    <w:rsid w:val="00775A2E"/>
    <w:rsid w:val="00775B32"/>
    <w:rsid w:val="00775D36"/>
    <w:rsid w:val="00776626"/>
    <w:rsid w:val="007807FC"/>
    <w:rsid w:val="00780F25"/>
    <w:rsid w:val="00781B88"/>
    <w:rsid w:val="00782687"/>
    <w:rsid w:val="00782910"/>
    <w:rsid w:val="00783551"/>
    <w:rsid w:val="007836F7"/>
    <w:rsid w:val="007838A5"/>
    <w:rsid w:val="00783DC8"/>
    <w:rsid w:val="0078451D"/>
    <w:rsid w:val="0078494B"/>
    <w:rsid w:val="00784CF5"/>
    <w:rsid w:val="0078530D"/>
    <w:rsid w:val="00785838"/>
    <w:rsid w:val="00786E6D"/>
    <w:rsid w:val="007874E7"/>
    <w:rsid w:val="007875F5"/>
    <w:rsid w:val="00790188"/>
    <w:rsid w:val="0079055F"/>
    <w:rsid w:val="00790ADA"/>
    <w:rsid w:val="00790B99"/>
    <w:rsid w:val="00791975"/>
    <w:rsid w:val="00791FE1"/>
    <w:rsid w:val="0079382D"/>
    <w:rsid w:val="00793A4A"/>
    <w:rsid w:val="00793FB7"/>
    <w:rsid w:val="0079411C"/>
    <w:rsid w:val="00794B75"/>
    <w:rsid w:val="00795CDB"/>
    <w:rsid w:val="00796182"/>
    <w:rsid w:val="00796912"/>
    <w:rsid w:val="00796BCF"/>
    <w:rsid w:val="00796DFA"/>
    <w:rsid w:val="007971F7"/>
    <w:rsid w:val="00797B02"/>
    <w:rsid w:val="007A027B"/>
    <w:rsid w:val="007A0C8F"/>
    <w:rsid w:val="007A1061"/>
    <w:rsid w:val="007A2036"/>
    <w:rsid w:val="007A207D"/>
    <w:rsid w:val="007A2623"/>
    <w:rsid w:val="007A44F0"/>
    <w:rsid w:val="007A5690"/>
    <w:rsid w:val="007A5876"/>
    <w:rsid w:val="007A5EA8"/>
    <w:rsid w:val="007A643E"/>
    <w:rsid w:val="007A69C7"/>
    <w:rsid w:val="007A6DA2"/>
    <w:rsid w:val="007A72B2"/>
    <w:rsid w:val="007A734D"/>
    <w:rsid w:val="007B0522"/>
    <w:rsid w:val="007B0FE3"/>
    <w:rsid w:val="007B13AF"/>
    <w:rsid w:val="007B1521"/>
    <w:rsid w:val="007B1659"/>
    <w:rsid w:val="007B24A8"/>
    <w:rsid w:val="007B2899"/>
    <w:rsid w:val="007B2A83"/>
    <w:rsid w:val="007B33AA"/>
    <w:rsid w:val="007B39FB"/>
    <w:rsid w:val="007B3B6D"/>
    <w:rsid w:val="007B3DF7"/>
    <w:rsid w:val="007B4639"/>
    <w:rsid w:val="007B4A04"/>
    <w:rsid w:val="007B4CA6"/>
    <w:rsid w:val="007B64F5"/>
    <w:rsid w:val="007B691E"/>
    <w:rsid w:val="007B6D5B"/>
    <w:rsid w:val="007B6F36"/>
    <w:rsid w:val="007B741A"/>
    <w:rsid w:val="007B7AE8"/>
    <w:rsid w:val="007B7DF9"/>
    <w:rsid w:val="007C0A0E"/>
    <w:rsid w:val="007C1079"/>
    <w:rsid w:val="007C14D7"/>
    <w:rsid w:val="007C24E0"/>
    <w:rsid w:val="007C2DE3"/>
    <w:rsid w:val="007C30B8"/>
    <w:rsid w:val="007C313C"/>
    <w:rsid w:val="007C4145"/>
    <w:rsid w:val="007C5765"/>
    <w:rsid w:val="007C5A2C"/>
    <w:rsid w:val="007C699D"/>
    <w:rsid w:val="007C6D37"/>
    <w:rsid w:val="007C6D40"/>
    <w:rsid w:val="007C701B"/>
    <w:rsid w:val="007C71E8"/>
    <w:rsid w:val="007C7BB7"/>
    <w:rsid w:val="007D1AFA"/>
    <w:rsid w:val="007D221B"/>
    <w:rsid w:val="007D221D"/>
    <w:rsid w:val="007D259A"/>
    <w:rsid w:val="007D2BDE"/>
    <w:rsid w:val="007D2E09"/>
    <w:rsid w:val="007D3A7A"/>
    <w:rsid w:val="007D3C3E"/>
    <w:rsid w:val="007D55CF"/>
    <w:rsid w:val="007D5F2F"/>
    <w:rsid w:val="007D638D"/>
    <w:rsid w:val="007D6D90"/>
    <w:rsid w:val="007D74BE"/>
    <w:rsid w:val="007D77A4"/>
    <w:rsid w:val="007E0470"/>
    <w:rsid w:val="007E05B8"/>
    <w:rsid w:val="007E06F1"/>
    <w:rsid w:val="007E0B03"/>
    <w:rsid w:val="007E0CE5"/>
    <w:rsid w:val="007E0F00"/>
    <w:rsid w:val="007E10C4"/>
    <w:rsid w:val="007E129C"/>
    <w:rsid w:val="007E1366"/>
    <w:rsid w:val="007E1EDF"/>
    <w:rsid w:val="007E2174"/>
    <w:rsid w:val="007E25DB"/>
    <w:rsid w:val="007E2F0A"/>
    <w:rsid w:val="007E3832"/>
    <w:rsid w:val="007E55C1"/>
    <w:rsid w:val="007E59D1"/>
    <w:rsid w:val="007E5B45"/>
    <w:rsid w:val="007E64E1"/>
    <w:rsid w:val="007E6ADB"/>
    <w:rsid w:val="007E6E5A"/>
    <w:rsid w:val="007E75D8"/>
    <w:rsid w:val="007F0918"/>
    <w:rsid w:val="007F186A"/>
    <w:rsid w:val="007F2111"/>
    <w:rsid w:val="007F2436"/>
    <w:rsid w:val="007F3EC4"/>
    <w:rsid w:val="007F4900"/>
    <w:rsid w:val="007F4C69"/>
    <w:rsid w:val="007F524B"/>
    <w:rsid w:val="007F5534"/>
    <w:rsid w:val="007F642F"/>
    <w:rsid w:val="007F676A"/>
    <w:rsid w:val="007F6D62"/>
    <w:rsid w:val="007F7DC7"/>
    <w:rsid w:val="00800EEE"/>
    <w:rsid w:val="00801E2B"/>
    <w:rsid w:val="00802122"/>
    <w:rsid w:val="00802495"/>
    <w:rsid w:val="00802E73"/>
    <w:rsid w:val="00802EA8"/>
    <w:rsid w:val="008030FA"/>
    <w:rsid w:val="00804E27"/>
    <w:rsid w:val="00805101"/>
    <w:rsid w:val="00805136"/>
    <w:rsid w:val="00805579"/>
    <w:rsid w:val="00805602"/>
    <w:rsid w:val="00806D61"/>
    <w:rsid w:val="00807148"/>
    <w:rsid w:val="00807FB4"/>
    <w:rsid w:val="008106FD"/>
    <w:rsid w:val="00810765"/>
    <w:rsid w:val="00810DCC"/>
    <w:rsid w:val="00811601"/>
    <w:rsid w:val="00811F79"/>
    <w:rsid w:val="00812A62"/>
    <w:rsid w:val="00812EA4"/>
    <w:rsid w:val="008137E0"/>
    <w:rsid w:val="008138A3"/>
    <w:rsid w:val="008149AC"/>
    <w:rsid w:val="00814A60"/>
    <w:rsid w:val="00814DB6"/>
    <w:rsid w:val="00814F15"/>
    <w:rsid w:val="0081591C"/>
    <w:rsid w:val="00815981"/>
    <w:rsid w:val="008159BB"/>
    <w:rsid w:val="00815C24"/>
    <w:rsid w:val="00815EEC"/>
    <w:rsid w:val="008163DA"/>
    <w:rsid w:val="00816B77"/>
    <w:rsid w:val="00816E1D"/>
    <w:rsid w:val="00817C51"/>
    <w:rsid w:val="00817C68"/>
    <w:rsid w:val="00817DC9"/>
    <w:rsid w:val="00817DD3"/>
    <w:rsid w:val="008208E9"/>
    <w:rsid w:val="00820964"/>
    <w:rsid w:val="00820CE2"/>
    <w:rsid w:val="0082165A"/>
    <w:rsid w:val="00821A1F"/>
    <w:rsid w:val="00821AFA"/>
    <w:rsid w:val="008220E3"/>
    <w:rsid w:val="00822195"/>
    <w:rsid w:val="00822B60"/>
    <w:rsid w:val="008232D2"/>
    <w:rsid w:val="00823481"/>
    <w:rsid w:val="00823C0E"/>
    <w:rsid w:val="00823EAD"/>
    <w:rsid w:val="00824582"/>
    <w:rsid w:val="00824A59"/>
    <w:rsid w:val="00824FA5"/>
    <w:rsid w:val="00825161"/>
    <w:rsid w:val="00825B7D"/>
    <w:rsid w:val="008261F3"/>
    <w:rsid w:val="008262D3"/>
    <w:rsid w:val="00826552"/>
    <w:rsid w:val="00826613"/>
    <w:rsid w:val="00826885"/>
    <w:rsid w:val="00827C16"/>
    <w:rsid w:val="00827E4A"/>
    <w:rsid w:val="008308AD"/>
    <w:rsid w:val="00831169"/>
    <w:rsid w:val="008316BB"/>
    <w:rsid w:val="00831AE4"/>
    <w:rsid w:val="008321CA"/>
    <w:rsid w:val="008326E2"/>
    <w:rsid w:val="00832B84"/>
    <w:rsid w:val="0083321B"/>
    <w:rsid w:val="008341FC"/>
    <w:rsid w:val="008342CD"/>
    <w:rsid w:val="0083464A"/>
    <w:rsid w:val="00834927"/>
    <w:rsid w:val="00834ABA"/>
    <w:rsid w:val="00834BB4"/>
    <w:rsid w:val="00834D53"/>
    <w:rsid w:val="00835791"/>
    <w:rsid w:val="00836419"/>
    <w:rsid w:val="00836D17"/>
    <w:rsid w:val="00836E08"/>
    <w:rsid w:val="008374CF"/>
    <w:rsid w:val="008376CF"/>
    <w:rsid w:val="0084046E"/>
    <w:rsid w:val="008405E6"/>
    <w:rsid w:val="00840CDE"/>
    <w:rsid w:val="008410DC"/>
    <w:rsid w:val="008414DF"/>
    <w:rsid w:val="00841964"/>
    <w:rsid w:val="008423B7"/>
    <w:rsid w:val="0084279E"/>
    <w:rsid w:val="00842A05"/>
    <w:rsid w:val="00842A30"/>
    <w:rsid w:val="00842E1E"/>
    <w:rsid w:val="00843612"/>
    <w:rsid w:val="0084391C"/>
    <w:rsid w:val="00843D94"/>
    <w:rsid w:val="008456B1"/>
    <w:rsid w:val="00845D1E"/>
    <w:rsid w:val="00846677"/>
    <w:rsid w:val="00846B22"/>
    <w:rsid w:val="00850312"/>
    <w:rsid w:val="00850352"/>
    <w:rsid w:val="0085044C"/>
    <w:rsid w:val="00850642"/>
    <w:rsid w:val="00850E9B"/>
    <w:rsid w:val="0085115B"/>
    <w:rsid w:val="008516C3"/>
    <w:rsid w:val="00852291"/>
    <w:rsid w:val="00852FAF"/>
    <w:rsid w:val="0085306C"/>
    <w:rsid w:val="008530A4"/>
    <w:rsid w:val="00853FDD"/>
    <w:rsid w:val="008540EF"/>
    <w:rsid w:val="0085446E"/>
    <w:rsid w:val="00854723"/>
    <w:rsid w:val="00855E0F"/>
    <w:rsid w:val="00856B66"/>
    <w:rsid w:val="00856F9F"/>
    <w:rsid w:val="00857178"/>
    <w:rsid w:val="008572AE"/>
    <w:rsid w:val="00857C84"/>
    <w:rsid w:val="00860AAD"/>
    <w:rsid w:val="00860FFC"/>
    <w:rsid w:val="00861208"/>
    <w:rsid w:val="008614E4"/>
    <w:rsid w:val="008616CD"/>
    <w:rsid w:val="00861D6A"/>
    <w:rsid w:val="00861E01"/>
    <w:rsid w:val="00862470"/>
    <w:rsid w:val="008630A6"/>
    <w:rsid w:val="0086386B"/>
    <w:rsid w:val="008638EB"/>
    <w:rsid w:val="00864072"/>
    <w:rsid w:val="00864DFD"/>
    <w:rsid w:val="00865416"/>
    <w:rsid w:val="00865A81"/>
    <w:rsid w:val="00865B2D"/>
    <w:rsid w:val="00866CC8"/>
    <w:rsid w:val="00867337"/>
    <w:rsid w:val="008675D8"/>
    <w:rsid w:val="00870196"/>
    <w:rsid w:val="008710F3"/>
    <w:rsid w:val="008711D0"/>
    <w:rsid w:val="0087172D"/>
    <w:rsid w:val="00872434"/>
    <w:rsid w:val="00872C6D"/>
    <w:rsid w:val="008732EA"/>
    <w:rsid w:val="00873691"/>
    <w:rsid w:val="008747A6"/>
    <w:rsid w:val="008748F6"/>
    <w:rsid w:val="00874BC7"/>
    <w:rsid w:val="00874F4B"/>
    <w:rsid w:val="0087567C"/>
    <w:rsid w:val="00876026"/>
    <w:rsid w:val="00876432"/>
    <w:rsid w:val="00876574"/>
    <w:rsid w:val="00877B1E"/>
    <w:rsid w:val="00877B6A"/>
    <w:rsid w:val="00877ED6"/>
    <w:rsid w:val="00880AEC"/>
    <w:rsid w:val="00880E25"/>
    <w:rsid w:val="0088100B"/>
    <w:rsid w:val="00881155"/>
    <w:rsid w:val="00881C25"/>
    <w:rsid w:val="0088207B"/>
    <w:rsid w:val="0088251C"/>
    <w:rsid w:val="00883494"/>
    <w:rsid w:val="00883D26"/>
    <w:rsid w:val="00884F10"/>
    <w:rsid w:val="00884F22"/>
    <w:rsid w:val="0088613D"/>
    <w:rsid w:val="00886656"/>
    <w:rsid w:val="0088699D"/>
    <w:rsid w:val="00886B6C"/>
    <w:rsid w:val="0088769F"/>
    <w:rsid w:val="00887867"/>
    <w:rsid w:val="0088791C"/>
    <w:rsid w:val="00887A9B"/>
    <w:rsid w:val="00890030"/>
    <w:rsid w:val="00890131"/>
    <w:rsid w:val="00892638"/>
    <w:rsid w:val="0089359E"/>
    <w:rsid w:val="00893E9B"/>
    <w:rsid w:val="008943A0"/>
    <w:rsid w:val="0089501D"/>
    <w:rsid w:val="00895342"/>
    <w:rsid w:val="00895FB3"/>
    <w:rsid w:val="008960C3"/>
    <w:rsid w:val="0089673A"/>
    <w:rsid w:val="0089711C"/>
    <w:rsid w:val="00897794"/>
    <w:rsid w:val="008A024C"/>
    <w:rsid w:val="008A088E"/>
    <w:rsid w:val="008A08CC"/>
    <w:rsid w:val="008A25CD"/>
    <w:rsid w:val="008A27FB"/>
    <w:rsid w:val="008A3753"/>
    <w:rsid w:val="008A3DF4"/>
    <w:rsid w:val="008A477C"/>
    <w:rsid w:val="008A479A"/>
    <w:rsid w:val="008A531E"/>
    <w:rsid w:val="008A57A3"/>
    <w:rsid w:val="008A662F"/>
    <w:rsid w:val="008A685E"/>
    <w:rsid w:val="008A6948"/>
    <w:rsid w:val="008A6F67"/>
    <w:rsid w:val="008A7EB7"/>
    <w:rsid w:val="008B0492"/>
    <w:rsid w:val="008B0D2B"/>
    <w:rsid w:val="008B15E7"/>
    <w:rsid w:val="008B1752"/>
    <w:rsid w:val="008B1B53"/>
    <w:rsid w:val="008B1E37"/>
    <w:rsid w:val="008B1F56"/>
    <w:rsid w:val="008B2E01"/>
    <w:rsid w:val="008B35C9"/>
    <w:rsid w:val="008B377E"/>
    <w:rsid w:val="008B3ADF"/>
    <w:rsid w:val="008B4F91"/>
    <w:rsid w:val="008B4F9E"/>
    <w:rsid w:val="008B59F8"/>
    <w:rsid w:val="008B5E48"/>
    <w:rsid w:val="008B6097"/>
    <w:rsid w:val="008B7F7C"/>
    <w:rsid w:val="008B7FC0"/>
    <w:rsid w:val="008C0CC1"/>
    <w:rsid w:val="008C19D1"/>
    <w:rsid w:val="008C1F3F"/>
    <w:rsid w:val="008C21E5"/>
    <w:rsid w:val="008C25CB"/>
    <w:rsid w:val="008C2799"/>
    <w:rsid w:val="008C2A10"/>
    <w:rsid w:val="008C2D32"/>
    <w:rsid w:val="008C2F7C"/>
    <w:rsid w:val="008C30ED"/>
    <w:rsid w:val="008C3750"/>
    <w:rsid w:val="008C4014"/>
    <w:rsid w:val="008C429C"/>
    <w:rsid w:val="008C441D"/>
    <w:rsid w:val="008C55D0"/>
    <w:rsid w:val="008C5FAA"/>
    <w:rsid w:val="008C625F"/>
    <w:rsid w:val="008C6535"/>
    <w:rsid w:val="008C6F1D"/>
    <w:rsid w:val="008C7093"/>
    <w:rsid w:val="008C761A"/>
    <w:rsid w:val="008D1160"/>
    <w:rsid w:val="008D1C26"/>
    <w:rsid w:val="008D2403"/>
    <w:rsid w:val="008D32B6"/>
    <w:rsid w:val="008D3DD0"/>
    <w:rsid w:val="008D4247"/>
    <w:rsid w:val="008D4700"/>
    <w:rsid w:val="008D50B5"/>
    <w:rsid w:val="008D5180"/>
    <w:rsid w:val="008D5952"/>
    <w:rsid w:val="008D5A3B"/>
    <w:rsid w:val="008D5BE0"/>
    <w:rsid w:val="008D6298"/>
    <w:rsid w:val="008D6982"/>
    <w:rsid w:val="008D6D22"/>
    <w:rsid w:val="008D77B7"/>
    <w:rsid w:val="008D7FC6"/>
    <w:rsid w:val="008E0E4E"/>
    <w:rsid w:val="008E111F"/>
    <w:rsid w:val="008E1A68"/>
    <w:rsid w:val="008E1D66"/>
    <w:rsid w:val="008E1EFA"/>
    <w:rsid w:val="008E1F05"/>
    <w:rsid w:val="008E201E"/>
    <w:rsid w:val="008E20FC"/>
    <w:rsid w:val="008E221A"/>
    <w:rsid w:val="008E254B"/>
    <w:rsid w:val="008E2629"/>
    <w:rsid w:val="008E2B97"/>
    <w:rsid w:val="008E2F85"/>
    <w:rsid w:val="008E3BA4"/>
    <w:rsid w:val="008E4444"/>
    <w:rsid w:val="008E4536"/>
    <w:rsid w:val="008E474A"/>
    <w:rsid w:val="008E47A6"/>
    <w:rsid w:val="008E5C0A"/>
    <w:rsid w:val="008E5F42"/>
    <w:rsid w:val="008E64A7"/>
    <w:rsid w:val="008E6990"/>
    <w:rsid w:val="008E7067"/>
    <w:rsid w:val="008E73B3"/>
    <w:rsid w:val="008F01D8"/>
    <w:rsid w:val="008F0348"/>
    <w:rsid w:val="008F0466"/>
    <w:rsid w:val="008F0639"/>
    <w:rsid w:val="008F1077"/>
    <w:rsid w:val="008F16A3"/>
    <w:rsid w:val="008F1A5C"/>
    <w:rsid w:val="008F229D"/>
    <w:rsid w:val="008F29B6"/>
    <w:rsid w:val="008F2B5E"/>
    <w:rsid w:val="008F498F"/>
    <w:rsid w:val="008F4BBD"/>
    <w:rsid w:val="008F4C62"/>
    <w:rsid w:val="008F5414"/>
    <w:rsid w:val="008F563C"/>
    <w:rsid w:val="008F5E92"/>
    <w:rsid w:val="008F6051"/>
    <w:rsid w:val="008F6577"/>
    <w:rsid w:val="008F6821"/>
    <w:rsid w:val="008F6C2F"/>
    <w:rsid w:val="008F7A09"/>
    <w:rsid w:val="008F7B7E"/>
    <w:rsid w:val="00901254"/>
    <w:rsid w:val="009013DB"/>
    <w:rsid w:val="00901A1E"/>
    <w:rsid w:val="00902146"/>
    <w:rsid w:val="0090247E"/>
    <w:rsid w:val="00903031"/>
    <w:rsid w:val="00903EC4"/>
    <w:rsid w:val="009045B5"/>
    <w:rsid w:val="00904CAE"/>
    <w:rsid w:val="009059CF"/>
    <w:rsid w:val="00905A1D"/>
    <w:rsid w:val="00906341"/>
    <w:rsid w:val="00906434"/>
    <w:rsid w:val="0090670E"/>
    <w:rsid w:val="00906B76"/>
    <w:rsid w:val="009072A6"/>
    <w:rsid w:val="00907E09"/>
    <w:rsid w:val="00907EF4"/>
    <w:rsid w:val="00910601"/>
    <w:rsid w:val="00913086"/>
    <w:rsid w:val="00913173"/>
    <w:rsid w:val="009131A8"/>
    <w:rsid w:val="00913615"/>
    <w:rsid w:val="009136D9"/>
    <w:rsid w:val="00913A80"/>
    <w:rsid w:val="0091424E"/>
    <w:rsid w:val="00914667"/>
    <w:rsid w:val="00914947"/>
    <w:rsid w:val="00914CCD"/>
    <w:rsid w:val="009162B2"/>
    <w:rsid w:val="00916E29"/>
    <w:rsid w:val="00917178"/>
    <w:rsid w:val="00917DD3"/>
    <w:rsid w:val="00917EF0"/>
    <w:rsid w:val="009200EB"/>
    <w:rsid w:val="00921362"/>
    <w:rsid w:val="009216B1"/>
    <w:rsid w:val="00921DD0"/>
    <w:rsid w:val="00922568"/>
    <w:rsid w:val="009229F1"/>
    <w:rsid w:val="00922A34"/>
    <w:rsid w:val="0092362D"/>
    <w:rsid w:val="00923F5E"/>
    <w:rsid w:val="009241E4"/>
    <w:rsid w:val="009246C4"/>
    <w:rsid w:val="0092502D"/>
    <w:rsid w:val="009253D1"/>
    <w:rsid w:val="0092600D"/>
    <w:rsid w:val="00926652"/>
    <w:rsid w:val="00926D05"/>
    <w:rsid w:val="00926F45"/>
    <w:rsid w:val="00927292"/>
    <w:rsid w:val="0092748C"/>
    <w:rsid w:val="009274A5"/>
    <w:rsid w:val="009278BB"/>
    <w:rsid w:val="00930BA1"/>
    <w:rsid w:val="00930F17"/>
    <w:rsid w:val="009311C6"/>
    <w:rsid w:val="009312CF"/>
    <w:rsid w:val="009315FC"/>
    <w:rsid w:val="00931BF3"/>
    <w:rsid w:val="00933AC7"/>
    <w:rsid w:val="00934705"/>
    <w:rsid w:val="00934741"/>
    <w:rsid w:val="00934EF5"/>
    <w:rsid w:val="00935895"/>
    <w:rsid w:val="00936863"/>
    <w:rsid w:val="009368F0"/>
    <w:rsid w:val="00936B98"/>
    <w:rsid w:val="00936F86"/>
    <w:rsid w:val="00937C9A"/>
    <w:rsid w:val="00937DCE"/>
    <w:rsid w:val="0094013B"/>
    <w:rsid w:val="0094036C"/>
    <w:rsid w:val="0094052F"/>
    <w:rsid w:val="00940749"/>
    <w:rsid w:val="00940EEF"/>
    <w:rsid w:val="00940F18"/>
    <w:rsid w:val="009413E3"/>
    <w:rsid w:val="00941CB8"/>
    <w:rsid w:val="00942FE0"/>
    <w:rsid w:val="0094374E"/>
    <w:rsid w:val="00944BE2"/>
    <w:rsid w:val="00944F5D"/>
    <w:rsid w:val="009451C0"/>
    <w:rsid w:val="00945FF8"/>
    <w:rsid w:val="009462B4"/>
    <w:rsid w:val="00946F04"/>
    <w:rsid w:val="00946F47"/>
    <w:rsid w:val="00947166"/>
    <w:rsid w:val="00947271"/>
    <w:rsid w:val="00947599"/>
    <w:rsid w:val="009475CC"/>
    <w:rsid w:val="0094790B"/>
    <w:rsid w:val="00947DFF"/>
    <w:rsid w:val="00950623"/>
    <w:rsid w:val="0095085B"/>
    <w:rsid w:val="00950AC1"/>
    <w:rsid w:val="009510C2"/>
    <w:rsid w:val="00951130"/>
    <w:rsid w:val="00951782"/>
    <w:rsid w:val="00951B8C"/>
    <w:rsid w:val="009523CB"/>
    <w:rsid w:val="009535FC"/>
    <w:rsid w:val="00953F08"/>
    <w:rsid w:val="009547CE"/>
    <w:rsid w:val="00955777"/>
    <w:rsid w:val="00955C22"/>
    <w:rsid w:val="00955C64"/>
    <w:rsid w:val="00955E5F"/>
    <w:rsid w:val="0095612C"/>
    <w:rsid w:val="00956A3C"/>
    <w:rsid w:val="00956BDC"/>
    <w:rsid w:val="00957029"/>
    <w:rsid w:val="0095752C"/>
    <w:rsid w:val="00957B80"/>
    <w:rsid w:val="009604FD"/>
    <w:rsid w:val="009608E7"/>
    <w:rsid w:val="00960A23"/>
    <w:rsid w:val="00960B1C"/>
    <w:rsid w:val="00960F99"/>
    <w:rsid w:val="0096157E"/>
    <w:rsid w:val="00961990"/>
    <w:rsid w:val="009633C7"/>
    <w:rsid w:val="00963808"/>
    <w:rsid w:val="009644D0"/>
    <w:rsid w:val="0096493C"/>
    <w:rsid w:val="0096509A"/>
    <w:rsid w:val="0096541E"/>
    <w:rsid w:val="00965FAF"/>
    <w:rsid w:val="00966C76"/>
    <w:rsid w:val="00966CB2"/>
    <w:rsid w:val="009671F5"/>
    <w:rsid w:val="009677F9"/>
    <w:rsid w:val="00967D71"/>
    <w:rsid w:val="0097123C"/>
    <w:rsid w:val="0097150D"/>
    <w:rsid w:val="00971783"/>
    <w:rsid w:val="0097227D"/>
    <w:rsid w:val="009722A9"/>
    <w:rsid w:val="00973818"/>
    <w:rsid w:val="00973C6F"/>
    <w:rsid w:val="00974283"/>
    <w:rsid w:val="0097461C"/>
    <w:rsid w:val="0097487A"/>
    <w:rsid w:val="00975B03"/>
    <w:rsid w:val="00976262"/>
    <w:rsid w:val="009801A1"/>
    <w:rsid w:val="009806D6"/>
    <w:rsid w:val="00980EF2"/>
    <w:rsid w:val="0098104A"/>
    <w:rsid w:val="009814A5"/>
    <w:rsid w:val="0098152F"/>
    <w:rsid w:val="00981979"/>
    <w:rsid w:val="00981F70"/>
    <w:rsid w:val="00982112"/>
    <w:rsid w:val="00982F9B"/>
    <w:rsid w:val="00983107"/>
    <w:rsid w:val="0098341B"/>
    <w:rsid w:val="00983980"/>
    <w:rsid w:val="00984CBA"/>
    <w:rsid w:val="00985726"/>
    <w:rsid w:val="00985EE3"/>
    <w:rsid w:val="0098667A"/>
    <w:rsid w:val="00986A4C"/>
    <w:rsid w:val="00986B09"/>
    <w:rsid w:val="009876D5"/>
    <w:rsid w:val="00990827"/>
    <w:rsid w:val="0099082B"/>
    <w:rsid w:val="0099091A"/>
    <w:rsid w:val="00990A6B"/>
    <w:rsid w:val="0099175A"/>
    <w:rsid w:val="00991CFB"/>
    <w:rsid w:val="00992382"/>
    <w:rsid w:val="00992A24"/>
    <w:rsid w:val="00992D73"/>
    <w:rsid w:val="00993022"/>
    <w:rsid w:val="009931E4"/>
    <w:rsid w:val="009932D6"/>
    <w:rsid w:val="00993366"/>
    <w:rsid w:val="009941B6"/>
    <w:rsid w:val="00994D17"/>
    <w:rsid w:val="00994FB5"/>
    <w:rsid w:val="0099516D"/>
    <w:rsid w:val="00995DA0"/>
    <w:rsid w:val="00996AF5"/>
    <w:rsid w:val="00996B7A"/>
    <w:rsid w:val="00997084"/>
    <w:rsid w:val="0099793A"/>
    <w:rsid w:val="009A05F1"/>
    <w:rsid w:val="009A0BA9"/>
    <w:rsid w:val="009A15FC"/>
    <w:rsid w:val="009A214A"/>
    <w:rsid w:val="009A22D6"/>
    <w:rsid w:val="009A28DB"/>
    <w:rsid w:val="009A32F9"/>
    <w:rsid w:val="009A433F"/>
    <w:rsid w:val="009A4E59"/>
    <w:rsid w:val="009A51FE"/>
    <w:rsid w:val="009A5578"/>
    <w:rsid w:val="009A5898"/>
    <w:rsid w:val="009A6927"/>
    <w:rsid w:val="009A6B33"/>
    <w:rsid w:val="009A6E9D"/>
    <w:rsid w:val="009A7136"/>
    <w:rsid w:val="009A7F57"/>
    <w:rsid w:val="009B021E"/>
    <w:rsid w:val="009B024C"/>
    <w:rsid w:val="009B108E"/>
    <w:rsid w:val="009B129D"/>
    <w:rsid w:val="009B16AD"/>
    <w:rsid w:val="009B17C9"/>
    <w:rsid w:val="009B206F"/>
    <w:rsid w:val="009B35FD"/>
    <w:rsid w:val="009B398A"/>
    <w:rsid w:val="009B451C"/>
    <w:rsid w:val="009B4705"/>
    <w:rsid w:val="009B4745"/>
    <w:rsid w:val="009B479F"/>
    <w:rsid w:val="009B4A42"/>
    <w:rsid w:val="009B4E00"/>
    <w:rsid w:val="009B511E"/>
    <w:rsid w:val="009B5444"/>
    <w:rsid w:val="009B6138"/>
    <w:rsid w:val="009B6151"/>
    <w:rsid w:val="009B746D"/>
    <w:rsid w:val="009B779B"/>
    <w:rsid w:val="009B7D1E"/>
    <w:rsid w:val="009C141A"/>
    <w:rsid w:val="009C2524"/>
    <w:rsid w:val="009C437E"/>
    <w:rsid w:val="009C5C64"/>
    <w:rsid w:val="009C72BA"/>
    <w:rsid w:val="009C7C68"/>
    <w:rsid w:val="009D02D1"/>
    <w:rsid w:val="009D1387"/>
    <w:rsid w:val="009D2028"/>
    <w:rsid w:val="009D2B2C"/>
    <w:rsid w:val="009D2CE7"/>
    <w:rsid w:val="009D2E6C"/>
    <w:rsid w:val="009D3BDE"/>
    <w:rsid w:val="009D3CF0"/>
    <w:rsid w:val="009D3FC8"/>
    <w:rsid w:val="009D4937"/>
    <w:rsid w:val="009D6783"/>
    <w:rsid w:val="009D68D7"/>
    <w:rsid w:val="009D6A49"/>
    <w:rsid w:val="009D6BA7"/>
    <w:rsid w:val="009D6CDE"/>
    <w:rsid w:val="009D701B"/>
    <w:rsid w:val="009E0208"/>
    <w:rsid w:val="009E0B61"/>
    <w:rsid w:val="009E17CC"/>
    <w:rsid w:val="009E1F4A"/>
    <w:rsid w:val="009E2EDB"/>
    <w:rsid w:val="009E3BA7"/>
    <w:rsid w:val="009E5571"/>
    <w:rsid w:val="009E5647"/>
    <w:rsid w:val="009E595D"/>
    <w:rsid w:val="009E5CBB"/>
    <w:rsid w:val="009E6781"/>
    <w:rsid w:val="009E6A53"/>
    <w:rsid w:val="009F019F"/>
    <w:rsid w:val="009F01F3"/>
    <w:rsid w:val="009F156C"/>
    <w:rsid w:val="009F1CB0"/>
    <w:rsid w:val="009F1D74"/>
    <w:rsid w:val="009F1E46"/>
    <w:rsid w:val="009F28C1"/>
    <w:rsid w:val="009F4C34"/>
    <w:rsid w:val="009F507F"/>
    <w:rsid w:val="009F5E17"/>
    <w:rsid w:val="009F6B7B"/>
    <w:rsid w:val="009F7A0D"/>
    <w:rsid w:val="009F7BD3"/>
    <w:rsid w:val="009F7FD5"/>
    <w:rsid w:val="00A01C75"/>
    <w:rsid w:val="00A020BD"/>
    <w:rsid w:val="00A0230B"/>
    <w:rsid w:val="00A0230D"/>
    <w:rsid w:val="00A0286D"/>
    <w:rsid w:val="00A02AD3"/>
    <w:rsid w:val="00A02BFE"/>
    <w:rsid w:val="00A02E8F"/>
    <w:rsid w:val="00A04740"/>
    <w:rsid w:val="00A04B08"/>
    <w:rsid w:val="00A04BD2"/>
    <w:rsid w:val="00A04E97"/>
    <w:rsid w:val="00A0529F"/>
    <w:rsid w:val="00A05405"/>
    <w:rsid w:val="00A05460"/>
    <w:rsid w:val="00A05A61"/>
    <w:rsid w:val="00A06026"/>
    <w:rsid w:val="00A0637C"/>
    <w:rsid w:val="00A06FEA"/>
    <w:rsid w:val="00A07DCF"/>
    <w:rsid w:val="00A1058E"/>
    <w:rsid w:val="00A105C6"/>
    <w:rsid w:val="00A10630"/>
    <w:rsid w:val="00A11629"/>
    <w:rsid w:val="00A11832"/>
    <w:rsid w:val="00A11AB8"/>
    <w:rsid w:val="00A11BF6"/>
    <w:rsid w:val="00A12B6B"/>
    <w:rsid w:val="00A12C6B"/>
    <w:rsid w:val="00A12E31"/>
    <w:rsid w:val="00A13729"/>
    <w:rsid w:val="00A13798"/>
    <w:rsid w:val="00A1413B"/>
    <w:rsid w:val="00A14550"/>
    <w:rsid w:val="00A14647"/>
    <w:rsid w:val="00A146EF"/>
    <w:rsid w:val="00A14881"/>
    <w:rsid w:val="00A14A1F"/>
    <w:rsid w:val="00A14B7E"/>
    <w:rsid w:val="00A15304"/>
    <w:rsid w:val="00A15A2E"/>
    <w:rsid w:val="00A15D7E"/>
    <w:rsid w:val="00A16153"/>
    <w:rsid w:val="00A161DC"/>
    <w:rsid w:val="00A1620C"/>
    <w:rsid w:val="00A16931"/>
    <w:rsid w:val="00A16ADE"/>
    <w:rsid w:val="00A16CCD"/>
    <w:rsid w:val="00A16FC7"/>
    <w:rsid w:val="00A178A5"/>
    <w:rsid w:val="00A17A5E"/>
    <w:rsid w:val="00A17DB4"/>
    <w:rsid w:val="00A20881"/>
    <w:rsid w:val="00A2116C"/>
    <w:rsid w:val="00A211C5"/>
    <w:rsid w:val="00A21ABB"/>
    <w:rsid w:val="00A21B87"/>
    <w:rsid w:val="00A21C96"/>
    <w:rsid w:val="00A221F4"/>
    <w:rsid w:val="00A233D5"/>
    <w:rsid w:val="00A235D5"/>
    <w:rsid w:val="00A23653"/>
    <w:rsid w:val="00A237B5"/>
    <w:rsid w:val="00A24AF0"/>
    <w:rsid w:val="00A24CFC"/>
    <w:rsid w:val="00A24FB7"/>
    <w:rsid w:val="00A25160"/>
    <w:rsid w:val="00A262C8"/>
    <w:rsid w:val="00A26971"/>
    <w:rsid w:val="00A27481"/>
    <w:rsid w:val="00A27F87"/>
    <w:rsid w:val="00A300D5"/>
    <w:rsid w:val="00A307AD"/>
    <w:rsid w:val="00A31407"/>
    <w:rsid w:val="00A330BA"/>
    <w:rsid w:val="00A336F3"/>
    <w:rsid w:val="00A33C00"/>
    <w:rsid w:val="00A34085"/>
    <w:rsid w:val="00A35B63"/>
    <w:rsid w:val="00A35E4B"/>
    <w:rsid w:val="00A362C4"/>
    <w:rsid w:val="00A363E0"/>
    <w:rsid w:val="00A36A2C"/>
    <w:rsid w:val="00A36CA0"/>
    <w:rsid w:val="00A36CE9"/>
    <w:rsid w:val="00A37A3A"/>
    <w:rsid w:val="00A37C2E"/>
    <w:rsid w:val="00A37EE7"/>
    <w:rsid w:val="00A4049B"/>
    <w:rsid w:val="00A415BB"/>
    <w:rsid w:val="00A41643"/>
    <w:rsid w:val="00A41894"/>
    <w:rsid w:val="00A4195B"/>
    <w:rsid w:val="00A42D93"/>
    <w:rsid w:val="00A43803"/>
    <w:rsid w:val="00A43DDD"/>
    <w:rsid w:val="00A44135"/>
    <w:rsid w:val="00A449CC"/>
    <w:rsid w:val="00A45A6F"/>
    <w:rsid w:val="00A45C6C"/>
    <w:rsid w:val="00A45D41"/>
    <w:rsid w:val="00A45EE8"/>
    <w:rsid w:val="00A460F2"/>
    <w:rsid w:val="00A463A8"/>
    <w:rsid w:val="00A466D8"/>
    <w:rsid w:val="00A47077"/>
    <w:rsid w:val="00A47470"/>
    <w:rsid w:val="00A514AB"/>
    <w:rsid w:val="00A518FA"/>
    <w:rsid w:val="00A51B5E"/>
    <w:rsid w:val="00A52406"/>
    <w:rsid w:val="00A526FD"/>
    <w:rsid w:val="00A53105"/>
    <w:rsid w:val="00A533A4"/>
    <w:rsid w:val="00A53442"/>
    <w:rsid w:val="00A5390E"/>
    <w:rsid w:val="00A545C1"/>
    <w:rsid w:val="00A54759"/>
    <w:rsid w:val="00A54C4D"/>
    <w:rsid w:val="00A54E08"/>
    <w:rsid w:val="00A54EF3"/>
    <w:rsid w:val="00A54FF5"/>
    <w:rsid w:val="00A565C4"/>
    <w:rsid w:val="00A56618"/>
    <w:rsid w:val="00A566EE"/>
    <w:rsid w:val="00A567A1"/>
    <w:rsid w:val="00A56BD3"/>
    <w:rsid w:val="00A570FF"/>
    <w:rsid w:val="00A61C42"/>
    <w:rsid w:val="00A61FC4"/>
    <w:rsid w:val="00A62654"/>
    <w:rsid w:val="00A62B30"/>
    <w:rsid w:val="00A63F7D"/>
    <w:rsid w:val="00A641EB"/>
    <w:rsid w:val="00A64391"/>
    <w:rsid w:val="00A64F98"/>
    <w:rsid w:val="00A66DFA"/>
    <w:rsid w:val="00A67D9F"/>
    <w:rsid w:val="00A701AB"/>
    <w:rsid w:val="00A70306"/>
    <w:rsid w:val="00A704D0"/>
    <w:rsid w:val="00A70978"/>
    <w:rsid w:val="00A70C28"/>
    <w:rsid w:val="00A70CBD"/>
    <w:rsid w:val="00A71944"/>
    <w:rsid w:val="00A71BCF"/>
    <w:rsid w:val="00A71C07"/>
    <w:rsid w:val="00A71DBC"/>
    <w:rsid w:val="00A7235A"/>
    <w:rsid w:val="00A723AA"/>
    <w:rsid w:val="00A72444"/>
    <w:rsid w:val="00A727F5"/>
    <w:rsid w:val="00A72F18"/>
    <w:rsid w:val="00A73608"/>
    <w:rsid w:val="00A73C6C"/>
    <w:rsid w:val="00A76117"/>
    <w:rsid w:val="00A76C3D"/>
    <w:rsid w:val="00A76C7C"/>
    <w:rsid w:val="00A774AA"/>
    <w:rsid w:val="00A7755E"/>
    <w:rsid w:val="00A80740"/>
    <w:rsid w:val="00A82002"/>
    <w:rsid w:val="00A824CB"/>
    <w:rsid w:val="00A8304B"/>
    <w:rsid w:val="00A84D0F"/>
    <w:rsid w:val="00A8572B"/>
    <w:rsid w:val="00A85B8A"/>
    <w:rsid w:val="00A86213"/>
    <w:rsid w:val="00A86360"/>
    <w:rsid w:val="00A8651C"/>
    <w:rsid w:val="00A86EAC"/>
    <w:rsid w:val="00A86ED9"/>
    <w:rsid w:val="00A8729A"/>
    <w:rsid w:val="00A87706"/>
    <w:rsid w:val="00A87CC4"/>
    <w:rsid w:val="00A87FFE"/>
    <w:rsid w:val="00A90E5C"/>
    <w:rsid w:val="00A91F73"/>
    <w:rsid w:val="00A92C7D"/>
    <w:rsid w:val="00A92E79"/>
    <w:rsid w:val="00A93115"/>
    <w:rsid w:val="00A93142"/>
    <w:rsid w:val="00A94C41"/>
    <w:rsid w:val="00A95488"/>
    <w:rsid w:val="00A957A3"/>
    <w:rsid w:val="00A95848"/>
    <w:rsid w:val="00A95961"/>
    <w:rsid w:val="00A965A0"/>
    <w:rsid w:val="00A96628"/>
    <w:rsid w:val="00A96AC4"/>
    <w:rsid w:val="00A96DC0"/>
    <w:rsid w:val="00A97774"/>
    <w:rsid w:val="00A97D78"/>
    <w:rsid w:val="00AA0373"/>
    <w:rsid w:val="00AA0A74"/>
    <w:rsid w:val="00AA1286"/>
    <w:rsid w:val="00AA1896"/>
    <w:rsid w:val="00AA1B57"/>
    <w:rsid w:val="00AA1F87"/>
    <w:rsid w:val="00AA2BFB"/>
    <w:rsid w:val="00AA2E53"/>
    <w:rsid w:val="00AA35F6"/>
    <w:rsid w:val="00AA48C4"/>
    <w:rsid w:val="00AA5493"/>
    <w:rsid w:val="00AA561E"/>
    <w:rsid w:val="00AA60D3"/>
    <w:rsid w:val="00AA6588"/>
    <w:rsid w:val="00AA6869"/>
    <w:rsid w:val="00AA688C"/>
    <w:rsid w:val="00AA6FC6"/>
    <w:rsid w:val="00AA789A"/>
    <w:rsid w:val="00AA7BC1"/>
    <w:rsid w:val="00AB00B6"/>
    <w:rsid w:val="00AB02AF"/>
    <w:rsid w:val="00AB06F5"/>
    <w:rsid w:val="00AB092B"/>
    <w:rsid w:val="00AB11CC"/>
    <w:rsid w:val="00AB1AC4"/>
    <w:rsid w:val="00AB1C26"/>
    <w:rsid w:val="00AB1C3F"/>
    <w:rsid w:val="00AB1E62"/>
    <w:rsid w:val="00AB210C"/>
    <w:rsid w:val="00AB38CA"/>
    <w:rsid w:val="00AB4ABC"/>
    <w:rsid w:val="00AB5298"/>
    <w:rsid w:val="00AB541A"/>
    <w:rsid w:val="00AB5569"/>
    <w:rsid w:val="00AB5BF6"/>
    <w:rsid w:val="00AB651D"/>
    <w:rsid w:val="00AB69A8"/>
    <w:rsid w:val="00AB6AEC"/>
    <w:rsid w:val="00AB79AD"/>
    <w:rsid w:val="00AB7C93"/>
    <w:rsid w:val="00AB7E8E"/>
    <w:rsid w:val="00AC0612"/>
    <w:rsid w:val="00AC0637"/>
    <w:rsid w:val="00AC0791"/>
    <w:rsid w:val="00AC0F33"/>
    <w:rsid w:val="00AC0FE0"/>
    <w:rsid w:val="00AC1B2F"/>
    <w:rsid w:val="00AC1DA5"/>
    <w:rsid w:val="00AC2020"/>
    <w:rsid w:val="00AC2467"/>
    <w:rsid w:val="00AC2989"/>
    <w:rsid w:val="00AC2A64"/>
    <w:rsid w:val="00AC3384"/>
    <w:rsid w:val="00AC49B1"/>
    <w:rsid w:val="00AC4A70"/>
    <w:rsid w:val="00AC4AFA"/>
    <w:rsid w:val="00AC582B"/>
    <w:rsid w:val="00AC5AEA"/>
    <w:rsid w:val="00AC5AEE"/>
    <w:rsid w:val="00AC5DA3"/>
    <w:rsid w:val="00AC6A7D"/>
    <w:rsid w:val="00AC738D"/>
    <w:rsid w:val="00AC7EBF"/>
    <w:rsid w:val="00AD0611"/>
    <w:rsid w:val="00AD08A3"/>
    <w:rsid w:val="00AD1D20"/>
    <w:rsid w:val="00AD25ED"/>
    <w:rsid w:val="00AD2B6E"/>
    <w:rsid w:val="00AD2FB2"/>
    <w:rsid w:val="00AD32F2"/>
    <w:rsid w:val="00AD3D14"/>
    <w:rsid w:val="00AD470C"/>
    <w:rsid w:val="00AD4955"/>
    <w:rsid w:val="00AD4BA6"/>
    <w:rsid w:val="00AD5727"/>
    <w:rsid w:val="00AD5A8D"/>
    <w:rsid w:val="00AD60D3"/>
    <w:rsid w:val="00AD721A"/>
    <w:rsid w:val="00AD74B5"/>
    <w:rsid w:val="00AD787E"/>
    <w:rsid w:val="00AD7B7A"/>
    <w:rsid w:val="00AE006B"/>
    <w:rsid w:val="00AE0378"/>
    <w:rsid w:val="00AE0CBC"/>
    <w:rsid w:val="00AE1401"/>
    <w:rsid w:val="00AE19E1"/>
    <w:rsid w:val="00AE19E4"/>
    <w:rsid w:val="00AE1A4A"/>
    <w:rsid w:val="00AE1FAA"/>
    <w:rsid w:val="00AE27A8"/>
    <w:rsid w:val="00AE2963"/>
    <w:rsid w:val="00AE3C2C"/>
    <w:rsid w:val="00AE3CB6"/>
    <w:rsid w:val="00AE3D7B"/>
    <w:rsid w:val="00AE4744"/>
    <w:rsid w:val="00AE4C53"/>
    <w:rsid w:val="00AE5048"/>
    <w:rsid w:val="00AE555E"/>
    <w:rsid w:val="00AE6FEF"/>
    <w:rsid w:val="00AE7429"/>
    <w:rsid w:val="00AF032B"/>
    <w:rsid w:val="00AF0354"/>
    <w:rsid w:val="00AF06AE"/>
    <w:rsid w:val="00AF0FF8"/>
    <w:rsid w:val="00AF17DB"/>
    <w:rsid w:val="00AF278A"/>
    <w:rsid w:val="00AF2F7E"/>
    <w:rsid w:val="00AF30D5"/>
    <w:rsid w:val="00AF373C"/>
    <w:rsid w:val="00AF3C1B"/>
    <w:rsid w:val="00AF3E17"/>
    <w:rsid w:val="00AF4481"/>
    <w:rsid w:val="00AF4C94"/>
    <w:rsid w:val="00AF54CD"/>
    <w:rsid w:val="00AF5A24"/>
    <w:rsid w:val="00AF5DC5"/>
    <w:rsid w:val="00AF6098"/>
    <w:rsid w:val="00AF64C8"/>
    <w:rsid w:val="00AF76CE"/>
    <w:rsid w:val="00AF7D19"/>
    <w:rsid w:val="00B008F2"/>
    <w:rsid w:val="00B00EB6"/>
    <w:rsid w:val="00B01105"/>
    <w:rsid w:val="00B01280"/>
    <w:rsid w:val="00B0226C"/>
    <w:rsid w:val="00B022DA"/>
    <w:rsid w:val="00B02C82"/>
    <w:rsid w:val="00B02EAA"/>
    <w:rsid w:val="00B0304A"/>
    <w:rsid w:val="00B033CE"/>
    <w:rsid w:val="00B0392C"/>
    <w:rsid w:val="00B0394C"/>
    <w:rsid w:val="00B04943"/>
    <w:rsid w:val="00B0503B"/>
    <w:rsid w:val="00B054A8"/>
    <w:rsid w:val="00B05551"/>
    <w:rsid w:val="00B055E2"/>
    <w:rsid w:val="00B062A7"/>
    <w:rsid w:val="00B065C2"/>
    <w:rsid w:val="00B06B6C"/>
    <w:rsid w:val="00B0741E"/>
    <w:rsid w:val="00B07795"/>
    <w:rsid w:val="00B07E20"/>
    <w:rsid w:val="00B07F4D"/>
    <w:rsid w:val="00B10759"/>
    <w:rsid w:val="00B107BA"/>
    <w:rsid w:val="00B110DC"/>
    <w:rsid w:val="00B1130A"/>
    <w:rsid w:val="00B118C6"/>
    <w:rsid w:val="00B11B8E"/>
    <w:rsid w:val="00B11F43"/>
    <w:rsid w:val="00B124C2"/>
    <w:rsid w:val="00B12EBF"/>
    <w:rsid w:val="00B1370D"/>
    <w:rsid w:val="00B13B9B"/>
    <w:rsid w:val="00B13F4D"/>
    <w:rsid w:val="00B14065"/>
    <w:rsid w:val="00B14314"/>
    <w:rsid w:val="00B145E9"/>
    <w:rsid w:val="00B148D7"/>
    <w:rsid w:val="00B14AA2"/>
    <w:rsid w:val="00B14AF5"/>
    <w:rsid w:val="00B14CC6"/>
    <w:rsid w:val="00B14CEC"/>
    <w:rsid w:val="00B15F97"/>
    <w:rsid w:val="00B208A0"/>
    <w:rsid w:val="00B21E02"/>
    <w:rsid w:val="00B22AF8"/>
    <w:rsid w:val="00B22DAC"/>
    <w:rsid w:val="00B23123"/>
    <w:rsid w:val="00B2351C"/>
    <w:rsid w:val="00B2382C"/>
    <w:rsid w:val="00B2461D"/>
    <w:rsid w:val="00B256CC"/>
    <w:rsid w:val="00B2581E"/>
    <w:rsid w:val="00B25AE2"/>
    <w:rsid w:val="00B2748D"/>
    <w:rsid w:val="00B27CE8"/>
    <w:rsid w:val="00B302E0"/>
    <w:rsid w:val="00B30481"/>
    <w:rsid w:val="00B306E0"/>
    <w:rsid w:val="00B31465"/>
    <w:rsid w:val="00B32512"/>
    <w:rsid w:val="00B32F96"/>
    <w:rsid w:val="00B3368B"/>
    <w:rsid w:val="00B337DE"/>
    <w:rsid w:val="00B349B8"/>
    <w:rsid w:val="00B34DA2"/>
    <w:rsid w:val="00B35BB9"/>
    <w:rsid w:val="00B37A38"/>
    <w:rsid w:val="00B37D43"/>
    <w:rsid w:val="00B4025B"/>
    <w:rsid w:val="00B408D4"/>
    <w:rsid w:val="00B40B4C"/>
    <w:rsid w:val="00B41D77"/>
    <w:rsid w:val="00B41F64"/>
    <w:rsid w:val="00B42410"/>
    <w:rsid w:val="00B431D8"/>
    <w:rsid w:val="00B43C31"/>
    <w:rsid w:val="00B43FEC"/>
    <w:rsid w:val="00B44500"/>
    <w:rsid w:val="00B449A6"/>
    <w:rsid w:val="00B449AD"/>
    <w:rsid w:val="00B45701"/>
    <w:rsid w:val="00B45D98"/>
    <w:rsid w:val="00B46FC4"/>
    <w:rsid w:val="00B47046"/>
    <w:rsid w:val="00B473EA"/>
    <w:rsid w:val="00B47A35"/>
    <w:rsid w:val="00B47EC5"/>
    <w:rsid w:val="00B50565"/>
    <w:rsid w:val="00B50D0D"/>
    <w:rsid w:val="00B51E5B"/>
    <w:rsid w:val="00B51EAC"/>
    <w:rsid w:val="00B5205B"/>
    <w:rsid w:val="00B5429A"/>
    <w:rsid w:val="00B543BD"/>
    <w:rsid w:val="00B54708"/>
    <w:rsid w:val="00B548D3"/>
    <w:rsid w:val="00B54FBC"/>
    <w:rsid w:val="00B552A3"/>
    <w:rsid w:val="00B553C0"/>
    <w:rsid w:val="00B55C47"/>
    <w:rsid w:val="00B5618D"/>
    <w:rsid w:val="00B56311"/>
    <w:rsid w:val="00B578DC"/>
    <w:rsid w:val="00B579E3"/>
    <w:rsid w:val="00B6019D"/>
    <w:rsid w:val="00B604B3"/>
    <w:rsid w:val="00B60945"/>
    <w:rsid w:val="00B60FFB"/>
    <w:rsid w:val="00B615E2"/>
    <w:rsid w:val="00B62693"/>
    <w:rsid w:val="00B63A43"/>
    <w:rsid w:val="00B63C00"/>
    <w:rsid w:val="00B63DDF"/>
    <w:rsid w:val="00B640F4"/>
    <w:rsid w:val="00B642F1"/>
    <w:rsid w:val="00B64AA1"/>
    <w:rsid w:val="00B6526F"/>
    <w:rsid w:val="00B65721"/>
    <w:rsid w:val="00B65893"/>
    <w:rsid w:val="00B658B6"/>
    <w:rsid w:val="00B65948"/>
    <w:rsid w:val="00B65DBE"/>
    <w:rsid w:val="00B66014"/>
    <w:rsid w:val="00B66E59"/>
    <w:rsid w:val="00B6795F"/>
    <w:rsid w:val="00B67F14"/>
    <w:rsid w:val="00B71103"/>
    <w:rsid w:val="00B71206"/>
    <w:rsid w:val="00B71A51"/>
    <w:rsid w:val="00B71DA7"/>
    <w:rsid w:val="00B721E5"/>
    <w:rsid w:val="00B72472"/>
    <w:rsid w:val="00B72A10"/>
    <w:rsid w:val="00B73619"/>
    <w:rsid w:val="00B73DFF"/>
    <w:rsid w:val="00B73EE7"/>
    <w:rsid w:val="00B74366"/>
    <w:rsid w:val="00B74A65"/>
    <w:rsid w:val="00B75791"/>
    <w:rsid w:val="00B75AD3"/>
    <w:rsid w:val="00B7662A"/>
    <w:rsid w:val="00B76C8A"/>
    <w:rsid w:val="00B76D46"/>
    <w:rsid w:val="00B76DBA"/>
    <w:rsid w:val="00B76F1C"/>
    <w:rsid w:val="00B771F5"/>
    <w:rsid w:val="00B77564"/>
    <w:rsid w:val="00B7756E"/>
    <w:rsid w:val="00B800A7"/>
    <w:rsid w:val="00B81359"/>
    <w:rsid w:val="00B81701"/>
    <w:rsid w:val="00B82228"/>
    <w:rsid w:val="00B822BD"/>
    <w:rsid w:val="00B824DB"/>
    <w:rsid w:val="00B827BC"/>
    <w:rsid w:val="00B8332C"/>
    <w:rsid w:val="00B845DF"/>
    <w:rsid w:val="00B846E5"/>
    <w:rsid w:val="00B85A3A"/>
    <w:rsid w:val="00B861CB"/>
    <w:rsid w:val="00B86EA4"/>
    <w:rsid w:val="00B87252"/>
    <w:rsid w:val="00B8730B"/>
    <w:rsid w:val="00B8772F"/>
    <w:rsid w:val="00B87CDB"/>
    <w:rsid w:val="00B87F8D"/>
    <w:rsid w:val="00B90EE0"/>
    <w:rsid w:val="00B91D85"/>
    <w:rsid w:val="00B925EF"/>
    <w:rsid w:val="00B92746"/>
    <w:rsid w:val="00B92E2D"/>
    <w:rsid w:val="00B9318B"/>
    <w:rsid w:val="00B93480"/>
    <w:rsid w:val="00B93CEA"/>
    <w:rsid w:val="00B93D18"/>
    <w:rsid w:val="00B940C1"/>
    <w:rsid w:val="00B9419B"/>
    <w:rsid w:val="00B94637"/>
    <w:rsid w:val="00B9522D"/>
    <w:rsid w:val="00B959F6"/>
    <w:rsid w:val="00B963B6"/>
    <w:rsid w:val="00B96690"/>
    <w:rsid w:val="00B968BB"/>
    <w:rsid w:val="00B96A2C"/>
    <w:rsid w:val="00B97E90"/>
    <w:rsid w:val="00B97EDF"/>
    <w:rsid w:val="00BA15CA"/>
    <w:rsid w:val="00BA15D7"/>
    <w:rsid w:val="00BA1CD3"/>
    <w:rsid w:val="00BA3064"/>
    <w:rsid w:val="00BA3113"/>
    <w:rsid w:val="00BA3347"/>
    <w:rsid w:val="00BA3DD4"/>
    <w:rsid w:val="00BA42CB"/>
    <w:rsid w:val="00BA64ED"/>
    <w:rsid w:val="00BA6B31"/>
    <w:rsid w:val="00BA6E92"/>
    <w:rsid w:val="00BA7204"/>
    <w:rsid w:val="00BA7A4E"/>
    <w:rsid w:val="00BB028C"/>
    <w:rsid w:val="00BB0DDC"/>
    <w:rsid w:val="00BB107C"/>
    <w:rsid w:val="00BB10CA"/>
    <w:rsid w:val="00BB19E1"/>
    <w:rsid w:val="00BB1A85"/>
    <w:rsid w:val="00BB29C4"/>
    <w:rsid w:val="00BB2CD1"/>
    <w:rsid w:val="00BB3021"/>
    <w:rsid w:val="00BB369D"/>
    <w:rsid w:val="00BB39AB"/>
    <w:rsid w:val="00BB3BDE"/>
    <w:rsid w:val="00BB3CFE"/>
    <w:rsid w:val="00BB4638"/>
    <w:rsid w:val="00BB4D5A"/>
    <w:rsid w:val="00BB53F1"/>
    <w:rsid w:val="00BB556B"/>
    <w:rsid w:val="00BB6A8D"/>
    <w:rsid w:val="00BB6B38"/>
    <w:rsid w:val="00BB7746"/>
    <w:rsid w:val="00BB7AC6"/>
    <w:rsid w:val="00BC00F4"/>
    <w:rsid w:val="00BC033E"/>
    <w:rsid w:val="00BC125D"/>
    <w:rsid w:val="00BC15F8"/>
    <w:rsid w:val="00BC1C7B"/>
    <w:rsid w:val="00BC1CDC"/>
    <w:rsid w:val="00BC20D0"/>
    <w:rsid w:val="00BC23C2"/>
    <w:rsid w:val="00BC2AE0"/>
    <w:rsid w:val="00BC2D5E"/>
    <w:rsid w:val="00BC3307"/>
    <w:rsid w:val="00BC37DA"/>
    <w:rsid w:val="00BC3C26"/>
    <w:rsid w:val="00BC3DAB"/>
    <w:rsid w:val="00BC409D"/>
    <w:rsid w:val="00BC5268"/>
    <w:rsid w:val="00BC54ED"/>
    <w:rsid w:val="00BC622A"/>
    <w:rsid w:val="00BC6EDB"/>
    <w:rsid w:val="00BC77B7"/>
    <w:rsid w:val="00BC7E9F"/>
    <w:rsid w:val="00BD0A40"/>
    <w:rsid w:val="00BD0C4A"/>
    <w:rsid w:val="00BD15BA"/>
    <w:rsid w:val="00BD2A53"/>
    <w:rsid w:val="00BD3086"/>
    <w:rsid w:val="00BD44C6"/>
    <w:rsid w:val="00BD4C17"/>
    <w:rsid w:val="00BD4E50"/>
    <w:rsid w:val="00BD5571"/>
    <w:rsid w:val="00BD5CD5"/>
    <w:rsid w:val="00BD64DD"/>
    <w:rsid w:val="00BD70EB"/>
    <w:rsid w:val="00BD7301"/>
    <w:rsid w:val="00BD7E99"/>
    <w:rsid w:val="00BE16CB"/>
    <w:rsid w:val="00BE1B7D"/>
    <w:rsid w:val="00BE1D6B"/>
    <w:rsid w:val="00BE22CA"/>
    <w:rsid w:val="00BE2AF3"/>
    <w:rsid w:val="00BE2CBD"/>
    <w:rsid w:val="00BE3824"/>
    <w:rsid w:val="00BE468A"/>
    <w:rsid w:val="00BE5D4C"/>
    <w:rsid w:val="00BE6092"/>
    <w:rsid w:val="00BE6729"/>
    <w:rsid w:val="00BE6D46"/>
    <w:rsid w:val="00BE6F27"/>
    <w:rsid w:val="00BE7485"/>
    <w:rsid w:val="00BF06EB"/>
    <w:rsid w:val="00BF0B8F"/>
    <w:rsid w:val="00BF11AA"/>
    <w:rsid w:val="00BF2885"/>
    <w:rsid w:val="00BF2916"/>
    <w:rsid w:val="00BF2B0C"/>
    <w:rsid w:val="00BF2D4B"/>
    <w:rsid w:val="00BF31E2"/>
    <w:rsid w:val="00BF348B"/>
    <w:rsid w:val="00BF3680"/>
    <w:rsid w:val="00BF40B2"/>
    <w:rsid w:val="00BF44C4"/>
    <w:rsid w:val="00BF44DC"/>
    <w:rsid w:val="00BF500E"/>
    <w:rsid w:val="00BF5260"/>
    <w:rsid w:val="00BF563C"/>
    <w:rsid w:val="00BF5C35"/>
    <w:rsid w:val="00BF5E01"/>
    <w:rsid w:val="00BF6882"/>
    <w:rsid w:val="00BF6A99"/>
    <w:rsid w:val="00BF714F"/>
    <w:rsid w:val="00BF75FC"/>
    <w:rsid w:val="00C003A1"/>
    <w:rsid w:val="00C011D0"/>
    <w:rsid w:val="00C0184A"/>
    <w:rsid w:val="00C01910"/>
    <w:rsid w:val="00C01BFE"/>
    <w:rsid w:val="00C021A5"/>
    <w:rsid w:val="00C02C35"/>
    <w:rsid w:val="00C02CA2"/>
    <w:rsid w:val="00C02E21"/>
    <w:rsid w:val="00C038B6"/>
    <w:rsid w:val="00C0444D"/>
    <w:rsid w:val="00C04750"/>
    <w:rsid w:val="00C04A22"/>
    <w:rsid w:val="00C0501C"/>
    <w:rsid w:val="00C054D1"/>
    <w:rsid w:val="00C05AA7"/>
    <w:rsid w:val="00C06153"/>
    <w:rsid w:val="00C06261"/>
    <w:rsid w:val="00C06D69"/>
    <w:rsid w:val="00C06E12"/>
    <w:rsid w:val="00C06EFE"/>
    <w:rsid w:val="00C06F9C"/>
    <w:rsid w:val="00C0703C"/>
    <w:rsid w:val="00C07484"/>
    <w:rsid w:val="00C1017C"/>
    <w:rsid w:val="00C1022E"/>
    <w:rsid w:val="00C1039D"/>
    <w:rsid w:val="00C10815"/>
    <w:rsid w:val="00C1223D"/>
    <w:rsid w:val="00C124BE"/>
    <w:rsid w:val="00C12998"/>
    <w:rsid w:val="00C13494"/>
    <w:rsid w:val="00C138FC"/>
    <w:rsid w:val="00C13F47"/>
    <w:rsid w:val="00C14793"/>
    <w:rsid w:val="00C1485D"/>
    <w:rsid w:val="00C15381"/>
    <w:rsid w:val="00C158BF"/>
    <w:rsid w:val="00C16986"/>
    <w:rsid w:val="00C16DAC"/>
    <w:rsid w:val="00C16E41"/>
    <w:rsid w:val="00C16FF7"/>
    <w:rsid w:val="00C171F3"/>
    <w:rsid w:val="00C1773C"/>
    <w:rsid w:val="00C17963"/>
    <w:rsid w:val="00C2069E"/>
    <w:rsid w:val="00C208C3"/>
    <w:rsid w:val="00C20970"/>
    <w:rsid w:val="00C20FDD"/>
    <w:rsid w:val="00C211D9"/>
    <w:rsid w:val="00C220F2"/>
    <w:rsid w:val="00C22426"/>
    <w:rsid w:val="00C23A88"/>
    <w:rsid w:val="00C23C2E"/>
    <w:rsid w:val="00C248FF"/>
    <w:rsid w:val="00C25935"/>
    <w:rsid w:val="00C278B5"/>
    <w:rsid w:val="00C27CEC"/>
    <w:rsid w:val="00C27EC9"/>
    <w:rsid w:val="00C30981"/>
    <w:rsid w:val="00C31336"/>
    <w:rsid w:val="00C3200D"/>
    <w:rsid w:val="00C325B7"/>
    <w:rsid w:val="00C32968"/>
    <w:rsid w:val="00C32A57"/>
    <w:rsid w:val="00C34277"/>
    <w:rsid w:val="00C347E7"/>
    <w:rsid w:val="00C34AEB"/>
    <w:rsid w:val="00C351EA"/>
    <w:rsid w:val="00C35AB6"/>
    <w:rsid w:val="00C3695A"/>
    <w:rsid w:val="00C36A87"/>
    <w:rsid w:val="00C36B97"/>
    <w:rsid w:val="00C37AC0"/>
    <w:rsid w:val="00C37D3F"/>
    <w:rsid w:val="00C40284"/>
    <w:rsid w:val="00C40B4B"/>
    <w:rsid w:val="00C40DE4"/>
    <w:rsid w:val="00C41C55"/>
    <w:rsid w:val="00C43E78"/>
    <w:rsid w:val="00C44314"/>
    <w:rsid w:val="00C4464E"/>
    <w:rsid w:val="00C45E1E"/>
    <w:rsid w:val="00C46AD9"/>
    <w:rsid w:val="00C46BB1"/>
    <w:rsid w:val="00C50BAC"/>
    <w:rsid w:val="00C51E69"/>
    <w:rsid w:val="00C52505"/>
    <w:rsid w:val="00C525E8"/>
    <w:rsid w:val="00C53C87"/>
    <w:rsid w:val="00C53F02"/>
    <w:rsid w:val="00C53F8B"/>
    <w:rsid w:val="00C54049"/>
    <w:rsid w:val="00C54DE5"/>
    <w:rsid w:val="00C556FA"/>
    <w:rsid w:val="00C56897"/>
    <w:rsid w:val="00C56976"/>
    <w:rsid w:val="00C56C07"/>
    <w:rsid w:val="00C56F23"/>
    <w:rsid w:val="00C574D1"/>
    <w:rsid w:val="00C57C61"/>
    <w:rsid w:val="00C601AC"/>
    <w:rsid w:val="00C60253"/>
    <w:rsid w:val="00C60267"/>
    <w:rsid w:val="00C6065A"/>
    <w:rsid w:val="00C60A4A"/>
    <w:rsid w:val="00C60AFF"/>
    <w:rsid w:val="00C619E6"/>
    <w:rsid w:val="00C61AB2"/>
    <w:rsid w:val="00C61DA1"/>
    <w:rsid w:val="00C61E98"/>
    <w:rsid w:val="00C6200C"/>
    <w:rsid w:val="00C62AD1"/>
    <w:rsid w:val="00C62CEC"/>
    <w:rsid w:val="00C62E99"/>
    <w:rsid w:val="00C634AF"/>
    <w:rsid w:val="00C6378F"/>
    <w:rsid w:val="00C6471B"/>
    <w:rsid w:val="00C655B6"/>
    <w:rsid w:val="00C65F35"/>
    <w:rsid w:val="00C665D5"/>
    <w:rsid w:val="00C670D4"/>
    <w:rsid w:val="00C67188"/>
    <w:rsid w:val="00C672BD"/>
    <w:rsid w:val="00C67615"/>
    <w:rsid w:val="00C679E7"/>
    <w:rsid w:val="00C704FF"/>
    <w:rsid w:val="00C7077E"/>
    <w:rsid w:val="00C70D06"/>
    <w:rsid w:val="00C7286E"/>
    <w:rsid w:val="00C729A3"/>
    <w:rsid w:val="00C73040"/>
    <w:rsid w:val="00C739B7"/>
    <w:rsid w:val="00C73A2A"/>
    <w:rsid w:val="00C74206"/>
    <w:rsid w:val="00C74B93"/>
    <w:rsid w:val="00C75768"/>
    <w:rsid w:val="00C75C9F"/>
    <w:rsid w:val="00C75E6A"/>
    <w:rsid w:val="00C75FF5"/>
    <w:rsid w:val="00C76921"/>
    <w:rsid w:val="00C76B7F"/>
    <w:rsid w:val="00C76BDC"/>
    <w:rsid w:val="00C76DB9"/>
    <w:rsid w:val="00C770CC"/>
    <w:rsid w:val="00C771E4"/>
    <w:rsid w:val="00C772D2"/>
    <w:rsid w:val="00C772DD"/>
    <w:rsid w:val="00C778B7"/>
    <w:rsid w:val="00C77AD8"/>
    <w:rsid w:val="00C77FC0"/>
    <w:rsid w:val="00C80FB3"/>
    <w:rsid w:val="00C8101B"/>
    <w:rsid w:val="00C81071"/>
    <w:rsid w:val="00C815BD"/>
    <w:rsid w:val="00C81C0B"/>
    <w:rsid w:val="00C83265"/>
    <w:rsid w:val="00C835FC"/>
    <w:rsid w:val="00C84FA1"/>
    <w:rsid w:val="00C878CB"/>
    <w:rsid w:val="00C90375"/>
    <w:rsid w:val="00C90800"/>
    <w:rsid w:val="00C90F79"/>
    <w:rsid w:val="00C90F9D"/>
    <w:rsid w:val="00C9114E"/>
    <w:rsid w:val="00C9117B"/>
    <w:rsid w:val="00C9120A"/>
    <w:rsid w:val="00C913DD"/>
    <w:rsid w:val="00C914FD"/>
    <w:rsid w:val="00C91871"/>
    <w:rsid w:val="00C9198C"/>
    <w:rsid w:val="00C9263B"/>
    <w:rsid w:val="00C9279A"/>
    <w:rsid w:val="00C92C82"/>
    <w:rsid w:val="00C92D42"/>
    <w:rsid w:val="00C932D5"/>
    <w:rsid w:val="00C9343C"/>
    <w:rsid w:val="00C93F3C"/>
    <w:rsid w:val="00C949CB"/>
    <w:rsid w:val="00C951A4"/>
    <w:rsid w:val="00C9544E"/>
    <w:rsid w:val="00C968BD"/>
    <w:rsid w:val="00C96DEF"/>
    <w:rsid w:val="00C96E26"/>
    <w:rsid w:val="00C973DC"/>
    <w:rsid w:val="00CA072D"/>
    <w:rsid w:val="00CA0E33"/>
    <w:rsid w:val="00CA1512"/>
    <w:rsid w:val="00CA17BC"/>
    <w:rsid w:val="00CA186A"/>
    <w:rsid w:val="00CA1946"/>
    <w:rsid w:val="00CA223C"/>
    <w:rsid w:val="00CA2409"/>
    <w:rsid w:val="00CA246E"/>
    <w:rsid w:val="00CA2A43"/>
    <w:rsid w:val="00CA3077"/>
    <w:rsid w:val="00CA3421"/>
    <w:rsid w:val="00CA3556"/>
    <w:rsid w:val="00CA53CF"/>
    <w:rsid w:val="00CA7F56"/>
    <w:rsid w:val="00CB01E4"/>
    <w:rsid w:val="00CB022E"/>
    <w:rsid w:val="00CB1006"/>
    <w:rsid w:val="00CB1355"/>
    <w:rsid w:val="00CB1646"/>
    <w:rsid w:val="00CB1838"/>
    <w:rsid w:val="00CB1E3F"/>
    <w:rsid w:val="00CB1F63"/>
    <w:rsid w:val="00CB1F89"/>
    <w:rsid w:val="00CB2647"/>
    <w:rsid w:val="00CB2C8D"/>
    <w:rsid w:val="00CB3316"/>
    <w:rsid w:val="00CB35E2"/>
    <w:rsid w:val="00CB35FC"/>
    <w:rsid w:val="00CB4C8B"/>
    <w:rsid w:val="00CB4F32"/>
    <w:rsid w:val="00CB555A"/>
    <w:rsid w:val="00CB55DA"/>
    <w:rsid w:val="00CB563C"/>
    <w:rsid w:val="00CB5C1D"/>
    <w:rsid w:val="00CB5CF1"/>
    <w:rsid w:val="00CB629B"/>
    <w:rsid w:val="00CB6856"/>
    <w:rsid w:val="00CB6F65"/>
    <w:rsid w:val="00CB74F0"/>
    <w:rsid w:val="00CC002A"/>
    <w:rsid w:val="00CC18C9"/>
    <w:rsid w:val="00CC1C62"/>
    <w:rsid w:val="00CC2AED"/>
    <w:rsid w:val="00CC2E5E"/>
    <w:rsid w:val="00CC3040"/>
    <w:rsid w:val="00CC30CE"/>
    <w:rsid w:val="00CC32B0"/>
    <w:rsid w:val="00CC42B7"/>
    <w:rsid w:val="00CC474B"/>
    <w:rsid w:val="00CC4BDE"/>
    <w:rsid w:val="00CC4FD2"/>
    <w:rsid w:val="00CC5374"/>
    <w:rsid w:val="00CC5EB1"/>
    <w:rsid w:val="00CC6130"/>
    <w:rsid w:val="00CC73A8"/>
    <w:rsid w:val="00CC7996"/>
    <w:rsid w:val="00CC7EBE"/>
    <w:rsid w:val="00CD0B5A"/>
    <w:rsid w:val="00CD10D4"/>
    <w:rsid w:val="00CD1F28"/>
    <w:rsid w:val="00CD20C1"/>
    <w:rsid w:val="00CD2184"/>
    <w:rsid w:val="00CD22C6"/>
    <w:rsid w:val="00CD2617"/>
    <w:rsid w:val="00CD2734"/>
    <w:rsid w:val="00CD29AE"/>
    <w:rsid w:val="00CD2B9D"/>
    <w:rsid w:val="00CD2F89"/>
    <w:rsid w:val="00CD36A9"/>
    <w:rsid w:val="00CD3819"/>
    <w:rsid w:val="00CD3EF4"/>
    <w:rsid w:val="00CD5319"/>
    <w:rsid w:val="00CD5FB9"/>
    <w:rsid w:val="00CD672E"/>
    <w:rsid w:val="00CD7811"/>
    <w:rsid w:val="00CD7A42"/>
    <w:rsid w:val="00CD7ADA"/>
    <w:rsid w:val="00CE0058"/>
    <w:rsid w:val="00CE0282"/>
    <w:rsid w:val="00CE04A6"/>
    <w:rsid w:val="00CE1407"/>
    <w:rsid w:val="00CE1836"/>
    <w:rsid w:val="00CE1A4B"/>
    <w:rsid w:val="00CE2AFB"/>
    <w:rsid w:val="00CE2D8B"/>
    <w:rsid w:val="00CE31DA"/>
    <w:rsid w:val="00CE3A54"/>
    <w:rsid w:val="00CE4505"/>
    <w:rsid w:val="00CE4B9A"/>
    <w:rsid w:val="00CE4DE3"/>
    <w:rsid w:val="00CE569D"/>
    <w:rsid w:val="00CE5EE9"/>
    <w:rsid w:val="00CE6D0E"/>
    <w:rsid w:val="00CE6FFC"/>
    <w:rsid w:val="00CF0617"/>
    <w:rsid w:val="00CF189D"/>
    <w:rsid w:val="00CF31E8"/>
    <w:rsid w:val="00CF3A3D"/>
    <w:rsid w:val="00CF3FB4"/>
    <w:rsid w:val="00CF5505"/>
    <w:rsid w:val="00CF55B2"/>
    <w:rsid w:val="00CF5994"/>
    <w:rsid w:val="00CF755F"/>
    <w:rsid w:val="00D01031"/>
    <w:rsid w:val="00D01C8F"/>
    <w:rsid w:val="00D01CA8"/>
    <w:rsid w:val="00D02DB9"/>
    <w:rsid w:val="00D0324E"/>
    <w:rsid w:val="00D03284"/>
    <w:rsid w:val="00D03AB7"/>
    <w:rsid w:val="00D03C0C"/>
    <w:rsid w:val="00D043EA"/>
    <w:rsid w:val="00D05E42"/>
    <w:rsid w:val="00D05E79"/>
    <w:rsid w:val="00D06736"/>
    <w:rsid w:val="00D07EF5"/>
    <w:rsid w:val="00D104EC"/>
    <w:rsid w:val="00D10538"/>
    <w:rsid w:val="00D106EF"/>
    <w:rsid w:val="00D10AE9"/>
    <w:rsid w:val="00D11D19"/>
    <w:rsid w:val="00D11E5B"/>
    <w:rsid w:val="00D12408"/>
    <w:rsid w:val="00D12D5A"/>
    <w:rsid w:val="00D130AB"/>
    <w:rsid w:val="00D130F1"/>
    <w:rsid w:val="00D1322B"/>
    <w:rsid w:val="00D134ED"/>
    <w:rsid w:val="00D13C63"/>
    <w:rsid w:val="00D13D3F"/>
    <w:rsid w:val="00D141E8"/>
    <w:rsid w:val="00D152C6"/>
    <w:rsid w:val="00D158DD"/>
    <w:rsid w:val="00D159A7"/>
    <w:rsid w:val="00D179F8"/>
    <w:rsid w:val="00D17C58"/>
    <w:rsid w:val="00D206AA"/>
    <w:rsid w:val="00D20BB1"/>
    <w:rsid w:val="00D2103F"/>
    <w:rsid w:val="00D220AF"/>
    <w:rsid w:val="00D2225E"/>
    <w:rsid w:val="00D229E7"/>
    <w:rsid w:val="00D22D3A"/>
    <w:rsid w:val="00D235A2"/>
    <w:rsid w:val="00D24B0D"/>
    <w:rsid w:val="00D24C7B"/>
    <w:rsid w:val="00D24D7B"/>
    <w:rsid w:val="00D24F15"/>
    <w:rsid w:val="00D258BB"/>
    <w:rsid w:val="00D262E1"/>
    <w:rsid w:val="00D26427"/>
    <w:rsid w:val="00D278C7"/>
    <w:rsid w:val="00D27A6E"/>
    <w:rsid w:val="00D3002B"/>
    <w:rsid w:val="00D309C3"/>
    <w:rsid w:val="00D30B93"/>
    <w:rsid w:val="00D3179A"/>
    <w:rsid w:val="00D31CE3"/>
    <w:rsid w:val="00D320A9"/>
    <w:rsid w:val="00D32601"/>
    <w:rsid w:val="00D3272B"/>
    <w:rsid w:val="00D32DB8"/>
    <w:rsid w:val="00D3310A"/>
    <w:rsid w:val="00D333D8"/>
    <w:rsid w:val="00D34C66"/>
    <w:rsid w:val="00D35264"/>
    <w:rsid w:val="00D35363"/>
    <w:rsid w:val="00D363A1"/>
    <w:rsid w:val="00D36527"/>
    <w:rsid w:val="00D36A60"/>
    <w:rsid w:val="00D373FD"/>
    <w:rsid w:val="00D37480"/>
    <w:rsid w:val="00D40017"/>
    <w:rsid w:val="00D41858"/>
    <w:rsid w:val="00D41FAA"/>
    <w:rsid w:val="00D4227F"/>
    <w:rsid w:val="00D437D2"/>
    <w:rsid w:val="00D43EAB"/>
    <w:rsid w:val="00D449ED"/>
    <w:rsid w:val="00D44D89"/>
    <w:rsid w:val="00D452ED"/>
    <w:rsid w:val="00D45802"/>
    <w:rsid w:val="00D45980"/>
    <w:rsid w:val="00D45A78"/>
    <w:rsid w:val="00D45D52"/>
    <w:rsid w:val="00D46A4A"/>
    <w:rsid w:val="00D46D4B"/>
    <w:rsid w:val="00D4722A"/>
    <w:rsid w:val="00D4765B"/>
    <w:rsid w:val="00D500B4"/>
    <w:rsid w:val="00D5139C"/>
    <w:rsid w:val="00D51649"/>
    <w:rsid w:val="00D519E7"/>
    <w:rsid w:val="00D5282D"/>
    <w:rsid w:val="00D530AD"/>
    <w:rsid w:val="00D53885"/>
    <w:rsid w:val="00D53C71"/>
    <w:rsid w:val="00D543AE"/>
    <w:rsid w:val="00D54496"/>
    <w:rsid w:val="00D544E9"/>
    <w:rsid w:val="00D54C7B"/>
    <w:rsid w:val="00D55723"/>
    <w:rsid w:val="00D55804"/>
    <w:rsid w:val="00D561E8"/>
    <w:rsid w:val="00D56C90"/>
    <w:rsid w:val="00D56EBC"/>
    <w:rsid w:val="00D5776D"/>
    <w:rsid w:val="00D604BA"/>
    <w:rsid w:val="00D60F1F"/>
    <w:rsid w:val="00D612F2"/>
    <w:rsid w:val="00D613B1"/>
    <w:rsid w:val="00D61412"/>
    <w:rsid w:val="00D62379"/>
    <w:rsid w:val="00D62AA8"/>
    <w:rsid w:val="00D62D71"/>
    <w:rsid w:val="00D62E0C"/>
    <w:rsid w:val="00D63083"/>
    <w:rsid w:val="00D63381"/>
    <w:rsid w:val="00D63DBF"/>
    <w:rsid w:val="00D6498F"/>
    <w:rsid w:val="00D64C97"/>
    <w:rsid w:val="00D64D57"/>
    <w:rsid w:val="00D653FE"/>
    <w:rsid w:val="00D714EC"/>
    <w:rsid w:val="00D71AEF"/>
    <w:rsid w:val="00D71E8B"/>
    <w:rsid w:val="00D72915"/>
    <w:rsid w:val="00D736C5"/>
    <w:rsid w:val="00D73E6D"/>
    <w:rsid w:val="00D73FA8"/>
    <w:rsid w:val="00D74293"/>
    <w:rsid w:val="00D743E2"/>
    <w:rsid w:val="00D757C7"/>
    <w:rsid w:val="00D75AA9"/>
    <w:rsid w:val="00D765B2"/>
    <w:rsid w:val="00D766C3"/>
    <w:rsid w:val="00D76C54"/>
    <w:rsid w:val="00D76D1A"/>
    <w:rsid w:val="00D771F0"/>
    <w:rsid w:val="00D8099E"/>
    <w:rsid w:val="00D80C73"/>
    <w:rsid w:val="00D80CDA"/>
    <w:rsid w:val="00D80DC1"/>
    <w:rsid w:val="00D80E05"/>
    <w:rsid w:val="00D80F5C"/>
    <w:rsid w:val="00D80FA3"/>
    <w:rsid w:val="00D81E60"/>
    <w:rsid w:val="00D83993"/>
    <w:rsid w:val="00D83F77"/>
    <w:rsid w:val="00D84646"/>
    <w:rsid w:val="00D847C0"/>
    <w:rsid w:val="00D849D3"/>
    <w:rsid w:val="00D84FA9"/>
    <w:rsid w:val="00D85499"/>
    <w:rsid w:val="00D854D6"/>
    <w:rsid w:val="00D856E4"/>
    <w:rsid w:val="00D86BCD"/>
    <w:rsid w:val="00D86C31"/>
    <w:rsid w:val="00D87D60"/>
    <w:rsid w:val="00D9012B"/>
    <w:rsid w:val="00D901BC"/>
    <w:rsid w:val="00D905D6"/>
    <w:rsid w:val="00D91B2F"/>
    <w:rsid w:val="00D91CC1"/>
    <w:rsid w:val="00D91D76"/>
    <w:rsid w:val="00D922A3"/>
    <w:rsid w:val="00D9270D"/>
    <w:rsid w:val="00D93274"/>
    <w:rsid w:val="00D947EE"/>
    <w:rsid w:val="00D9536E"/>
    <w:rsid w:val="00D960B8"/>
    <w:rsid w:val="00D961FF"/>
    <w:rsid w:val="00D96D23"/>
    <w:rsid w:val="00D96E4F"/>
    <w:rsid w:val="00D973EF"/>
    <w:rsid w:val="00D97B7F"/>
    <w:rsid w:val="00DA0DBA"/>
    <w:rsid w:val="00DA13D9"/>
    <w:rsid w:val="00DA177C"/>
    <w:rsid w:val="00DA1CE4"/>
    <w:rsid w:val="00DA2062"/>
    <w:rsid w:val="00DA2ABA"/>
    <w:rsid w:val="00DA3890"/>
    <w:rsid w:val="00DA4084"/>
    <w:rsid w:val="00DA4E3C"/>
    <w:rsid w:val="00DA5E02"/>
    <w:rsid w:val="00DA6EEB"/>
    <w:rsid w:val="00DA710C"/>
    <w:rsid w:val="00DA71BA"/>
    <w:rsid w:val="00DA7B87"/>
    <w:rsid w:val="00DB0041"/>
    <w:rsid w:val="00DB00DE"/>
    <w:rsid w:val="00DB04EA"/>
    <w:rsid w:val="00DB090E"/>
    <w:rsid w:val="00DB2472"/>
    <w:rsid w:val="00DB2495"/>
    <w:rsid w:val="00DB556D"/>
    <w:rsid w:val="00DB5DE6"/>
    <w:rsid w:val="00DB61B4"/>
    <w:rsid w:val="00DB6242"/>
    <w:rsid w:val="00DB68E1"/>
    <w:rsid w:val="00DB6A4F"/>
    <w:rsid w:val="00DB762D"/>
    <w:rsid w:val="00DC1A04"/>
    <w:rsid w:val="00DC1D13"/>
    <w:rsid w:val="00DC225D"/>
    <w:rsid w:val="00DC2EB9"/>
    <w:rsid w:val="00DC2F5D"/>
    <w:rsid w:val="00DC3561"/>
    <w:rsid w:val="00DC36EA"/>
    <w:rsid w:val="00DC4B88"/>
    <w:rsid w:val="00DC4CAD"/>
    <w:rsid w:val="00DC4D59"/>
    <w:rsid w:val="00DC50FB"/>
    <w:rsid w:val="00DC5292"/>
    <w:rsid w:val="00DC5C32"/>
    <w:rsid w:val="00DC5CD6"/>
    <w:rsid w:val="00DC5F1F"/>
    <w:rsid w:val="00DC63BF"/>
    <w:rsid w:val="00DC63E0"/>
    <w:rsid w:val="00DC7855"/>
    <w:rsid w:val="00DC7E87"/>
    <w:rsid w:val="00DD164F"/>
    <w:rsid w:val="00DD1F6E"/>
    <w:rsid w:val="00DD2073"/>
    <w:rsid w:val="00DD2117"/>
    <w:rsid w:val="00DD2503"/>
    <w:rsid w:val="00DD3098"/>
    <w:rsid w:val="00DD35F5"/>
    <w:rsid w:val="00DD365D"/>
    <w:rsid w:val="00DD3866"/>
    <w:rsid w:val="00DD4574"/>
    <w:rsid w:val="00DD4A09"/>
    <w:rsid w:val="00DD4F62"/>
    <w:rsid w:val="00DD5AC5"/>
    <w:rsid w:val="00DD7159"/>
    <w:rsid w:val="00DD7287"/>
    <w:rsid w:val="00DD77C5"/>
    <w:rsid w:val="00DE06D5"/>
    <w:rsid w:val="00DE0CBB"/>
    <w:rsid w:val="00DE0F35"/>
    <w:rsid w:val="00DE246B"/>
    <w:rsid w:val="00DE2875"/>
    <w:rsid w:val="00DE42FE"/>
    <w:rsid w:val="00DE4856"/>
    <w:rsid w:val="00DE48C7"/>
    <w:rsid w:val="00DE5EBC"/>
    <w:rsid w:val="00DE5F64"/>
    <w:rsid w:val="00DE6899"/>
    <w:rsid w:val="00DE7A76"/>
    <w:rsid w:val="00DE7C05"/>
    <w:rsid w:val="00DE7CD8"/>
    <w:rsid w:val="00DF0840"/>
    <w:rsid w:val="00DF0CC7"/>
    <w:rsid w:val="00DF173C"/>
    <w:rsid w:val="00DF1D4D"/>
    <w:rsid w:val="00DF21D7"/>
    <w:rsid w:val="00DF269D"/>
    <w:rsid w:val="00DF2723"/>
    <w:rsid w:val="00DF2C68"/>
    <w:rsid w:val="00DF30A8"/>
    <w:rsid w:val="00DF3473"/>
    <w:rsid w:val="00DF390F"/>
    <w:rsid w:val="00DF39AE"/>
    <w:rsid w:val="00DF3BFD"/>
    <w:rsid w:val="00DF3C1B"/>
    <w:rsid w:val="00DF5AD7"/>
    <w:rsid w:val="00DF5E26"/>
    <w:rsid w:val="00DF63D4"/>
    <w:rsid w:val="00DF668F"/>
    <w:rsid w:val="00DF7CEB"/>
    <w:rsid w:val="00E00065"/>
    <w:rsid w:val="00E00564"/>
    <w:rsid w:val="00E00A3B"/>
    <w:rsid w:val="00E0105F"/>
    <w:rsid w:val="00E01140"/>
    <w:rsid w:val="00E013D7"/>
    <w:rsid w:val="00E02112"/>
    <w:rsid w:val="00E024C2"/>
    <w:rsid w:val="00E026BD"/>
    <w:rsid w:val="00E02E73"/>
    <w:rsid w:val="00E031DF"/>
    <w:rsid w:val="00E0338C"/>
    <w:rsid w:val="00E034B6"/>
    <w:rsid w:val="00E0395B"/>
    <w:rsid w:val="00E03DAD"/>
    <w:rsid w:val="00E03E7C"/>
    <w:rsid w:val="00E03F96"/>
    <w:rsid w:val="00E0419F"/>
    <w:rsid w:val="00E04332"/>
    <w:rsid w:val="00E046D5"/>
    <w:rsid w:val="00E05EA7"/>
    <w:rsid w:val="00E05EBC"/>
    <w:rsid w:val="00E068DB"/>
    <w:rsid w:val="00E06FE8"/>
    <w:rsid w:val="00E07548"/>
    <w:rsid w:val="00E07F09"/>
    <w:rsid w:val="00E10007"/>
    <w:rsid w:val="00E10E9F"/>
    <w:rsid w:val="00E10EDA"/>
    <w:rsid w:val="00E11BAD"/>
    <w:rsid w:val="00E11FBC"/>
    <w:rsid w:val="00E1294B"/>
    <w:rsid w:val="00E12D22"/>
    <w:rsid w:val="00E134DC"/>
    <w:rsid w:val="00E13D3D"/>
    <w:rsid w:val="00E149FA"/>
    <w:rsid w:val="00E1619A"/>
    <w:rsid w:val="00E16BDE"/>
    <w:rsid w:val="00E16F59"/>
    <w:rsid w:val="00E179D0"/>
    <w:rsid w:val="00E17BD1"/>
    <w:rsid w:val="00E17BFA"/>
    <w:rsid w:val="00E17D36"/>
    <w:rsid w:val="00E204BA"/>
    <w:rsid w:val="00E20738"/>
    <w:rsid w:val="00E214CB"/>
    <w:rsid w:val="00E21A35"/>
    <w:rsid w:val="00E21BB8"/>
    <w:rsid w:val="00E21BE6"/>
    <w:rsid w:val="00E22275"/>
    <w:rsid w:val="00E22E01"/>
    <w:rsid w:val="00E23DF6"/>
    <w:rsid w:val="00E241B4"/>
    <w:rsid w:val="00E24311"/>
    <w:rsid w:val="00E249E6"/>
    <w:rsid w:val="00E24AB3"/>
    <w:rsid w:val="00E255FD"/>
    <w:rsid w:val="00E2574A"/>
    <w:rsid w:val="00E2580D"/>
    <w:rsid w:val="00E25CCD"/>
    <w:rsid w:val="00E26A5B"/>
    <w:rsid w:val="00E279E7"/>
    <w:rsid w:val="00E30E0D"/>
    <w:rsid w:val="00E3280E"/>
    <w:rsid w:val="00E32AC1"/>
    <w:rsid w:val="00E32E22"/>
    <w:rsid w:val="00E335C8"/>
    <w:rsid w:val="00E336E1"/>
    <w:rsid w:val="00E33D28"/>
    <w:rsid w:val="00E33D31"/>
    <w:rsid w:val="00E34589"/>
    <w:rsid w:val="00E35431"/>
    <w:rsid w:val="00E35652"/>
    <w:rsid w:val="00E3597F"/>
    <w:rsid w:val="00E360B3"/>
    <w:rsid w:val="00E36321"/>
    <w:rsid w:val="00E3649E"/>
    <w:rsid w:val="00E36BAC"/>
    <w:rsid w:val="00E36D2A"/>
    <w:rsid w:val="00E3713F"/>
    <w:rsid w:val="00E40008"/>
    <w:rsid w:val="00E401CE"/>
    <w:rsid w:val="00E40904"/>
    <w:rsid w:val="00E40AA6"/>
    <w:rsid w:val="00E415BC"/>
    <w:rsid w:val="00E41616"/>
    <w:rsid w:val="00E42515"/>
    <w:rsid w:val="00E43343"/>
    <w:rsid w:val="00E440B8"/>
    <w:rsid w:val="00E44C93"/>
    <w:rsid w:val="00E4532D"/>
    <w:rsid w:val="00E4552F"/>
    <w:rsid w:val="00E45777"/>
    <w:rsid w:val="00E4589F"/>
    <w:rsid w:val="00E466F0"/>
    <w:rsid w:val="00E470C5"/>
    <w:rsid w:val="00E472F9"/>
    <w:rsid w:val="00E475A2"/>
    <w:rsid w:val="00E503F5"/>
    <w:rsid w:val="00E52121"/>
    <w:rsid w:val="00E525E4"/>
    <w:rsid w:val="00E52C08"/>
    <w:rsid w:val="00E52EB2"/>
    <w:rsid w:val="00E53692"/>
    <w:rsid w:val="00E53A12"/>
    <w:rsid w:val="00E54512"/>
    <w:rsid w:val="00E54B46"/>
    <w:rsid w:val="00E55E09"/>
    <w:rsid w:val="00E565CE"/>
    <w:rsid w:val="00E5771E"/>
    <w:rsid w:val="00E57A11"/>
    <w:rsid w:val="00E604D9"/>
    <w:rsid w:val="00E60575"/>
    <w:rsid w:val="00E61531"/>
    <w:rsid w:val="00E6202A"/>
    <w:rsid w:val="00E62C9A"/>
    <w:rsid w:val="00E645F2"/>
    <w:rsid w:val="00E64C3C"/>
    <w:rsid w:val="00E65ECF"/>
    <w:rsid w:val="00E66473"/>
    <w:rsid w:val="00E6695C"/>
    <w:rsid w:val="00E66ACB"/>
    <w:rsid w:val="00E675FB"/>
    <w:rsid w:val="00E67665"/>
    <w:rsid w:val="00E67BC0"/>
    <w:rsid w:val="00E67D05"/>
    <w:rsid w:val="00E67DCE"/>
    <w:rsid w:val="00E70BFE"/>
    <w:rsid w:val="00E73178"/>
    <w:rsid w:val="00E732DC"/>
    <w:rsid w:val="00E74201"/>
    <w:rsid w:val="00E74306"/>
    <w:rsid w:val="00E74941"/>
    <w:rsid w:val="00E74F3D"/>
    <w:rsid w:val="00E7579A"/>
    <w:rsid w:val="00E75B9E"/>
    <w:rsid w:val="00E76122"/>
    <w:rsid w:val="00E76210"/>
    <w:rsid w:val="00E763E0"/>
    <w:rsid w:val="00E76E7D"/>
    <w:rsid w:val="00E773B0"/>
    <w:rsid w:val="00E77870"/>
    <w:rsid w:val="00E77909"/>
    <w:rsid w:val="00E77E92"/>
    <w:rsid w:val="00E77FC4"/>
    <w:rsid w:val="00E80391"/>
    <w:rsid w:val="00E81604"/>
    <w:rsid w:val="00E82110"/>
    <w:rsid w:val="00E822D0"/>
    <w:rsid w:val="00E82643"/>
    <w:rsid w:val="00E82D4E"/>
    <w:rsid w:val="00E83EA4"/>
    <w:rsid w:val="00E8473D"/>
    <w:rsid w:val="00E84EC3"/>
    <w:rsid w:val="00E86519"/>
    <w:rsid w:val="00E879BB"/>
    <w:rsid w:val="00E93133"/>
    <w:rsid w:val="00E93798"/>
    <w:rsid w:val="00E94369"/>
    <w:rsid w:val="00E94D8B"/>
    <w:rsid w:val="00E95589"/>
    <w:rsid w:val="00E9576C"/>
    <w:rsid w:val="00E95831"/>
    <w:rsid w:val="00E95E90"/>
    <w:rsid w:val="00E96266"/>
    <w:rsid w:val="00E969AE"/>
    <w:rsid w:val="00E96B70"/>
    <w:rsid w:val="00EA082F"/>
    <w:rsid w:val="00EA092E"/>
    <w:rsid w:val="00EA0A25"/>
    <w:rsid w:val="00EA0BC8"/>
    <w:rsid w:val="00EA0BFE"/>
    <w:rsid w:val="00EA0DAE"/>
    <w:rsid w:val="00EA10A2"/>
    <w:rsid w:val="00EA29F1"/>
    <w:rsid w:val="00EA32DB"/>
    <w:rsid w:val="00EA3763"/>
    <w:rsid w:val="00EA45EC"/>
    <w:rsid w:val="00EA4D63"/>
    <w:rsid w:val="00EA4FEF"/>
    <w:rsid w:val="00EA5135"/>
    <w:rsid w:val="00EA5D1B"/>
    <w:rsid w:val="00EA6A0B"/>
    <w:rsid w:val="00EA7232"/>
    <w:rsid w:val="00EB02BC"/>
    <w:rsid w:val="00EB0594"/>
    <w:rsid w:val="00EB0F0B"/>
    <w:rsid w:val="00EB1D87"/>
    <w:rsid w:val="00EB2655"/>
    <w:rsid w:val="00EB296C"/>
    <w:rsid w:val="00EB2E08"/>
    <w:rsid w:val="00EB2F2D"/>
    <w:rsid w:val="00EB359A"/>
    <w:rsid w:val="00EB3667"/>
    <w:rsid w:val="00EB3B70"/>
    <w:rsid w:val="00EB3BC9"/>
    <w:rsid w:val="00EB4207"/>
    <w:rsid w:val="00EB42EC"/>
    <w:rsid w:val="00EB49F7"/>
    <w:rsid w:val="00EB4E92"/>
    <w:rsid w:val="00EB5050"/>
    <w:rsid w:val="00EB6D6B"/>
    <w:rsid w:val="00EB7151"/>
    <w:rsid w:val="00EB7426"/>
    <w:rsid w:val="00EC0164"/>
    <w:rsid w:val="00EC025D"/>
    <w:rsid w:val="00EC0848"/>
    <w:rsid w:val="00EC1BE4"/>
    <w:rsid w:val="00EC259F"/>
    <w:rsid w:val="00EC308A"/>
    <w:rsid w:val="00EC3747"/>
    <w:rsid w:val="00EC39C7"/>
    <w:rsid w:val="00EC41D4"/>
    <w:rsid w:val="00EC669D"/>
    <w:rsid w:val="00EC6D52"/>
    <w:rsid w:val="00EC7DB4"/>
    <w:rsid w:val="00EC7E42"/>
    <w:rsid w:val="00ED0C7B"/>
    <w:rsid w:val="00ED15EA"/>
    <w:rsid w:val="00ED16C9"/>
    <w:rsid w:val="00ED2538"/>
    <w:rsid w:val="00ED2BB6"/>
    <w:rsid w:val="00ED3B76"/>
    <w:rsid w:val="00ED3BF9"/>
    <w:rsid w:val="00ED3C69"/>
    <w:rsid w:val="00ED41BC"/>
    <w:rsid w:val="00ED45D1"/>
    <w:rsid w:val="00ED4EB7"/>
    <w:rsid w:val="00ED5380"/>
    <w:rsid w:val="00ED5B3F"/>
    <w:rsid w:val="00ED63E1"/>
    <w:rsid w:val="00ED645F"/>
    <w:rsid w:val="00ED64B1"/>
    <w:rsid w:val="00ED6AF6"/>
    <w:rsid w:val="00ED6CD4"/>
    <w:rsid w:val="00ED7632"/>
    <w:rsid w:val="00EE0141"/>
    <w:rsid w:val="00EE0C53"/>
    <w:rsid w:val="00EE1410"/>
    <w:rsid w:val="00EE15D9"/>
    <w:rsid w:val="00EE312B"/>
    <w:rsid w:val="00EE37AA"/>
    <w:rsid w:val="00EE38A6"/>
    <w:rsid w:val="00EE40E3"/>
    <w:rsid w:val="00EE4A49"/>
    <w:rsid w:val="00EE4A63"/>
    <w:rsid w:val="00EE5ADD"/>
    <w:rsid w:val="00EE68AD"/>
    <w:rsid w:val="00EE6CB2"/>
    <w:rsid w:val="00EE70E9"/>
    <w:rsid w:val="00EE73AF"/>
    <w:rsid w:val="00EE777A"/>
    <w:rsid w:val="00EF069F"/>
    <w:rsid w:val="00EF0D13"/>
    <w:rsid w:val="00EF0E4B"/>
    <w:rsid w:val="00EF2756"/>
    <w:rsid w:val="00EF28A6"/>
    <w:rsid w:val="00EF2F25"/>
    <w:rsid w:val="00EF32BF"/>
    <w:rsid w:val="00EF3C3F"/>
    <w:rsid w:val="00EF3C65"/>
    <w:rsid w:val="00EF3DDF"/>
    <w:rsid w:val="00EF4386"/>
    <w:rsid w:val="00EF455D"/>
    <w:rsid w:val="00EF5778"/>
    <w:rsid w:val="00EF61B4"/>
    <w:rsid w:val="00EF6388"/>
    <w:rsid w:val="00EF79DC"/>
    <w:rsid w:val="00F00152"/>
    <w:rsid w:val="00F0092F"/>
    <w:rsid w:val="00F009F9"/>
    <w:rsid w:val="00F00E7A"/>
    <w:rsid w:val="00F00EB9"/>
    <w:rsid w:val="00F015BD"/>
    <w:rsid w:val="00F01AD4"/>
    <w:rsid w:val="00F02080"/>
    <w:rsid w:val="00F0297D"/>
    <w:rsid w:val="00F029C1"/>
    <w:rsid w:val="00F02A53"/>
    <w:rsid w:val="00F03198"/>
    <w:rsid w:val="00F031F7"/>
    <w:rsid w:val="00F0321D"/>
    <w:rsid w:val="00F03C4F"/>
    <w:rsid w:val="00F04D8E"/>
    <w:rsid w:val="00F06011"/>
    <w:rsid w:val="00F0631A"/>
    <w:rsid w:val="00F064AE"/>
    <w:rsid w:val="00F068C9"/>
    <w:rsid w:val="00F06DAE"/>
    <w:rsid w:val="00F06E0A"/>
    <w:rsid w:val="00F07225"/>
    <w:rsid w:val="00F07306"/>
    <w:rsid w:val="00F077F8"/>
    <w:rsid w:val="00F07C63"/>
    <w:rsid w:val="00F07FAD"/>
    <w:rsid w:val="00F10A83"/>
    <w:rsid w:val="00F10F9D"/>
    <w:rsid w:val="00F1119C"/>
    <w:rsid w:val="00F11346"/>
    <w:rsid w:val="00F1186F"/>
    <w:rsid w:val="00F12EFF"/>
    <w:rsid w:val="00F12F79"/>
    <w:rsid w:val="00F13378"/>
    <w:rsid w:val="00F13B59"/>
    <w:rsid w:val="00F13FAC"/>
    <w:rsid w:val="00F140DB"/>
    <w:rsid w:val="00F14193"/>
    <w:rsid w:val="00F145FA"/>
    <w:rsid w:val="00F14BFA"/>
    <w:rsid w:val="00F15255"/>
    <w:rsid w:val="00F15F45"/>
    <w:rsid w:val="00F16D11"/>
    <w:rsid w:val="00F17642"/>
    <w:rsid w:val="00F17987"/>
    <w:rsid w:val="00F17A16"/>
    <w:rsid w:val="00F21347"/>
    <w:rsid w:val="00F21451"/>
    <w:rsid w:val="00F215E6"/>
    <w:rsid w:val="00F229D0"/>
    <w:rsid w:val="00F2318B"/>
    <w:rsid w:val="00F241B3"/>
    <w:rsid w:val="00F24872"/>
    <w:rsid w:val="00F25032"/>
    <w:rsid w:val="00F25119"/>
    <w:rsid w:val="00F25855"/>
    <w:rsid w:val="00F25940"/>
    <w:rsid w:val="00F26152"/>
    <w:rsid w:val="00F26236"/>
    <w:rsid w:val="00F26722"/>
    <w:rsid w:val="00F26F8F"/>
    <w:rsid w:val="00F2720C"/>
    <w:rsid w:val="00F27476"/>
    <w:rsid w:val="00F2787D"/>
    <w:rsid w:val="00F3030F"/>
    <w:rsid w:val="00F31356"/>
    <w:rsid w:val="00F31F9A"/>
    <w:rsid w:val="00F32103"/>
    <w:rsid w:val="00F324EA"/>
    <w:rsid w:val="00F326D7"/>
    <w:rsid w:val="00F32B70"/>
    <w:rsid w:val="00F32DD8"/>
    <w:rsid w:val="00F33229"/>
    <w:rsid w:val="00F33D79"/>
    <w:rsid w:val="00F343A4"/>
    <w:rsid w:val="00F3525D"/>
    <w:rsid w:val="00F36DBE"/>
    <w:rsid w:val="00F36E99"/>
    <w:rsid w:val="00F37130"/>
    <w:rsid w:val="00F37EA6"/>
    <w:rsid w:val="00F40888"/>
    <w:rsid w:val="00F40CEB"/>
    <w:rsid w:val="00F423B7"/>
    <w:rsid w:val="00F4287D"/>
    <w:rsid w:val="00F42954"/>
    <w:rsid w:val="00F43A38"/>
    <w:rsid w:val="00F43CD5"/>
    <w:rsid w:val="00F44964"/>
    <w:rsid w:val="00F44AB7"/>
    <w:rsid w:val="00F451CE"/>
    <w:rsid w:val="00F46069"/>
    <w:rsid w:val="00F46B0F"/>
    <w:rsid w:val="00F47624"/>
    <w:rsid w:val="00F4776B"/>
    <w:rsid w:val="00F50754"/>
    <w:rsid w:val="00F50888"/>
    <w:rsid w:val="00F50F4D"/>
    <w:rsid w:val="00F51143"/>
    <w:rsid w:val="00F51821"/>
    <w:rsid w:val="00F51EA1"/>
    <w:rsid w:val="00F521C0"/>
    <w:rsid w:val="00F5292F"/>
    <w:rsid w:val="00F5450B"/>
    <w:rsid w:val="00F54F56"/>
    <w:rsid w:val="00F5536D"/>
    <w:rsid w:val="00F554CE"/>
    <w:rsid w:val="00F555E1"/>
    <w:rsid w:val="00F55C71"/>
    <w:rsid w:val="00F55D5C"/>
    <w:rsid w:val="00F561FE"/>
    <w:rsid w:val="00F56320"/>
    <w:rsid w:val="00F56409"/>
    <w:rsid w:val="00F56424"/>
    <w:rsid w:val="00F56D71"/>
    <w:rsid w:val="00F56DDC"/>
    <w:rsid w:val="00F608E7"/>
    <w:rsid w:val="00F615D2"/>
    <w:rsid w:val="00F61C74"/>
    <w:rsid w:val="00F61C9B"/>
    <w:rsid w:val="00F62453"/>
    <w:rsid w:val="00F6300C"/>
    <w:rsid w:val="00F64768"/>
    <w:rsid w:val="00F64CEB"/>
    <w:rsid w:val="00F64FAF"/>
    <w:rsid w:val="00F6635D"/>
    <w:rsid w:val="00F66961"/>
    <w:rsid w:val="00F6779B"/>
    <w:rsid w:val="00F67AB4"/>
    <w:rsid w:val="00F706BA"/>
    <w:rsid w:val="00F707E7"/>
    <w:rsid w:val="00F715D8"/>
    <w:rsid w:val="00F717CC"/>
    <w:rsid w:val="00F71BDA"/>
    <w:rsid w:val="00F73757"/>
    <w:rsid w:val="00F73D42"/>
    <w:rsid w:val="00F741E8"/>
    <w:rsid w:val="00F74F69"/>
    <w:rsid w:val="00F76184"/>
    <w:rsid w:val="00F76FA2"/>
    <w:rsid w:val="00F772F5"/>
    <w:rsid w:val="00F7790B"/>
    <w:rsid w:val="00F779F3"/>
    <w:rsid w:val="00F800DB"/>
    <w:rsid w:val="00F8024B"/>
    <w:rsid w:val="00F80869"/>
    <w:rsid w:val="00F80DB3"/>
    <w:rsid w:val="00F8122E"/>
    <w:rsid w:val="00F81F65"/>
    <w:rsid w:val="00F82C78"/>
    <w:rsid w:val="00F82EA1"/>
    <w:rsid w:val="00F8443A"/>
    <w:rsid w:val="00F84477"/>
    <w:rsid w:val="00F85272"/>
    <w:rsid w:val="00F858FD"/>
    <w:rsid w:val="00F859EF"/>
    <w:rsid w:val="00F864DA"/>
    <w:rsid w:val="00F868CC"/>
    <w:rsid w:val="00F86A93"/>
    <w:rsid w:val="00F87831"/>
    <w:rsid w:val="00F87CC1"/>
    <w:rsid w:val="00F907B1"/>
    <w:rsid w:val="00F9098D"/>
    <w:rsid w:val="00F91023"/>
    <w:rsid w:val="00F910EB"/>
    <w:rsid w:val="00F916C2"/>
    <w:rsid w:val="00F921E3"/>
    <w:rsid w:val="00F92D0C"/>
    <w:rsid w:val="00F92F29"/>
    <w:rsid w:val="00F931BF"/>
    <w:rsid w:val="00F932F6"/>
    <w:rsid w:val="00F933FA"/>
    <w:rsid w:val="00F9364A"/>
    <w:rsid w:val="00F94702"/>
    <w:rsid w:val="00F94AFA"/>
    <w:rsid w:val="00F95223"/>
    <w:rsid w:val="00F958E1"/>
    <w:rsid w:val="00F95E93"/>
    <w:rsid w:val="00FA0878"/>
    <w:rsid w:val="00FA189A"/>
    <w:rsid w:val="00FA1EE6"/>
    <w:rsid w:val="00FA1FE9"/>
    <w:rsid w:val="00FA2864"/>
    <w:rsid w:val="00FA2B89"/>
    <w:rsid w:val="00FA351D"/>
    <w:rsid w:val="00FA36B3"/>
    <w:rsid w:val="00FA428F"/>
    <w:rsid w:val="00FA570E"/>
    <w:rsid w:val="00FA57A4"/>
    <w:rsid w:val="00FA5834"/>
    <w:rsid w:val="00FA5A54"/>
    <w:rsid w:val="00FA5B36"/>
    <w:rsid w:val="00FA5B38"/>
    <w:rsid w:val="00FA5CD1"/>
    <w:rsid w:val="00FA619B"/>
    <w:rsid w:val="00FA6205"/>
    <w:rsid w:val="00FA64D1"/>
    <w:rsid w:val="00FA7017"/>
    <w:rsid w:val="00FA7207"/>
    <w:rsid w:val="00FA7405"/>
    <w:rsid w:val="00FA7B56"/>
    <w:rsid w:val="00FA7F60"/>
    <w:rsid w:val="00FB02D2"/>
    <w:rsid w:val="00FB16D7"/>
    <w:rsid w:val="00FB2297"/>
    <w:rsid w:val="00FB2921"/>
    <w:rsid w:val="00FB294B"/>
    <w:rsid w:val="00FB3707"/>
    <w:rsid w:val="00FB3A48"/>
    <w:rsid w:val="00FB3A4E"/>
    <w:rsid w:val="00FB47E3"/>
    <w:rsid w:val="00FB481F"/>
    <w:rsid w:val="00FB5981"/>
    <w:rsid w:val="00FB5A99"/>
    <w:rsid w:val="00FB6205"/>
    <w:rsid w:val="00FB655C"/>
    <w:rsid w:val="00FB794F"/>
    <w:rsid w:val="00FB7BC3"/>
    <w:rsid w:val="00FC0C41"/>
    <w:rsid w:val="00FC17D6"/>
    <w:rsid w:val="00FC1864"/>
    <w:rsid w:val="00FC1A10"/>
    <w:rsid w:val="00FC2556"/>
    <w:rsid w:val="00FC3D81"/>
    <w:rsid w:val="00FC3E7E"/>
    <w:rsid w:val="00FC4D19"/>
    <w:rsid w:val="00FC5834"/>
    <w:rsid w:val="00FC684D"/>
    <w:rsid w:val="00FC740C"/>
    <w:rsid w:val="00FC7815"/>
    <w:rsid w:val="00FC785E"/>
    <w:rsid w:val="00FC7B1E"/>
    <w:rsid w:val="00FD06EE"/>
    <w:rsid w:val="00FD09E3"/>
    <w:rsid w:val="00FD1FDE"/>
    <w:rsid w:val="00FD2020"/>
    <w:rsid w:val="00FD2570"/>
    <w:rsid w:val="00FD2754"/>
    <w:rsid w:val="00FD3B26"/>
    <w:rsid w:val="00FD48B5"/>
    <w:rsid w:val="00FD49BB"/>
    <w:rsid w:val="00FD4A57"/>
    <w:rsid w:val="00FD4B2D"/>
    <w:rsid w:val="00FD5FC8"/>
    <w:rsid w:val="00FD68A0"/>
    <w:rsid w:val="00FD6980"/>
    <w:rsid w:val="00FD6B05"/>
    <w:rsid w:val="00FD74E5"/>
    <w:rsid w:val="00FD782F"/>
    <w:rsid w:val="00FE022D"/>
    <w:rsid w:val="00FE0550"/>
    <w:rsid w:val="00FE0765"/>
    <w:rsid w:val="00FE237D"/>
    <w:rsid w:val="00FE4289"/>
    <w:rsid w:val="00FE48CC"/>
    <w:rsid w:val="00FE4C69"/>
    <w:rsid w:val="00FE5D8D"/>
    <w:rsid w:val="00FE5EA4"/>
    <w:rsid w:val="00FE615F"/>
    <w:rsid w:val="00FE65D5"/>
    <w:rsid w:val="00FE7029"/>
    <w:rsid w:val="00FF0082"/>
    <w:rsid w:val="00FF0143"/>
    <w:rsid w:val="00FF01F4"/>
    <w:rsid w:val="00FF0810"/>
    <w:rsid w:val="00FF1224"/>
    <w:rsid w:val="00FF16E4"/>
    <w:rsid w:val="00FF1B01"/>
    <w:rsid w:val="00FF1B6D"/>
    <w:rsid w:val="00FF1D2C"/>
    <w:rsid w:val="00FF2A9D"/>
    <w:rsid w:val="00FF331A"/>
    <w:rsid w:val="00FF3790"/>
    <w:rsid w:val="00FF3940"/>
    <w:rsid w:val="00FF3C19"/>
    <w:rsid w:val="00FF3F02"/>
    <w:rsid w:val="00FF4784"/>
    <w:rsid w:val="00FF49F1"/>
    <w:rsid w:val="00FF4CDA"/>
    <w:rsid w:val="00FF583A"/>
    <w:rsid w:val="00FF5AFC"/>
    <w:rsid w:val="00FF6707"/>
    <w:rsid w:val="00FF682E"/>
    <w:rsid w:val="00FF68EF"/>
    <w:rsid w:val="00FF6CE4"/>
    <w:rsid w:val="00FF6E31"/>
    <w:rsid w:val="00FF745E"/>
    <w:rsid w:val="00FF77A0"/>
    <w:rsid w:val="00FF7BDC"/>
    <w:rsid w:val="0FAC7134"/>
    <w:rsid w:val="30FB3146"/>
    <w:rsid w:val="466F1F67"/>
    <w:rsid w:val="49A75C13"/>
    <w:rsid w:val="5D2D34F3"/>
    <w:rsid w:val="61BF22B1"/>
    <w:rsid w:val="68F47BF7"/>
    <w:rsid w:val="6F071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stroke="f">
      <v:fill color="white"/>
      <v:stroke on="f"/>
    </o:shapedefaults>
    <o:shapelayout v:ext="edit">
      <o:idmap v:ext="edit" data="1"/>
    </o:shapelayout>
  </w:shapeDefaults>
  <w:decimalSymbol w:val="."/>
  <w:listSeparator w:val=","/>
  <w14:docId w14:val="40868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uiPriority="0" w:qFormat="1"/>
    <w:lsdException w:name="annotation text"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lang w:val="zh-CN"/>
    </w:rPr>
  </w:style>
  <w:style w:type="paragraph" w:styleId="2">
    <w:name w:val="heading 2"/>
    <w:basedOn w:val="a"/>
    <w:next w:val="a"/>
    <w:link w:val="2Char"/>
    <w:qFormat/>
    <w:pPr>
      <w:keepNext/>
      <w:numPr>
        <w:numId w:val="2"/>
      </w:numPr>
      <w:spacing w:line="300" w:lineRule="auto"/>
      <w:outlineLvl w:val="1"/>
    </w:pPr>
    <w:rPr>
      <w:rFonts w:ascii="Arial" w:eastAsia="仿宋_GB2312" w:hAnsi="Arial"/>
      <w:b/>
      <w:bCs/>
      <w:sz w:val="28"/>
      <w:lang w:val="zh-CN"/>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lang w:val="zh-CN"/>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Char"/>
    <w:qFormat/>
    <w:pPr>
      <w:shd w:val="clear" w:color="auto" w:fill="000080"/>
    </w:pPr>
    <w:rPr>
      <w:lang w:val="zh-CN"/>
    </w:rPr>
  </w:style>
  <w:style w:type="paragraph" w:styleId="a5">
    <w:name w:val="annotation text"/>
    <w:basedOn w:val="a"/>
    <w:link w:val="Char0"/>
    <w:uiPriority w:val="99"/>
    <w:unhideWhenUsed/>
    <w:qFormat/>
    <w:rPr>
      <w:lang w:val="zh-CN"/>
    </w:rPr>
  </w:style>
  <w:style w:type="paragraph" w:styleId="30">
    <w:name w:val="Body Text 3"/>
    <w:basedOn w:val="a"/>
    <w:link w:val="3Char0"/>
    <w:qFormat/>
    <w:pPr>
      <w:spacing w:line="288" w:lineRule="auto"/>
      <w:jc w:val="both"/>
    </w:pPr>
    <w:rPr>
      <w:rFonts w:ascii="楷体_GB2312" w:eastAsia="楷体_GB2312" w:hAnsi="Arial"/>
      <w:sz w:val="32"/>
      <w:lang w:val="zh-CN"/>
    </w:rPr>
  </w:style>
  <w:style w:type="paragraph" w:styleId="a6">
    <w:name w:val="Body Text"/>
    <w:basedOn w:val="a"/>
    <w:link w:val="Char1"/>
    <w:qFormat/>
    <w:pPr>
      <w:adjustRightInd/>
      <w:spacing w:line="240" w:lineRule="auto"/>
      <w:jc w:val="both"/>
      <w:textAlignment w:val="auto"/>
    </w:pPr>
    <w:rPr>
      <w:rFonts w:ascii="宋体"/>
      <w:sz w:val="30"/>
      <w:lang w:val="zh-CN"/>
    </w:rPr>
  </w:style>
  <w:style w:type="paragraph" w:styleId="a7">
    <w:name w:val="Body Text Indent"/>
    <w:basedOn w:val="a"/>
    <w:link w:val="Char2"/>
    <w:qFormat/>
    <w:pPr>
      <w:spacing w:line="400" w:lineRule="atLeast"/>
      <w:ind w:firstLine="570"/>
    </w:pPr>
    <w:rPr>
      <w:rFonts w:ascii="仿宋_GB2312" w:eastAsia="仿宋_GB2312"/>
      <w:sz w:val="28"/>
      <w:lang w:val="zh-CN"/>
    </w:rPr>
  </w:style>
  <w:style w:type="paragraph" w:styleId="5">
    <w:name w:val="toc 5"/>
    <w:basedOn w:val="a"/>
    <w:next w:val="a"/>
    <w:uiPriority w:val="39"/>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basedOn w:val="a"/>
    <w:link w:val="Char3"/>
    <w:qFormat/>
    <w:pPr>
      <w:adjustRightInd/>
      <w:spacing w:line="240" w:lineRule="auto"/>
      <w:jc w:val="both"/>
      <w:textAlignment w:val="auto"/>
    </w:pPr>
    <w:rPr>
      <w:rFonts w:ascii="宋体" w:hAnsi="Courier New"/>
      <w:sz w:val="20"/>
      <w:lang w:val="zh-CN"/>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qFormat/>
    <w:pPr>
      <w:jc w:val="both"/>
    </w:pPr>
    <w:rPr>
      <w:rFonts w:ascii="楷体_GB2312" w:eastAsia="楷体_GB2312"/>
      <w:b/>
      <w:sz w:val="28"/>
      <w:lang w:val="zh-CN"/>
    </w:rPr>
  </w:style>
  <w:style w:type="paragraph" w:styleId="20">
    <w:name w:val="Body Text Indent 2"/>
    <w:basedOn w:val="a"/>
    <w:link w:val="2Char0"/>
    <w:qFormat/>
    <w:pPr>
      <w:spacing w:line="360" w:lineRule="exact"/>
      <w:ind w:firstLineChars="200" w:firstLine="560"/>
      <w:jc w:val="both"/>
      <w:outlineLvl w:val="0"/>
    </w:pPr>
    <w:rPr>
      <w:rFonts w:ascii="仿宋_GB2312" w:eastAsia="仿宋_GB2312"/>
      <w:sz w:val="28"/>
      <w:lang w:val="zh-CN"/>
    </w:rPr>
  </w:style>
  <w:style w:type="paragraph" w:styleId="aa">
    <w:name w:val="Balloon Text"/>
    <w:basedOn w:val="a"/>
    <w:link w:val="Char5"/>
    <w:uiPriority w:val="99"/>
    <w:qFormat/>
    <w:rPr>
      <w:sz w:val="18"/>
      <w:szCs w:val="18"/>
      <w:lang w:val="zh-CN"/>
    </w:rPr>
  </w:style>
  <w:style w:type="paragraph" w:styleId="ab">
    <w:name w:val="footer"/>
    <w:basedOn w:val="a"/>
    <w:link w:val="Char6"/>
    <w:uiPriority w:val="99"/>
    <w:qFormat/>
    <w:pPr>
      <w:tabs>
        <w:tab w:val="center" w:pos="4153"/>
        <w:tab w:val="right" w:pos="8306"/>
      </w:tabs>
      <w:spacing w:line="240" w:lineRule="atLeast"/>
    </w:pPr>
    <w:rPr>
      <w:sz w:val="18"/>
      <w:lang w:val="zh-CN"/>
    </w:rPr>
  </w:style>
  <w:style w:type="paragraph" w:styleId="ac">
    <w:name w:val="header"/>
    <w:basedOn w:val="a"/>
    <w:link w:val="Char7"/>
    <w:uiPriority w:val="99"/>
    <w:qFormat/>
    <w:pPr>
      <w:pBdr>
        <w:bottom w:val="single" w:sz="6" w:space="1" w:color="auto"/>
      </w:pBdr>
      <w:tabs>
        <w:tab w:val="center" w:pos="4153"/>
        <w:tab w:val="right" w:pos="8306"/>
      </w:tabs>
      <w:spacing w:line="240" w:lineRule="atLeast"/>
      <w:jc w:val="center"/>
    </w:pPr>
    <w:rPr>
      <w:sz w:val="18"/>
      <w:lang w:val="zh-CN"/>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d">
    <w:name w:val="footnote text"/>
    <w:basedOn w:val="a"/>
    <w:link w:val="Char8"/>
    <w:qFormat/>
    <w:pPr>
      <w:adjustRightInd/>
      <w:snapToGrid w:val="0"/>
      <w:spacing w:line="240" w:lineRule="auto"/>
      <w:textAlignment w:val="auto"/>
    </w:pPr>
    <w:rPr>
      <w:kern w:val="2"/>
      <w:sz w:val="18"/>
      <w:szCs w:val="18"/>
      <w:lang w:val="zh-CN"/>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qFormat/>
    <w:pPr>
      <w:spacing w:line="440" w:lineRule="atLeast"/>
      <w:ind w:firstLine="600"/>
      <w:jc w:val="both"/>
    </w:pPr>
    <w:rPr>
      <w:rFonts w:ascii="Arial" w:eastAsia="仿宋_GB2312" w:hAnsi="Arial"/>
      <w:sz w:val="28"/>
      <w:lang w:val="zh-CN"/>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qFormat/>
    <w:pPr>
      <w:autoSpaceDE w:val="0"/>
      <w:autoSpaceDN w:val="0"/>
      <w:spacing w:line="440" w:lineRule="exact"/>
      <w:jc w:val="both"/>
    </w:pPr>
    <w:rPr>
      <w:rFonts w:ascii="仿宋_GB2312" w:eastAsia="仿宋_GB2312" w:hAnsi="Arial"/>
      <w:sz w:val="28"/>
      <w:lang w:val="zh-CN"/>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zh-CN"/>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5"/>
    <w:next w:val="a5"/>
    <w:link w:val="Char9"/>
    <w:uiPriority w:val="99"/>
    <w:unhideWhenUsed/>
    <w:qFormat/>
    <w:rPr>
      <w:b/>
      <w:bCs/>
    </w:rPr>
  </w:style>
  <w:style w:type="paragraph" w:styleId="af0">
    <w:name w:val="Body Text First Indent"/>
    <w:basedOn w:val="a6"/>
    <w:link w:val="Chara"/>
    <w:qFormat/>
    <w:pPr>
      <w:spacing w:after="120"/>
      <w:ind w:firstLine="420"/>
    </w:pPr>
    <w:rPr>
      <w:rFonts w:ascii="Times New Roman"/>
    </w:rPr>
  </w:style>
  <w:style w:type="table" w:styleId="af1">
    <w:name w:val="Table Grid"/>
    <w:basedOn w:val="a1"/>
    <w:qFormat/>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qFormat/>
    <w:rPr>
      <w:b/>
      <w:bCs/>
    </w:rPr>
  </w:style>
  <w:style w:type="character" w:styleId="af3">
    <w:name w:val="page number"/>
    <w:basedOn w:val="a0"/>
    <w:qFormat/>
  </w:style>
  <w:style w:type="character" w:styleId="af4">
    <w:name w:val="Emphasis"/>
    <w:uiPriority w:val="20"/>
    <w:qFormat/>
    <w:rPr>
      <w:i/>
      <w:iCs/>
    </w:rPr>
  </w:style>
  <w:style w:type="character" w:styleId="af5">
    <w:name w:val="Hyperlink"/>
    <w:uiPriority w:val="99"/>
    <w:unhideWhenUsed/>
    <w:qFormat/>
    <w:rPr>
      <w:color w:val="0000FF"/>
      <w:u w:val="single"/>
    </w:rPr>
  </w:style>
  <w:style w:type="character" w:styleId="af6">
    <w:name w:val="annotation reference"/>
    <w:unhideWhenUsed/>
    <w:qFormat/>
    <w:rPr>
      <w:sz w:val="21"/>
      <w:szCs w:val="21"/>
    </w:rPr>
  </w:style>
  <w:style w:type="character" w:customStyle="1" w:styleId="1Char">
    <w:name w:val="标题 1 Char"/>
    <w:link w:val="1"/>
    <w:qFormat/>
    <w:rPr>
      <w:rFonts w:ascii="Arial" w:eastAsia="仿宋_GB2312" w:hAnsi="Arial"/>
      <w:b/>
      <w:sz w:val="28"/>
      <w:lang w:val="zh-CN" w:eastAsia="zh-CN"/>
    </w:rPr>
  </w:style>
  <w:style w:type="character" w:customStyle="1" w:styleId="2Char">
    <w:name w:val="标题 2 Char"/>
    <w:link w:val="2"/>
    <w:qFormat/>
    <w:rPr>
      <w:rFonts w:ascii="Arial" w:eastAsia="仿宋_GB2312" w:hAnsi="Arial"/>
      <w:b/>
      <w:bCs/>
      <w:sz w:val="28"/>
      <w:lang w:val="zh-CN" w:eastAsia="zh-CN"/>
    </w:rPr>
  </w:style>
  <w:style w:type="character" w:customStyle="1" w:styleId="3Char">
    <w:name w:val="标题 3 Char"/>
    <w:link w:val="3"/>
    <w:qFormat/>
    <w:rPr>
      <w:rFonts w:ascii="仿宋_GB2312" w:eastAsia="仿宋_GB2312" w:hAnsi="Arial"/>
      <w:sz w:val="28"/>
      <w:lang w:val="zh-CN" w:eastAsia="zh-CN"/>
    </w:rPr>
  </w:style>
  <w:style w:type="character" w:customStyle="1" w:styleId="4Char">
    <w:name w:val="标题 4 Char"/>
    <w:link w:val="4"/>
    <w:qFormat/>
    <w:rPr>
      <w:rFonts w:ascii="仿宋_GB2312" w:eastAsia="仿宋_GB2312" w:hAnsi="Times New Roman"/>
      <w:sz w:val="28"/>
      <w:lang w:val="zh-CN" w:eastAsia="zh-CN"/>
    </w:rPr>
  </w:style>
  <w:style w:type="character" w:customStyle="1" w:styleId="Char7">
    <w:name w:val="页眉 Char"/>
    <w:link w:val="ac"/>
    <w:uiPriority w:val="99"/>
    <w:qFormat/>
    <w:rPr>
      <w:rFonts w:ascii="Times New Roman" w:eastAsia="宋体" w:hAnsi="Times New Roman" w:cs="Times New Roman"/>
      <w:kern w:val="0"/>
      <w:sz w:val="18"/>
      <w:szCs w:val="20"/>
    </w:rPr>
  </w:style>
  <w:style w:type="character" w:customStyle="1" w:styleId="Char6">
    <w:name w:val="页脚 Char"/>
    <w:link w:val="ab"/>
    <w:uiPriority w:val="99"/>
    <w:qFormat/>
    <w:rPr>
      <w:rFonts w:ascii="Times New Roman" w:eastAsia="宋体" w:hAnsi="Times New Roman" w:cs="Times New Roman"/>
      <w:kern w:val="0"/>
      <w:sz w:val="18"/>
      <w:szCs w:val="20"/>
    </w:rPr>
  </w:style>
  <w:style w:type="character" w:customStyle="1" w:styleId="Char">
    <w:name w:val="文档结构图 Char"/>
    <w:link w:val="a4"/>
    <w:qFormat/>
    <w:rPr>
      <w:rFonts w:ascii="Times New Roman" w:eastAsia="宋体" w:hAnsi="Times New Roman" w:cs="Times New Roman"/>
      <w:kern w:val="0"/>
      <w:sz w:val="24"/>
      <w:szCs w:val="20"/>
      <w:shd w:val="clear" w:color="auto" w:fill="000080"/>
    </w:rPr>
  </w:style>
  <w:style w:type="character" w:customStyle="1" w:styleId="Char1">
    <w:name w:val="正文文本 Char"/>
    <w:link w:val="a6"/>
    <w:qFormat/>
    <w:rPr>
      <w:rFonts w:ascii="宋体" w:eastAsia="宋体" w:hAnsi="Times New Roman" w:cs="Times New Roman"/>
      <w:sz w:val="30"/>
      <w:szCs w:val="20"/>
    </w:rPr>
  </w:style>
  <w:style w:type="character" w:customStyle="1" w:styleId="Chara">
    <w:name w:val="正文首行缩进 Char"/>
    <w:link w:val="af0"/>
    <w:qFormat/>
    <w:rPr>
      <w:rFonts w:ascii="Times New Roman" w:eastAsia="宋体" w:hAnsi="Times New Roman" w:cs="Times New Roman"/>
      <w:sz w:val="30"/>
      <w:szCs w:val="20"/>
    </w:rPr>
  </w:style>
  <w:style w:type="character" w:customStyle="1" w:styleId="Char2">
    <w:name w:val="正文文本缩进 Char"/>
    <w:link w:val="a7"/>
    <w:qFormat/>
    <w:rPr>
      <w:rFonts w:ascii="仿宋_GB2312" w:eastAsia="仿宋_GB2312" w:cs="Times New Roman"/>
      <w:kern w:val="0"/>
      <w:sz w:val="28"/>
      <w:szCs w:val="20"/>
    </w:rPr>
  </w:style>
  <w:style w:type="character" w:customStyle="1" w:styleId="2Char0">
    <w:name w:val="正文文本缩进 2 Char"/>
    <w:link w:val="20"/>
    <w:qFormat/>
    <w:rPr>
      <w:rFonts w:ascii="仿宋_GB2312" w:eastAsia="仿宋_GB2312" w:hAnsi="Times New Roman" w:cs="Times New Roman"/>
      <w:kern w:val="0"/>
      <w:sz w:val="28"/>
      <w:szCs w:val="20"/>
    </w:rPr>
  </w:style>
  <w:style w:type="character" w:customStyle="1" w:styleId="3Char1">
    <w:name w:val="正文文本缩进 3 Char"/>
    <w:link w:val="32"/>
    <w:qFormat/>
    <w:rPr>
      <w:rFonts w:ascii="Arial" w:eastAsia="仿宋_GB2312" w:hAnsi="Arial" w:cs="Arial"/>
      <w:kern w:val="0"/>
      <w:sz w:val="28"/>
      <w:szCs w:val="20"/>
    </w:rPr>
  </w:style>
  <w:style w:type="character" w:customStyle="1" w:styleId="2Char1">
    <w:name w:val="正文文本 2 Char"/>
    <w:link w:val="22"/>
    <w:qFormat/>
    <w:rPr>
      <w:rFonts w:ascii="仿宋_GB2312" w:eastAsia="仿宋_GB2312" w:hAnsi="Arial" w:cs="Times New Roman"/>
      <w:kern w:val="0"/>
      <w:sz w:val="28"/>
      <w:szCs w:val="20"/>
    </w:rPr>
  </w:style>
  <w:style w:type="character" w:customStyle="1" w:styleId="Char3">
    <w:name w:val="纯文本 Char"/>
    <w:link w:val="a8"/>
    <w:qFormat/>
    <w:rPr>
      <w:rFonts w:ascii="宋体" w:eastAsia="宋体" w:hAnsi="Courier New" w:cs="Times New Roman"/>
      <w:szCs w:val="20"/>
    </w:rPr>
  </w:style>
  <w:style w:type="character" w:customStyle="1" w:styleId="3Char0">
    <w:name w:val="正文文本 3 Char"/>
    <w:link w:val="30"/>
    <w:qFormat/>
    <w:rPr>
      <w:rFonts w:ascii="楷体_GB2312" w:eastAsia="楷体_GB2312" w:hAnsi="Arial" w:cs="Times New Roman"/>
      <w:kern w:val="0"/>
      <w:sz w:val="32"/>
      <w:szCs w:val="20"/>
    </w:rPr>
  </w:style>
  <w:style w:type="paragraph" w:customStyle="1" w:styleId="11">
    <w:name w:val="正文1"/>
    <w:qFormat/>
    <w:pPr>
      <w:widowControl w:val="0"/>
      <w:adjustRightInd w:val="0"/>
      <w:spacing w:line="360" w:lineRule="atLeast"/>
      <w:textAlignment w:val="baseline"/>
    </w:pPr>
    <w:rPr>
      <w:rFonts w:ascii="宋体" w:hAnsi="Times New Roman"/>
      <w:sz w:val="34"/>
    </w:rPr>
  </w:style>
  <w:style w:type="character" w:customStyle="1" w:styleId="Char4">
    <w:name w:val="日期 Char"/>
    <w:link w:val="a9"/>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Char">
    <w:name w:val="HTML 预设格式 Char"/>
    <w:link w:val="HTML"/>
    <w:uiPriority w:val="99"/>
    <w:qFormat/>
    <w:rPr>
      <w:rFonts w:ascii="宋体" w:eastAsia="宋体" w:hAnsi="宋体" w:cs="Times New Roman"/>
      <w:kern w:val="0"/>
      <w:sz w:val="24"/>
      <w:szCs w:val="24"/>
    </w:rPr>
  </w:style>
  <w:style w:type="paragraph" w:customStyle="1" w:styleId="23">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b">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Char5">
    <w:name w:val="批注框文本 Char"/>
    <w:link w:val="aa"/>
    <w:uiPriority w:val="99"/>
    <w:qFormat/>
    <w:rPr>
      <w:rFonts w:ascii="Times New Roman" w:eastAsia="宋体" w:hAnsi="Times New Roman" w:cs="Times New Roman"/>
      <w:kern w:val="0"/>
      <w:sz w:val="18"/>
      <w:szCs w:val="18"/>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character" w:customStyle="1" w:styleId="Char0">
    <w:name w:val="批注文字 Char"/>
    <w:link w:val="a5"/>
    <w:uiPriority w:val="99"/>
    <w:qFormat/>
    <w:rPr>
      <w:rFonts w:ascii="Times New Roman" w:hAnsi="Times New Roman"/>
      <w:sz w:val="24"/>
    </w:rPr>
  </w:style>
  <w:style w:type="character" w:customStyle="1" w:styleId="Char9">
    <w:name w:val="批注主题 Char"/>
    <w:link w:val="af"/>
    <w:uiPriority w:val="99"/>
    <w:qFormat/>
    <w:rPr>
      <w:rFonts w:ascii="Times New Roman" w:hAnsi="Times New Roman"/>
      <w:b/>
      <w:bCs/>
      <w:sz w:val="24"/>
    </w:rPr>
  </w:style>
  <w:style w:type="paragraph" w:customStyle="1" w:styleId="-32">
    <w:name w:val="浅色列表 - 强调文字颜色 32"/>
    <w:hidden/>
    <w:uiPriority w:val="99"/>
    <w:semiHidden/>
    <w:qFormat/>
    <w:rPr>
      <w:rFonts w:ascii="Times New Roman" w:hAnsi="Times New Roman"/>
      <w:sz w:val="24"/>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320">
    <w:name w:val="浅色网格 - 强调文字颜色 32"/>
    <w:basedOn w:val="a"/>
    <w:uiPriority w:val="34"/>
    <w:qFormat/>
    <w:pPr>
      <w:ind w:firstLineChars="200" w:firstLine="420"/>
    </w:pPr>
  </w:style>
  <w:style w:type="paragraph" w:customStyle="1" w:styleId="12">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lang w:val="zh-CN"/>
    </w:rPr>
  </w:style>
  <w:style w:type="character" w:customStyle="1" w:styleId="1Char0">
    <w:name w:val="正文1 Char"/>
    <w:link w:val="12"/>
    <w:qFormat/>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af7">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Char8">
    <w:name w:val="脚注文本 Char"/>
    <w:link w:val="ad"/>
    <w:qFormat/>
    <w:rPr>
      <w:rFonts w:ascii="Times New Roman" w:hAnsi="Times New Roman"/>
      <w:kern w:val="2"/>
      <w:sz w:val="18"/>
      <w:szCs w:val="18"/>
    </w:rPr>
  </w:style>
  <w:style w:type="paragraph" w:customStyle="1" w:styleId="120">
    <w:name w:val="12"/>
    <w:basedOn w:val="20"/>
    <w:qFormat/>
    <w:pPr>
      <w:adjustRightInd/>
      <w:spacing w:before="120" w:line="360" w:lineRule="auto"/>
      <w:ind w:firstLineChars="0" w:firstLine="0"/>
      <w:jc w:val="center"/>
      <w:textAlignment w:val="auto"/>
      <w:outlineLvl w:val="9"/>
    </w:pPr>
    <w:rPr>
      <w:rFonts w:ascii="Times New Roman" w:eastAsia="黑体"/>
      <w:kern w:val="2"/>
      <w:sz w:val="48"/>
      <w:lang w:val="en-US"/>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0">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Charc">
    <w:name w:val="Char"/>
    <w:basedOn w:val="a"/>
    <w:qFormat/>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qFormat/>
    <w:rPr>
      <w:sz w:val="18"/>
    </w:rPr>
  </w:style>
  <w:style w:type="character" w:customStyle="1" w:styleId="CharChar50">
    <w:name w:val="Char Char5"/>
    <w:qFormat/>
    <w:rPr>
      <w:rFonts w:ascii="Arial" w:eastAsia="仿宋_GB2312" w:hAnsi="Arial" w:cs="Arial"/>
      <w:sz w:val="28"/>
    </w:rPr>
  </w:style>
  <w:style w:type="character" w:customStyle="1" w:styleId="apple-converted-space">
    <w:name w:val="apple-converted-space"/>
    <w:qFormat/>
  </w:style>
  <w:style w:type="table" w:customStyle="1" w:styleId="TableGrid">
    <w:name w:val="TableGrid"/>
    <w:qFormat/>
    <w:rPr>
      <w:kern w:val="2"/>
      <w:sz w:val="21"/>
      <w:szCs w:val="22"/>
    </w:rPr>
    <w:tblPr>
      <w:tblCellMar>
        <w:top w:w="0" w:type="dxa"/>
        <w:left w:w="0" w:type="dxa"/>
        <w:bottom w:w="0" w:type="dxa"/>
        <w:right w:w="0" w:type="dxa"/>
      </w:tblCellMar>
    </w:tblPr>
  </w:style>
  <w:style w:type="character" w:customStyle="1" w:styleId="description">
    <w:name w:val="description"/>
    <w:basedOn w:val="a0"/>
    <w:qFormat/>
  </w:style>
  <w:style w:type="character" w:customStyle="1" w:styleId="Char10">
    <w:name w:val="文档结构图 Char1"/>
    <w:uiPriority w:val="99"/>
    <w:qFormat/>
    <w:rPr>
      <w:rFonts w:ascii="宋体" w:eastAsia="宋体" w:hAnsi="Times New Roman" w:cs="Times New Roman"/>
      <w:kern w:val="0"/>
      <w:sz w:val="18"/>
      <w:szCs w:val="18"/>
    </w:rPr>
  </w:style>
  <w:style w:type="character" w:customStyle="1" w:styleId="Char11">
    <w:name w:val="正文文本 Char1"/>
    <w:qFormat/>
    <w:rPr>
      <w:rFonts w:ascii="宋体" w:eastAsia="宋体" w:hAnsi="Times New Roman" w:cs="Times New Roman"/>
      <w:kern w:val="0"/>
      <w:sz w:val="30"/>
      <w:szCs w:val="20"/>
    </w:rPr>
  </w:style>
  <w:style w:type="paragraph" w:customStyle="1" w:styleId="13">
    <w:name w:val="修订1"/>
    <w:uiPriority w:val="99"/>
    <w:semiHidden/>
    <w:qFormat/>
    <w:rPr>
      <w:rFonts w:ascii="Times New Roman" w:hAnsi="Times New Roman"/>
      <w:sz w:val="24"/>
    </w:rPr>
  </w:style>
  <w:style w:type="paragraph" w:customStyle="1" w:styleId="24">
    <w:name w:val="正文2"/>
    <w:qFormat/>
    <w:pPr>
      <w:widowControl w:val="0"/>
      <w:adjustRightInd w:val="0"/>
      <w:spacing w:line="360" w:lineRule="atLeast"/>
      <w:textAlignment w:val="baseline"/>
    </w:pPr>
    <w:rPr>
      <w:rFonts w:ascii="宋体" w:hAnsi="Times New Roman"/>
      <w:sz w:val="34"/>
    </w:rPr>
  </w:style>
  <w:style w:type="paragraph" w:customStyle="1" w:styleId="33">
    <w:name w:val="正文3"/>
    <w:qFormat/>
    <w:pPr>
      <w:widowControl w:val="0"/>
      <w:adjustRightInd w:val="0"/>
      <w:spacing w:line="360" w:lineRule="atLeast"/>
      <w:textAlignment w:val="baseline"/>
    </w:pPr>
    <w:rPr>
      <w:rFonts w:ascii="宋体" w:hAnsi="Times New Roman"/>
      <w:sz w:val="34"/>
    </w:rPr>
  </w:style>
  <w:style w:type="paragraph" w:customStyle="1" w:styleId="41">
    <w:name w:val="正文4"/>
    <w:qFormat/>
    <w:pPr>
      <w:widowControl w:val="0"/>
      <w:adjustRightInd w:val="0"/>
      <w:spacing w:line="360" w:lineRule="atLeast"/>
      <w:textAlignment w:val="baseline"/>
    </w:pPr>
    <w:rPr>
      <w:rFonts w:ascii="宋体" w:hAnsi="Times New Roman"/>
      <w:sz w:val="34"/>
    </w:rPr>
  </w:style>
  <w:style w:type="paragraph" w:customStyle="1" w:styleId="50">
    <w:name w:val="正文5"/>
    <w:qFormat/>
    <w:pPr>
      <w:widowControl w:val="0"/>
      <w:adjustRightInd w:val="0"/>
      <w:spacing w:line="360" w:lineRule="atLeast"/>
      <w:textAlignment w:val="baseline"/>
    </w:pPr>
    <w:rPr>
      <w:rFonts w:ascii="宋体" w:hAnsi="Times New Roman"/>
      <w:sz w:val="34"/>
    </w:rPr>
  </w:style>
  <w:style w:type="paragraph" w:customStyle="1" w:styleId="60">
    <w:name w:val="正文6"/>
    <w:qFormat/>
    <w:pPr>
      <w:widowControl w:val="0"/>
      <w:adjustRightInd w:val="0"/>
      <w:spacing w:line="360" w:lineRule="atLeast"/>
      <w:textAlignment w:val="baseline"/>
    </w:pPr>
    <w:rPr>
      <w:rFonts w:ascii="宋体" w:hAnsi="Times New Roman"/>
      <w:sz w:val="34"/>
    </w:rPr>
  </w:style>
  <w:style w:type="character" w:customStyle="1" w:styleId="Char12">
    <w:name w:val="批注框文本 Char1"/>
    <w:uiPriority w:val="99"/>
    <w:semiHidden/>
    <w:qFormat/>
    <w:rPr>
      <w:sz w:val="18"/>
      <w:szCs w:val="18"/>
    </w:rPr>
  </w:style>
  <w:style w:type="paragraph" w:customStyle="1" w:styleId="121">
    <w:name w:val="正文12"/>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Char13">
    <w:name w:val="Char1"/>
    <w:basedOn w:val="a"/>
    <w:qFormat/>
    <w:pPr>
      <w:adjustRightInd/>
      <w:spacing w:line="240" w:lineRule="auto"/>
      <w:jc w:val="both"/>
      <w:textAlignment w:val="auto"/>
    </w:pPr>
    <w:rPr>
      <w:rFonts w:ascii="宋体" w:hAnsi="宋体" w:cs="Courier New"/>
      <w:kern w:val="2"/>
      <w:sz w:val="32"/>
      <w:szCs w:val="32"/>
    </w:rPr>
  </w:style>
  <w:style w:type="character" w:customStyle="1" w:styleId="CharChar121">
    <w:name w:val="Char Char121"/>
    <w:qFormat/>
    <w:rPr>
      <w:sz w:val="18"/>
    </w:rPr>
  </w:style>
  <w:style w:type="character" w:customStyle="1" w:styleId="CharChar51">
    <w:name w:val="Char Char51"/>
    <w:qFormat/>
    <w:rPr>
      <w:rFonts w:ascii="Arial" w:eastAsia="仿宋_GB2312" w:hAnsi="Arial" w:cs="Arial"/>
      <w:sz w:val="28"/>
    </w:rPr>
  </w:style>
  <w:style w:type="character" w:customStyle="1" w:styleId="fwzhdz">
    <w:name w:val="fwzhdz"/>
    <w:basedOn w:val="a0"/>
    <w:qFormat/>
  </w:style>
  <w:style w:type="character" w:customStyle="1" w:styleId="fwzhnf">
    <w:name w:val="fwzhnf"/>
    <w:basedOn w:val="a0"/>
    <w:qFormat/>
  </w:style>
  <w:style w:type="character" w:customStyle="1" w:styleId="fwzhxh">
    <w:name w:val="fwzhxh"/>
    <w:basedOn w:val="a0"/>
    <w:qFormat/>
  </w:style>
  <w:style w:type="character" w:customStyle="1" w:styleId="af8">
    <w:name w:val="批注文字 字符"/>
    <w:uiPriority w:val="99"/>
    <w:qFormat/>
    <w:rPr>
      <w:rFonts w:ascii="Times New Roman" w:hAnsi="Times New Roman"/>
      <w:sz w:val="24"/>
    </w:rPr>
  </w:style>
  <w:style w:type="character" w:customStyle="1" w:styleId="af9">
    <w:name w:val="正文文本 字符"/>
    <w:qFormat/>
    <w:rPr>
      <w:rFonts w:ascii="宋体"/>
      <w:kern w:val="2"/>
      <w:sz w:val="30"/>
    </w:rPr>
  </w:style>
  <w:style w:type="character" w:customStyle="1" w:styleId="afa">
    <w:name w:val="正文文本缩进 字符"/>
    <w:qFormat/>
    <w:rPr>
      <w:rFonts w:ascii="仿宋_GB2312" w:eastAsia="仿宋_GB2312"/>
      <w:sz w:val="28"/>
    </w:rPr>
  </w:style>
  <w:style w:type="character" w:customStyle="1" w:styleId="afb">
    <w:name w:val="页脚 字符"/>
    <w:uiPriority w:val="99"/>
    <w:qFormat/>
    <w:rPr>
      <w:sz w:val="18"/>
    </w:rPr>
  </w:style>
  <w:style w:type="character" w:customStyle="1" w:styleId="afc">
    <w:name w:val="页眉 字符"/>
    <w:uiPriority w:val="99"/>
    <w:qFormat/>
    <w:rPr>
      <w:sz w:val="18"/>
    </w:rPr>
  </w:style>
  <w:style w:type="character" w:customStyle="1" w:styleId="14">
    <w:name w:val="标题 1 字符"/>
    <w:qFormat/>
    <w:rPr>
      <w:rFonts w:ascii="Arial" w:eastAsia="仿宋_GB2312" w:hAnsi="Arial"/>
      <w:b/>
      <w:sz w:val="28"/>
    </w:rPr>
  </w:style>
  <w:style w:type="character" w:customStyle="1" w:styleId="25">
    <w:name w:val="标题 2 字符"/>
    <w:qFormat/>
    <w:rPr>
      <w:rFonts w:ascii="Arial" w:eastAsia="仿宋_GB2312" w:hAnsi="Arial"/>
      <w:b/>
      <w:bCs/>
      <w:sz w:val="28"/>
    </w:rPr>
  </w:style>
  <w:style w:type="character" w:customStyle="1" w:styleId="34">
    <w:name w:val="标题 3 字符"/>
    <w:qFormat/>
    <w:rPr>
      <w:rFonts w:ascii="仿宋_GB2312" w:eastAsia="仿宋_GB2312" w:hAnsi="Arial"/>
      <w:sz w:val="28"/>
    </w:rPr>
  </w:style>
  <w:style w:type="character" w:customStyle="1" w:styleId="42">
    <w:name w:val="标题 4 字符"/>
    <w:qFormat/>
    <w:rPr>
      <w:rFonts w:ascii="仿宋_GB2312" w:eastAsia="仿宋_GB2312" w:hAnsi="Times New Roman"/>
      <w:sz w:val="28"/>
    </w:rPr>
  </w:style>
  <w:style w:type="character" w:customStyle="1" w:styleId="afd">
    <w:name w:val="文档结构图 字符"/>
    <w:qFormat/>
    <w:rPr>
      <w:rFonts w:ascii="Times New Roman" w:eastAsia="宋体" w:hAnsi="Times New Roman" w:cs="Times New Roman"/>
      <w:kern w:val="0"/>
      <w:sz w:val="24"/>
      <w:szCs w:val="20"/>
      <w:shd w:val="clear" w:color="auto" w:fill="000080"/>
    </w:rPr>
  </w:style>
  <w:style w:type="character" w:customStyle="1" w:styleId="35">
    <w:name w:val="正文文本 3 字符"/>
    <w:qFormat/>
    <w:rPr>
      <w:rFonts w:ascii="楷体_GB2312" w:eastAsia="楷体_GB2312" w:hAnsi="Arial" w:cs="Times New Roman"/>
      <w:kern w:val="0"/>
      <w:sz w:val="32"/>
      <w:szCs w:val="20"/>
    </w:rPr>
  </w:style>
  <w:style w:type="character" w:customStyle="1" w:styleId="afe">
    <w:name w:val="纯文本 字符"/>
    <w:qFormat/>
    <w:rPr>
      <w:rFonts w:ascii="宋体" w:eastAsia="宋体" w:hAnsi="Courier New" w:cs="Times New Roman"/>
      <w:szCs w:val="20"/>
    </w:rPr>
  </w:style>
  <w:style w:type="character" w:customStyle="1" w:styleId="aff">
    <w:name w:val="日期 字符"/>
    <w:qFormat/>
    <w:rPr>
      <w:rFonts w:ascii="楷体_GB2312" w:eastAsia="楷体_GB2312" w:hAnsi="Times New Roman" w:cs="Times New Roman"/>
      <w:b/>
      <w:kern w:val="0"/>
      <w:sz w:val="28"/>
      <w:szCs w:val="20"/>
    </w:rPr>
  </w:style>
  <w:style w:type="character" w:customStyle="1" w:styleId="26">
    <w:name w:val="正文文本缩进 2 字符"/>
    <w:qFormat/>
    <w:rPr>
      <w:rFonts w:ascii="仿宋_GB2312" w:eastAsia="仿宋_GB2312" w:hAnsi="Times New Roman" w:cs="Times New Roman"/>
      <w:kern w:val="0"/>
      <w:sz w:val="28"/>
      <w:szCs w:val="20"/>
    </w:rPr>
  </w:style>
  <w:style w:type="character" w:customStyle="1" w:styleId="aff0">
    <w:name w:val="批注框文本 字符"/>
    <w:uiPriority w:val="99"/>
    <w:qFormat/>
    <w:rPr>
      <w:rFonts w:ascii="Times New Roman" w:eastAsia="宋体" w:hAnsi="Times New Roman" w:cs="Times New Roman"/>
      <w:kern w:val="0"/>
      <w:sz w:val="18"/>
      <w:szCs w:val="18"/>
    </w:rPr>
  </w:style>
  <w:style w:type="character" w:customStyle="1" w:styleId="aff1">
    <w:name w:val="脚注文本 字符"/>
    <w:qFormat/>
    <w:rPr>
      <w:rFonts w:ascii="Times New Roman" w:hAnsi="Times New Roman"/>
      <w:kern w:val="2"/>
      <w:sz w:val="18"/>
      <w:szCs w:val="18"/>
    </w:rPr>
  </w:style>
  <w:style w:type="character" w:customStyle="1" w:styleId="36">
    <w:name w:val="正文文本缩进 3 字符"/>
    <w:qFormat/>
    <w:rPr>
      <w:rFonts w:ascii="Arial" w:eastAsia="仿宋_GB2312" w:hAnsi="Arial" w:cs="Arial"/>
      <w:kern w:val="0"/>
      <w:sz w:val="28"/>
      <w:szCs w:val="20"/>
    </w:rPr>
  </w:style>
  <w:style w:type="character" w:customStyle="1" w:styleId="27">
    <w:name w:val="正文文本 2 字符"/>
    <w:qFormat/>
    <w:rPr>
      <w:rFonts w:ascii="仿宋_GB2312" w:eastAsia="仿宋_GB2312" w:hAnsi="Arial" w:cs="Times New Roman"/>
      <w:kern w:val="0"/>
      <w:sz w:val="28"/>
      <w:szCs w:val="20"/>
    </w:rPr>
  </w:style>
  <w:style w:type="character" w:customStyle="1" w:styleId="HTML0">
    <w:name w:val="HTML 预设格式 字符"/>
    <w:uiPriority w:val="99"/>
    <w:qFormat/>
    <w:rPr>
      <w:rFonts w:ascii="宋体" w:eastAsia="宋体" w:hAnsi="宋体" w:cs="Times New Roman"/>
      <w:kern w:val="0"/>
      <w:sz w:val="24"/>
      <w:szCs w:val="24"/>
    </w:rPr>
  </w:style>
  <w:style w:type="character" w:customStyle="1" w:styleId="aff2">
    <w:name w:val="批注主题 字符"/>
    <w:uiPriority w:val="99"/>
    <w:qFormat/>
    <w:rPr>
      <w:rFonts w:ascii="Times New Roman" w:hAnsi="Times New Roman"/>
      <w:b/>
      <w:bCs/>
      <w:sz w:val="24"/>
    </w:rPr>
  </w:style>
  <w:style w:type="character" w:customStyle="1" w:styleId="aff3">
    <w:name w:val="正文文本首行缩进 字符"/>
    <w:qFormat/>
    <w:rPr>
      <w:rFonts w:ascii="Times New Roman" w:eastAsia="宋体" w:hAnsi="Times New Roman" w:cs="Times New Roman"/>
      <w:sz w:val="30"/>
      <w:szCs w:val="20"/>
    </w:rPr>
  </w:style>
  <w:style w:type="paragraph" w:customStyle="1" w:styleId="-31">
    <w:name w:val="浅色列表 - 强调文字颜色 31"/>
    <w:uiPriority w:val="99"/>
    <w:semiHidden/>
    <w:qFormat/>
    <w:rPr>
      <w:rFonts w:ascii="Times New Roman" w:hAnsi="Times New Roman"/>
      <w:sz w:val="24"/>
    </w:rPr>
  </w:style>
  <w:style w:type="paragraph" w:customStyle="1" w:styleId="-310">
    <w:name w:val="浅色网格 - 强调文字颜色 31"/>
    <w:basedOn w:val="a"/>
    <w:uiPriority w:val="34"/>
    <w:qFormat/>
    <w:pPr>
      <w:ind w:firstLineChars="200" w:firstLine="420"/>
    </w:pPr>
  </w:style>
  <w:style w:type="paragraph" w:customStyle="1" w:styleId="Revision1">
    <w:name w:val="Revision1"/>
    <w:hidden/>
    <w:uiPriority w:val="99"/>
    <w:unhideWhenUsed/>
    <w:qFormat/>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uiPriority="0" w:qFormat="1"/>
    <w:lsdException w:name="annotation text"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lang w:val="zh-CN"/>
    </w:rPr>
  </w:style>
  <w:style w:type="paragraph" w:styleId="2">
    <w:name w:val="heading 2"/>
    <w:basedOn w:val="a"/>
    <w:next w:val="a"/>
    <w:link w:val="2Char"/>
    <w:qFormat/>
    <w:pPr>
      <w:keepNext/>
      <w:numPr>
        <w:numId w:val="2"/>
      </w:numPr>
      <w:spacing w:line="300" w:lineRule="auto"/>
      <w:outlineLvl w:val="1"/>
    </w:pPr>
    <w:rPr>
      <w:rFonts w:ascii="Arial" w:eastAsia="仿宋_GB2312" w:hAnsi="Arial"/>
      <w:b/>
      <w:bCs/>
      <w:sz w:val="28"/>
      <w:lang w:val="zh-CN"/>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lang w:val="zh-CN"/>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Char"/>
    <w:qFormat/>
    <w:pPr>
      <w:shd w:val="clear" w:color="auto" w:fill="000080"/>
    </w:pPr>
    <w:rPr>
      <w:lang w:val="zh-CN"/>
    </w:rPr>
  </w:style>
  <w:style w:type="paragraph" w:styleId="a5">
    <w:name w:val="annotation text"/>
    <w:basedOn w:val="a"/>
    <w:link w:val="Char0"/>
    <w:uiPriority w:val="99"/>
    <w:unhideWhenUsed/>
    <w:qFormat/>
    <w:rPr>
      <w:lang w:val="zh-CN"/>
    </w:rPr>
  </w:style>
  <w:style w:type="paragraph" w:styleId="30">
    <w:name w:val="Body Text 3"/>
    <w:basedOn w:val="a"/>
    <w:link w:val="3Char0"/>
    <w:qFormat/>
    <w:pPr>
      <w:spacing w:line="288" w:lineRule="auto"/>
      <w:jc w:val="both"/>
    </w:pPr>
    <w:rPr>
      <w:rFonts w:ascii="楷体_GB2312" w:eastAsia="楷体_GB2312" w:hAnsi="Arial"/>
      <w:sz w:val="32"/>
      <w:lang w:val="zh-CN"/>
    </w:rPr>
  </w:style>
  <w:style w:type="paragraph" w:styleId="a6">
    <w:name w:val="Body Text"/>
    <w:basedOn w:val="a"/>
    <w:link w:val="Char1"/>
    <w:qFormat/>
    <w:pPr>
      <w:adjustRightInd/>
      <w:spacing w:line="240" w:lineRule="auto"/>
      <w:jc w:val="both"/>
      <w:textAlignment w:val="auto"/>
    </w:pPr>
    <w:rPr>
      <w:rFonts w:ascii="宋体"/>
      <w:sz w:val="30"/>
      <w:lang w:val="zh-CN"/>
    </w:rPr>
  </w:style>
  <w:style w:type="paragraph" w:styleId="a7">
    <w:name w:val="Body Text Indent"/>
    <w:basedOn w:val="a"/>
    <w:link w:val="Char2"/>
    <w:qFormat/>
    <w:pPr>
      <w:spacing w:line="400" w:lineRule="atLeast"/>
      <w:ind w:firstLine="570"/>
    </w:pPr>
    <w:rPr>
      <w:rFonts w:ascii="仿宋_GB2312" w:eastAsia="仿宋_GB2312"/>
      <w:sz w:val="28"/>
      <w:lang w:val="zh-CN"/>
    </w:rPr>
  </w:style>
  <w:style w:type="paragraph" w:styleId="5">
    <w:name w:val="toc 5"/>
    <w:basedOn w:val="a"/>
    <w:next w:val="a"/>
    <w:uiPriority w:val="39"/>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basedOn w:val="a"/>
    <w:link w:val="Char3"/>
    <w:qFormat/>
    <w:pPr>
      <w:adjustRightInd/>
      <w:spacing w:line="240" w:lineRule="auto"/>
      <w:jc w:val="both"/>
      <w:textAlignment w:val="auto"/>
    </w:pPr>
    <w:rPr>
      <w:rFonts w:ascii="宋体" w:hAnsi="Courier New"/>
      <w:sz w:val="20"/>
      <w:lang w:val="zh-CN"/>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qFormat/>
    <w:pPr>
      <w:jc w:val="both"/>
    </w:pPr>
    <w:rPr>
      <w:rFonts w:ascii="楷体_GB2312" w:eastAsia="楷体_GB2312"/>
      <w:b/>
      <w:sz w:val="28"/>
      <w:lang w:val="zh-CN"/>
    </w:rPr>
  </w:style>
  <w:style w:type="paragraph" w:styleId="20">
    <w:name w:val="Body Text Indent 2"/>
    <w:basedOn w:val="a"/>
    <w:link w:val="2Char0"/>
    <w:qFormat/>
    <w:pPr>
      <w:spacing w:line="360" w:lineRule="exact"/>
      <w:ind w:firstLineChars="200" w:firstLine="560"/>
      <w:jc w:val="both"/>
      <w:outlineLvl w:val="0"/>
    </w:pPr>
    <w:rPr>
      <w:rFonts w:ascii="仿宋_GB2312" w:eastAsia="仿宋_GB2312"/>
      <w:sz w:val="28"/>
      <w:lang w:val="zh-CN"/>
    </w:rPr>
  </w:style>
  <w:style w:type="paragraph" w:styleId="aa">
    <w:name w:val="Balloon Text"/>
    <w:basedOn w:val="a"/>
    <w:link w:val="Char5"/>
    <w:uiPriority w:val="99"/>
    <w:qFormat/>
    <w:rPr>
      <w:sz w:val="18"/>
      <w:szCs w:val="18"/>
      <w:lang w:val="zh-CN"/>
    </w:rPr>
  </w:style>
  <w:style w:type="paragraph" w:styleId="ab">
    <w:name w:val="footer"/>
    <w:basedOn w:val="a"/>
    <w:link w:val="Char6"/>
    <w:uiPriority w:val="99"/>
    <w:qFormat/>
    <w:pPr>
      <w:tabs>
        <w:tab w:val="center" w:pos="4153"/>
        <w:tab w:val="right" w:pos="8306"/>
      </w:tabs>
      <w:spacing w:line="240" w:lineRule="atLeast"/>
    </w:pPr>
    <w:rPr>
      <w:sz w:val="18"/>
      <w:lang w:val="zh-CN"/>
    </w:rPr>
  </w:style>
  <w:style w:type="paragraph" w:styleId="ac">
    <w:name w:val="header"/>
    <w:basedOn w:val="a"/>
    <w:link w:val="Char7"/>
    <w:uiPriority w:val="99"/>
    <w:qFormat/>
    <w:pPr>
      <w:pBdr>
        <w:bottom w:val="single" w:sz="6" w:space="1" w:color="auto"/>
      </w:pBdr>
      <w:tabs>
        <w:tab w:val="center" w:pos="4153"/>
        <w:tab w:val="right" w:pos="8306"/>
      </w:tabs>
      <w:spacing w:line="240" w:lineRule="atLeast"/>
      <w:jc w:val="center"/>
    </w:pPr>
    <w:rPr>
      <w:sz w:val="18"/>
      <w:lang w:val="zh-CN"/>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d">
    <w:name w:val="footnote text"/>
    <w:basedOn w:val="a"/>
    <w:link w:val="Char8"/>
    <w:qFormat/>
    <w:pPr>
      <w:adjustRightInd/>
      <w:snapToGrid w:val="0"/>
      <w:spacing w:line="240" w:lineRule="auto"/>
      <w:textAlignment w:val="auto"/>
    </w:pPr>
    <w:rPr>
      <w:kern w:val="2"/>
      <w:sz w:val="18"/>
      <w:szCs w:val="18"/>
      <w:lang w:val="zh-CN"/>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qFormat/>
    <w:pPr>
      <w:spacing w:line="440" w:lineRule="atLeast"/>
      <w:ind w:firstLine="600"/>
      <w:jc w:val="both"/>
    </w:pPr>
    <w:rPr>
      <w:rFonts w:ascii="Arial" w:eastAsia="仿宋_GB2312" w:hAnsi="Arial"/>
      <w:sz w:val="28"/>
      <w:lang w:val="zh-CN"/>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qFormat/>
    <w:pPr>
      <w:autoSpaceDE w:val="0"/>
      <w:autoSpaceDN w:val="0"/>
      <w:spacing w:line="440" w:lineRule="exact"/>
      <w:jc w:val="both"/>
    </w:pPr>
    <w:rPr>
      <w:rFonts w:ascii="仿宋_GB2312" w:eastAsia="仿宋_GB2312" w:hAnsi="Arial"/>
      <w:sz w:val="28"/>
      <w:lang w:val="zh-CN"/>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zh-CN"/>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5"/>
    <w:next w:val="a5"/>
    <w:link w:val="Char9"/>
    <w:uiPriority w:val="99"/>
    <w:unhideWhenUsed/>
    <w:qFormat/>
    <w:rPr>
      <w:b/>
      <w:bCs/>
    </w:rPr>
  </w:style>
  <w:style w:type="paragraph" w:styleId="af0">
    <w:name w:val="Body Text First Indent"/>
    <w:basedOn w:val="a6"/>
    <w:link w:val="Chara"/>
    <w:qFormat/>
    <w:pPr>
      <w:spacing w:after="120"/>
      <w:ind w:firstLine="420"/>
    </w:pPr>
    <w:rPr>
      <w:rFonts w:ascii="Times New Roman"/>
    </w:rPr>
  </w:style>
  <w:style w:type="table" w:styleId="af1">
    <w:name w:val="Table Grid"/>
    <w:basedOn w:val="a1"/>
    <w:qFormat/>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qFormat/>
    <w:rPr>
      <w:b/>
      <w:bCs/>
    </w:rPr>
  </w:style>
  <w:style w:type="character" w:styleId="af3">
    <w:name w:val="page number"/>
    <w:basedOn w:val="a0"/>
    <w:qFormat/>
  </w:style>
  <w:style w:type="character" w:styleId="af4">
    <w:name w:val="Emphasis"/>
    <w:uiPriority w:val="20"/>
    <w:qFormat/>
    <w:rPr>
      <w:i/>
      <w:iCs/>
    </w:rPr>
  </w:style>
  <w:style w:type="character" w:styleId="af5">
    <w:name w:val="Hyperlink"/>
    <w:uiPriority w:val="99"/>
    <w:unhideWhenUsed/>
    <w:qFormat/>
    <w:rPr>
      <w:color w:val="0000FF"/>
      <w:u w:val="single"/>
    </w:rPr>
  </w:style>
  <w:style w:type="character" w:styleId="af6">
    <w:name w:val="annotation reference"/>
    <w:unhideWhenUsed/>
    <w:qFormat/>
    <w:rPr>
      <w:sz w:val="21"/>
      <w:szCs w:val="21"/>
    </w:rPr>
  </w:style>
  <w:style w:type="character" w:customStyle="1" w:styleId="1Char">
    <w:name w:val="标题 1 Char"/>
    <w:link w:val="1"/>
    <w:qFormat/>
    <w:rPr>
      <w:rFonts w:ascii="Arial" w:eastAsia="仿宋_GB2312" w:hAnsi="Arial"/>
      <w:b/>
      <w:sz w:val="28"/>
      <w:lang w:val="zh-CN" w:eastAsia="zh-CN"/>
    </w:rPr>
  </w:style>
  <w:style w:type="character" w:customStyle="1" w:styleId="2Char">
    <w:name w:val="标题 2 Char"/>
    <w:link w:val="2"/>
    <w:qFormat/>
    <w:rPr>
      <w:rFonts w:ascii="Arial" w:eastAsia="仿宋_GB2312" w:hAnsi="Arial"/>
      <w:b/>
      <w:bCs/>
      <w:sz w:val="28"/>
      <w:lang w:val="zh-CN" w:eastAsia="zh-CN"/>
    </w:rPr>
  </w:style>
  <w:style w:type="character" w:customStyle="1" w:styleId="3Char">
    <w:name w:val="标题 3 Char"/>
    <w:link w:val="3"/>
    <w:qFormat/>
    <w:rPr>
      <w:rFonts w:ascii="仿宋_GB2312" w:eastAsia="仿宋_GB2312" w:hAnsi="Arial"/>
      <w:sz w:val="28"/>
      <w:lang w:val="zh-CN" w:eastAsia="zh-CN"/>
    </w:rPr>
  </w:style>
  <w:style w:type="character" w:customStyle="1" w:styleId="4Char">
    <w:name w:val="标题 4 Char"/>
    <w:link w:val="4"/>
    <w:qFormat/>
    <w:rPr>
      <w:rFonts w:ascii="仿宋_GB2312" w:eastAsia="仿宋_GB2312" w:hAnsi="Times New Roman"/>
      <w:sz w:val="28"/>
      <w:lang w:val="zh-CN" w:eastAsia="zh-CN"/>
    </w:rPr>
  </w:style>
  <w:style w:type="character" w:customStyle="1" w:styleId="Char7">
    <w:name w:val="页眉 Char"/>
    <w:link w:val="ac"/>
    <w:uiPriority w:val="99"/>
    <w:qFormat/>
    <w:rPr>
      <w:rFonts w:ascii="Times New Roman" w:eastAsia="宋体" w:hAnsi="Times New Roman" w:cs="Times New Roman"/>
      <w:kern w:val="0"/>
      <w:sz w:val="18"/>
      <w:szCs w:val="20"/>
    </w:rPr>
  </w:style>
  <w:style w:type="character" w:customStyle="1" w:styleId="Char6">
    <w:name w:val="页脚 Char"/>
    <w:link w:val="ab"/>
    <w:uiPriority w:val="99"/>
    <w:qFormat/>
    <w:rPr>
      <w:rFonts w:ascii="Times New Roman" w:eastAsia="宋体" w:hAnsi="Times New Roman" w:cs="Times New Roman"/>
      <w:kern w:val="0"/>
      <w:sz w:val="18"/>
      <w:szCs w:val="20"/>
    </w:rPr>
  </w:style>
  <w:style w:type="character" w:customStyle="1" w:styleId="Char">
    <w:name w:val="文档结构图 Char"/>
    <w:link w:val="a4"/>
    <w:qFormat/>
    <w:rPr>
      <w:rFonts w:ascii="Times New Roman" w:eastAsia="宋体" w:hAnsi="Times New Roman" w:cs="Times New Roman"/>
      <w:kern w:val="0"/>
      <w:sz w:val="24"/>
      <w:szCs w:val="20"/>
      <w:shd w:val="clear" w:color="auto" w:fill="000080"/>
    </w:rPr>
  </w:style>
  <w:style w:type="character" w:customStyle="1" w:styleId="Char1">
    <w:name w:val="正文文本 Char"/>
    <w:link w:val="a6"/>
    <w:qFormat/>
    <w:rPr>
      <w:rFonts w:ascii="宋体" w:eastAsia="宋体" w:hAnsi="Times New Roman" w:cs="Times New Roman"/>
      <w:sz w:val="30"/>
      <w:szCs w:val="20"/>
    </w:rPr>
  </w:style>
  <w:style w:type="character" w:customStyle="1" w:styleId="Chara">
    <w:name w:val="正文首行缩进 Char"/>
    <w:link w:val="af0"/>
    <w:qFormat/>
    <w:rPr>
      <w:rFonts w:ascii="Times New Roman" w:eastAsia="宋体" w:hAnsi="Times New Roman" w:cs="Times New Roman"/>
      <w:sz w:val="30"/>
      <w:szCs w:val="20"/>
    </w:rPr>
  </w:style>
  <w:style w:type="character" w:customStyle="1" w:styleId="Char2">
    <w:name w:val="正文文本缩进 Char"/>
    <w:link w:val="a7"/>
    <w:qFormat/>
    <w:rPr>
      <w:rFonts w:ascii="仿宋_GB2312" w:eastAsia="仿宋_GB2312" w:cs="Times New Roman"/>
      <w:kern w:val="0"/>
      <w:sz w:val="28"/>
      <w:szCs w:val="20"/>
    </w:rPr>
  </w:style>
  <w:style w:type="character" w:customStyle="1" w:styleId="2Char0">
    <w:name w:val="正文文本缩进 2 Char"/>
    <w:link w:val="20"/>
    <w:qFormat/>
    <w:rPr>
      <w:rFonts w:ascii="仿宋_GB2312" w:eastAsia="仿宋_GB2312" w:hAnsi="Times New Roman" w:cs="Times New Roman"/>
      <w:kern w:val="0"/>
      <w:sz w:val="28"/>
      <w:szCs w:val="20"/>
    </w:rPr>
  </w:style>
  <w:style w:type="character" w:customStyle="1" w:styleId="3Char1">
    <w:name w:val="正文文本缩进 3 Char"/>
    <w:link w:val="32"/>
    <w:qFormat/>
    <w:rPr>
      <w:rFonts w:ascii="Arial" w:eastAsia="仿宋_GB2312" w:hAnsi="Arial" w:cs="Arial"/>
      <w:kern w:val="0"/>
      <w:sz w:val="28"/>
      <w:szCs w:val="20"/>
    </w:rPr>
  </w:style>
  <w:style w:type="character" w:customStyle="1" w:styleId="2Char1">
    <w:name w:val="正文文本 2 Char"/>
    <w:link w:val="22"/>
    <w:qFormat/>
    <w:rPr>
      <w:rFonts w:ascii="仿宋_GB2312" w:eastAsia="仿宋_GB2312" w:hAnsi="Arial" w:cs="Times New Roman"/>
      <w:kern w:val="0"/>
      <w:sz w:val="28"/>
      <w:szCs w:val="20"/>
    </w:rPr>
  </w:style>
  <w:style w:type="character" w:customStyle="1" w:styleId="Char3">
    <w:name w:val="纯文本 Char"/>
    <w:link w:val="a8"/>
    <w:qFormat/>
    <w:rPr>
      <w:rFonts w:ascii="宋体" w:eastAsia="宋体" w:hAnsi="Courier New" w:cs="Times New Roman"/>
      <w:szCs w:val="20"/>
    </w:rPr>
  </w:style>
  <w:style w:type="character" w:customStyle="1" w:styleId="3Char0">
    <w:name w:val="正文文本 3 Char"/>
    <w:link w:val="30"/>
    <w:qFormat/>
    <w:rPr>
      <w:rFonts w:ascii="楷体_GB2312" w:eastAsia="楷体_GB2312" w:hAnsi="Arial" w:cs="Times New Roman"/>
      <w:kern w:val="0"/>
      <w:sz w:val="32"/>
      <w:szCs w:val="20"/>
    </w:rPr>
  </w:style>
  <w:style w:type="paragraph" w:customStyle="1" w:styleId="11">
    <w:name w:val="正文1"/>
    <w:qFormat/>
    <w:pPr>
      <w:widowControl w:val="0"/>
      <w:adjustRightInd w:val="0"/>
      <w:spacing w:line="360" w:lineRule="atLeast"/>
      <w:textAlignment w:val="baseline"/>
    </w:pPr>
    <w:rPr>
      <w:rFonts w:ascii="宋体" w:hAnsi="Times New Roman"/>
      <w:sz w:val="34"/>
    </w:rPr>
  </w:style>
  <w:style w:type="character" w:customStyle="1" w:styleId="Char4">
    <w:name w:val="日期 Char"/>
    <w:link w:val="a9"/>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Char">
    <w:name w:val="HTML 预设格式 Char"/>
    <w:link w:val="HTML"/>
    <w:uiPriority w:val="99"/>
    <w:qFormat/>
    <w:rPr>
      <w:rFonts w:ascii="宋体" w:eastAsia="宋体" w:hAnsi="宋体" w:cs="Times New Roman"/>
      <w:kern w:val="0"/>
      <w:sz w:val="24"/>
      <w:szCs w:val="24"/>
    </w:rPr>
  </w:style>
  <w:style w:type="paragraph" w:customStyle="1" w:styleId="23">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b">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Char5">
    <w:name w:val="批注框文本 Char"/>
    <w:link w:val="aa"/>
    <w:uiPriority w:val="99"/>
    <w:qFormat/>
    <w:rPr>
      <w:rFonts w:ascii="Times New Roman" w:eastAsia="宋体" w:hAnsi="Times New Roman" w:cs="Times New Roman"/>
      <w:kern w:val="0"/>
      <w:sz w:val="18"/>
      <w:szCs w:val="18"/>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character" w:customStyle="1" w:styleId="Char0">
    <w:name w:val="批注文字 Char"/>
    <w:link w:val="a5"/>
    <w:uiPriority w:val="99"/>
    <w:qFormat/>
    <w:rPr>
      <w:rFonts w:ascii="Times New Roman" w:hAnsi="Times New Roman"/>
      <w:sz w:val="24"/>
    </w:rPr>
  </w:style>
  <w:style w:type="character" w:customStyle="1" w:styleId="Char9">
    <w:name w:val="批注主题 Char"/>
    <w:link w:val="af"/>
    <w:uiPriority w:val="99"/>
    <w:qFormat/>
    <w:rPr>
      <w:rFonts w:ascii="Times New Roman" w:hAnsi="Times New Roman"/>
      <w:b/>
      <w:bCs/>
      <w:sz w:val="24"/>
    </w:rPr>
  </w:style>
  <w:style w:type="paragraph" w:customStyle="1" w:styleId="-32">
    <w:name w:val="浅色列表 - 强调文字颜色 32"/>
    <w:hidden/>
    <w:uiPriority w:val="99"/>
    <w:semiHidden/>
    <w:qFormat/>
    <w:rPr>
      <w:rFonts w:ascii="Times New Roman" w:hAnsi="Times New Roman"/>
      <w:sz w:val="24"/>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320">
    <w:name w:val="浅色网格 - 强调文字颜色 32"/>
    <w:basedOn w:val="a"/>
    <w:uiPriority w:val="34"/>
    <w:qFormat/>
    <w:pPr>
      <w:ind w:firstLineChars="200" w:firstLine="420"/>
    </w:pPr>
  </w:style>
  <w:style w:type="paragraph" w:customStyle="1" w:styleId="12">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lang w:val="zh-CN"/>
    </w:rPr>
  </w:style>
  <w:style w:type="character" w:customStyle="1" w:styleId="1Char0">
    <w:name w:val="正文1 Char"/>
    <w:link w:val="12"/>
    <w:qFormat/>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af7">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Char8">
    <w:name w:val="脚注文本 Char"/>
    <w:link w:val="ad"/>
    <w:qFormat/>
    <w:rPr>
      <w:rFonts w:ascii="Times New Roman" w:hAnsi="Times New Roman"/>
      <w:kern w:val="2"/>
      <w:sz w:val="18"/>
      <w:szCs w:val="18"/>
    </w:rPr>
  </w:style>
  <w:style w:type="paragraph" w:customStyle="1" w:styleId="120">
    <w:name w:val="12"/>
    <w:basedOn w:val="20"/>
    <w:qFormat/>
    <w:pPr>
      <w:adjustRightInd/>
      <w:spacing w:before="120" w:line="360" w:lineRule="auto"/>
      <w:ind w:firstLineChars="0" w:firstLine="0"/>
      <w:jc w:val="center"/>
      <w:textAlignment w:val="auto"/>
      <w:outlineLvl w:val="9"/>
    </w:pPr>
    <w:rPr>
      <w:rFonts w:ascii="Times New Roman" w:eastAsia="黑体"/>
      <w:kern w:val="2"/>
      <w:sz w:val="48"/>
      <w:lang w:val="en-US"/>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0">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Charc">
    <w:name w:val="Char"/>
    <w:basedOn w:val="a"/>
    <w:qFormat/>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qFormat/>
    <w:rPr>
      <w:sz w:val="18"/>
    </w:rPr>
  </w:style>
  <w:style w:type="character" w:customStyle="1" w:styleId="CharChar50">
    <w:name w:val="Char Char5"/>
    <w:qFormat/>
    <w:rPr>
      <w:rFonts w:ascii="Arial" w:eastAsia="仿宋_GB2312" w:hAnsi="Arial" w:cs="Arial"/>
      <w:sz w:val="28"/>
    </w:rPr>
  </w:style>
  <w:style w:type="character" w:customStyle="1" w:styleId="apple-converted-space">
    <w:name w:val="apple-converted-space"/>
    <w:qFormat/>
  </w:style>
  <w:style w:type="table" w:customStyle="1" w:styleId="TableGrid">
    <w:name w:val="TableGrid"/>
    <w:qFormat/>
    <w:rPr>
      <w:kern w:val="2"/>
      <w:sz w:val="21"/>
      <w:szCs w:val="22"/>
    </w:rPr>
    <w:tblPr>
      <w:tblCellMar>
        <w:top w:w="0" w:type="dxa"/>
        <w:left w:w="0" w:type="dxa"/>
        <w:bottom w:w="0" w:type="dxa"/>
        <w:right w:w="0" w:type="dxa"/>
      </w:tblCellMar>
    </w:tblPr>
  </w:style>
  <w:style w:type="character" w:customStyle="1" w:styleId="description">
    <w:name w:val="description"/>
    <w:basedOn w:val="a0"/>
    <w:qFormat/>
  </w:style>
  <w:style w:type="character" w:customStyle="1" w:styleId="Char10">
    <w:name w:val="文档结构图 Char1"/>
    <w:uiPriority w:val="99"/>
    <w:qFormat/>
    <w:rPr>
      <w:rFonts w:ascii="宋体" w:eastAsia="宋体" w:hAnsi="Times New Roman" w:cs="Times New Roman"/>
      <w:kern w:val="0"/>
      <w:sz w:val="18"/>
      <w:szCs w:val="18"/>
    </w:rPr>
  </w:style>
  <w:style w:type="character" w:customStyle="1" w:styleId="Char11">
    <w:name w:val="正文文本 Char1"/>
    <w:qFormat/>
    <w:rPr>
      <w:rFonts w:ascii="宋体" w:eastAsia="宋体" w:hAnsi="Times New Roman" w:cs="Times New Roman"/>
      <w:kern w:val="0"/>
      <w:sz w:val="30"/>
      <w:szCs w:val="20"/>
    </w:rPr>
  </w:style>
  <w:style w:type="paragraph" w:customStyle="1" w:styleId="13">
    <w:name w:val="修订1"/>
    <w:uiPriority w:val="99"/>
    <w:semiHidden/>
    <w:qFormat/>
    <w:rPr>
      <w:rFonts w:ascii="Times New Roman" w:hAnsi="Times New Roman"/>
      <w:sz w:val="24"/>
    </w:rPr>
  </w:style>
  <w:style w:type="paragraph" w:customStyle="1" w:styleId="24">
    <w:name w:val="正文2"/>
    <w:qFormat/>
    <w:pPr>
      <w:widowControl w:val="0"/>
      <w:adjustRightInd w:val="0"/>
      <w:spacing w:line="360" w:lineRule="atLeast"/>
      <w:textAlignment w:val="baseline"/>
    </w:pPr>
    <w:rPr>
      <w:rFonts w:ascii="宋体" w:hAnsi="Times New Roman"/>
      <w:sz w:val="34"/>
    </w:rPr>
  </w:style>
  <w:style w:type="paragraph" w:customStyle="1" w:styleId="33">
    <w:name w:val="正文3"/>
    <w:qFormat/>
    <w:pPr>
      <w:widowControl w:val="0"/>
      <w:adjustRightInd w:val="0"/>
      <w:spacing w:line="360" w:lineRule="atLeast"/>
      <w:textAlignment w:val="baseline"/>
    </w:pPr>
    <w:rPr>
      <w:rFonts w:ascii="宋体" w:hAnsi="Times New Roman"/>
      <w:sz w:val="34"/>
    </w:rPr>
  </w:style>
  <w:style w:type="paragraph" w:customStyle="1" w:styleId="41">
    <w:name w:val="正文4"/>
    <w:qFormat/>
    <w:pPr>
      <w:widowControl w:val="0"/>
      <w:adjustRightInd w:val="0"/>
      <w:spacing w:line="360" w:lineRule="atLeast"/>
      <w:textAlignment w:val="baseline"/>
    </w:pPr>
    <w:rPr>
      <w:rFonts w:ascii="宋体" w:hAnsi="Times New Roman"/>
      <w:sz w:val="34"/>
    </w:rPr>
  </w:style>
  <w:style w:type="paragraph" w:customStyle="1" w:styleId="50">
    <w:name w:val="正文5"/>
    <w:qFormat/>
    <w:pPr>
      <w:widowControl w:val="0"/>
      <w:adjustRightInd w:val="0"/>
      <w:spacing w:line="360" w:lineRule="atLeast"/>
      <w:textAlignment w:val="baseline"/>
    </w:pPr>
    <w:rPr>
      <w:rFonts w:ascii="宋体" w:hAnsi="Times New Roman"/>
      <w:sz w:val="34"/>
    </w:rPr>
  </w:style>
  <w:style w:type="paragraph" w:customStyle="1" w:styleId="60">
    <w:name w:val="正文6"/>
    <w:qFormat/>
    <w:pPr>
      <w:widowControl w:val="0"/>
      <w:adjustRightInd w:val="0"/>
      <w:spacing w:line="360" w:lineRule="atLeast"/>
      <w:textAlignment w:val="baseline"/>
    </w:pPr>
    <w:rPr>
      <w:rFonts w:ascii="宋体" w:hAnsi="Times New Roman"/>
      <w:sz w:val="34"/>
    </w:rPr>
  </w:style>
  <w:style w:type="character" w:customStyle="1" w:styleId="Char12">
    <w:name w:val="批注框文本 Char1"/>
    <w:uiPriority w:val="99"/>
    <w:semiHidden/>
    <w:qFormat/>
    <w:rPr>
      <w:sz w:val="18"/>
      <w:szCs w:val="18"/>
    </w:rPr>
  </w:style>
  <w:style w:type="paragraph" w:customStyle="1" w:styleId="121">
    <w:name w:val="正文12"/>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Char13">
    <w:name w:val="Char1"/>
    <w:basedOn w:val="a"/>
    <w:qFormat/>
    <w:pPr>
      <w:adjustRightInd/>
      <w:spacing w:line="240" w:lineRule="auto"/>
      <w:jc w:val="both"/>
      <w:textAlignment w:val="auto"/>
    </w:pPr>
    <w:rPr>
      <w:rFonts w:ascii="宋体" w:hAnsi="宋体" w:cs="Courier New"/>
      <w:kern w:val="2"/>
      <w:sz w:val="32"/>
      <w:szCs w:val="32"/>
    </w:rPr>
  </w:style>
  <w:style w:type="character" w:customStyle="1" w:styleId="CharChar121">
    <w:name w:val="Char Char121"/>
    <w:qFormat/>
    <w:rPr>
      <w:sz w:val="18"/>
    </w:rPr>
  </w:style>
  <w:style w:type="character" w:customStyle="1" w:styleId="CharChar51">
    <w:name w:val="Char Char51"/>
    <w:qFormat/>
    <w:rPr>
      <w:rFonts w:ascii="Arial" w:eastAsia="仿宋_GB2312" w:hAnsi="Arial" w:cs="Arial"/>
      <w:sz w:val="28"/>
    </w:rPr>
  </w:style>
  <w:style w:type="character" w:customStyle="1" w:styleId="fwzhdz">
    <w:name w:val="fwzhdz"/>
    <w:basedOn w:val="a0"/>
    <w:qFormat/>
  </w:style>
  <w:style w:type="character" w:customStyle="1" w:styleId="fwzhnf">
    <w:name w:val="fwzhnf"/>
    <w:basedOn w:val="a0"/>
    <w:qFormat/>
  </w:style>
  <w:style w:type="character" w:customStyle="1" w:styleId="fwzhxh">
    <w:name w:val="fwzhxh"/>
    <w:basedOn w:val="a0"/>
    <w:qFormat/>
  </w:style>
  <w:style w:type="character" w:customStyle="1" w:styleId="af8">
    <w:name w:val="批注文字 字符"/>
    <w:uiPriority w:val="99"/>
    <w:qFormat/>
    <w:rPr>
      <w:rFonts w:ascii="Times New Roman" w:hAnsi="Times New Roman"/>
      <w:sz w:val="24"/>
    </w:rPr>
  </w:style>
  <w:style w:type="character" w:customStyle="1" w:styleId="af9">
    <w:name w:val="正文文本 字符"/>
    <w:qFormat/>
    <w:rPr>
      <w:rFonts w:ascii="宋体"/>
      <w:kern w:val="2"/>
      <w:sz w:val="30"/>
    </w:rPr>
  </w:style>
  <w:style w:type="character" w:customStyle="1" w:styleId="afa">
    <w:name w:val="正文文本缩进 字符"/>
    <w:qFormat/>
    <w:rPr>
      <w:rFonts w:ascii="仿宋_GB2312" w:eastAsia="仿宋_GB2312"/>
      <w:sz w:val="28"/>
    </w:rPr>
  </w:style>
  <w:style w:type="character" w:customStyle="1" w:styleId="afb">
    <w:name w:val="页脚 字符"/>
    <w:uiPriority w:val="99"/>
    <w:qFormat/>
    <w:rPr>
      <w:sz w:val="18"/>
    </w:rPr>
  </w:style>
  <w:style w:type="character" w:customStyle="1" w:styleId="afc">
    <w:name w:val="页眉 字符"/>
    <w:uiPriority w:val="99"/>
    <w:qFormat/>
    <w:rPr>
      <w:sz w:val="18"/>
    </w:rPr>
  </w:style>
  <w:style w:type="character" w:customStyle="1" w:styleId="14">
    <w:name w:val="标题 1 字符"/>
    <w:qFormat/>
    <w:rPr>
      <w:rFonts w:ascii="Arial" w:eastAsia="仿宋_GB2312" w:hAnsi="Arial"/>
      <w:b/>
      <w:sz w:val="28"/>
    </w:rPr>
  </w:style>
  <w:style w:type="character" w:customStyle="1" w:styleId="25">
    <w:name w:val="标题 2 字符"/>
    <w:qFormat/>
    <w:rPr>
      <w:rFonts w:ascii="Arial" w:eastAsia="仿宋_GB2312" w:hAnsi="Arial"/>
      <w:b/>
      <w:bCs/>
      <w:sz w:val="28"/>
    </w:rPr>
  </w:style>
  <w:style w:type="character" w:customStyle="1" w:styleId="34">
    <w:name w:val="标题 3 字符"/>
    <w:qFormat/>
    <w:rPr>
      <w:rFonts w:ascii="仿宋_GB2312" w:eastAsia="仿宋_GB2312" w:hAnsi="Arial"/>
      <w:sz w:val="28"/>
    </w:rPr>
  </w:style>
  <w:style w:type="character" w:customStyle="1" w:styleId="42">
    <w:name w:val="标题 4 字符"/>
    <w:qFormat/>
    <w:rPr>
      <w:rFonts w:ascii="仿宋_GB2312" w:eastAsia="仿宋_GB2312" w:hAnsi="Times New Roman"/>
      <w:sz w:val="28"/>
    </w:rPr>
  </w:style>
  <w:style w:type="character" w:customStyle="1" w:styleId="afd">
    <w:name w:val="文档结构图 字符"/>
    <w:qFormat/>
    <w:rPr>
      <w:rFonts w:ascii="Times New Roman" w:eastAsia="宋体" w:hAnsi="Times New Roman" w:cs="Times New Roman"/>
      <w:kern w:val="0"/>
      <w:sz w:val="24"/>
      <w:szCs w:val="20"/>
      <w:shd w:val="clear" w:color="auto" w:fill="000080"/>
    </w:rPr>
  </w:style>
  <w:style w:type="character" w:customStyle="1" w:styleId="35">
    <w:name w:val="正文文本 3 字符"/>
    <w:qFormat/>
    <w:rPr>
      <w:rFonts w:ascii="楷体_GB2312" w:eastAsia="楷体_GB2312" w:hAnsi="Arial" w:cs="Times New Roman"/>
      <w:kern w:val="0"/>
      <w:sz w:val="32"/>
      <w:szCs w:val="20"/>
    </w:rPr>
  </w:style>
  <w:style w:type="character" w:customStyle="1" w:styleId="afe">
    <w:name w:val="纯文本 字符"/>
    <w:qFormat/>
    <w:rPr>
      <w:rFonts w:ascii="宋体" w:eastAsia="宋体" w:hAnsi="Courier New" w:cs="Times New Roman"/>
      <w:szCs w:val="20"/>
    </w:rPr>
  </w:style>
  <w:style w:type="character" w:customStyle="1" w:styleId="aff">
    <w:name w:val="日期 字符"/>
    <w:qFormat/>
    <w:rPr>
      <w:rFonts w:ascii="楷体_GB2312" w:eastAsia="楷体_GB2312" w:hAnsi="Times New Roman" w:cs="Times New Roman"/>
      <w:b/>
      <w:kern w:val="0"/>
      <w:sz w:val="28"/>
      <w:szCs w:val="20"/>
    </w:rPr>
  </w:style>
  <w:style w:type="character" w:customStyle="1" w:styleId="26">
    <w:name w:val="正文文本缩进 2 字符"/>
    <w:qFormat/>
    <w:rPr>
      <w:rFonts w:ascii="仿宋_GB2312" w:eastAsia="仿宋_GB2312" w:hAnsi="Times New Roman" w:cs="Times New Roman"/>
      <w:kern w:val="0"/>
      <w:sz w:val="28"/>
      <w:szCs w:val="20"/>
    </w:rPr>
  </w:style>
  <w:style w:type="character" w:customStyle="1" w:styleId="aff0">
    <w:name w:val="批注框文本 字符"/>
    <w:uiPriority w:val="99"/>
    <w:qFormat/>
    <w:rPr>
      <w:rFonts w:ascii="Times New Roman" w:eastAsia="宋体" w:hAnsi="Times New Roman" w:cs="Times New Roman"/>
      <w:kern w:val="0"/>
      <w:sz w:val="18"/>
      <w:szCs w:val="18"/>
    </w:rPr>
  </w:style>
  <w:style w:type="character" w:customStyle="1" w:styleId="aff1">
    <w:name w:val="脚注文本 字符"/>
    <w:qFormat/>
    <w:rPr>
      <w:rFonts w:ascii="Times New Roman" w:hAnsi="Times New Roman"/>
      <w:kern w:val="2"/>
      <w:sz w:val="18"/>
      <w:szCs w:val="18"/>
    </w:rPr>
  </w:style>
  <w:style w:type="character" w:customStyle="1" w:styleId="36">
    <w:name w:val="正文文本缩进 3 字符"/>
    <w:qFormat/>
    <w:rPr>
      <w:rFonts w:ascii="Arial" w:eastAsia="仿宋_GB2312" w:hAnsi="Arial" w:cs="Arial"/>
      <w:kern w:val="0"/>
      <w:sz w:val="28"/>
      <w:szCs w:val="20"/>
    </w:rPr>
  </w:style>
  <w:style w:type="character" w:customStyle="1" w:styleId="27">
    <w:name w:val="正文文本 2 字符"/>
    <w:qFormat/>
    <w:rPr>
      <w:rFonts w:ascii="仿宋_GB2312" w:eastAsia="仿宋_GB2312" w:hAnsi="Arial" w:cs="Times New Roman"/>
      <w:kern w:val="0"/>
      <w:sz w:val="28"/>
      <w:szCs w:val="20"/>
    </w:rPr>
  </w:style>
  <w:style w:type="character" w:customStyle="1" w:styleId="HTML0">
    <w:name w:val="HTML 预设格式 字符"/>
    <w:uiPriority w:val="99"/>
    <w:qFormat/>
    <w:rPr>
      <w:rFonts w:ascii="宋体" w:eastAsia="宋体" w:hAnsi="宋体" w:cs="Times New Roman"/>
      <w:kern w:val="0"/>
      <w:sz w:val="24"/>
      <w:szCs w:val="24"/>
    </w:rPr>
  </w:style>
  <w:style w:type="character" w:customStyle="1" w:styleId="aff2">
    <w:name w:val="批注主题 字符"/>
    <w:uiPriority w:val="99"/>
    <w:qFormat/>
    <w:rPr>
      <w:rFonts w:ascii="Times New Roman" w:hAnsi="Times New Roman"/>
      <w:b/>
      <w:bCs/>
      <w:sz w:val="24"/>
    </w:rPr>
  </w:style>
  <w:style w:type="character" w:customStyle="1" w:styleId="aff3">
    <w:name w:val="正文文本首行缩进 字符"/>
    <w:qFormat/>
    <w:rPr>
      <w:rFonts w:ascii="Times New Roman" w:eastAsia="宋体" w:hAnsi="Times New Roman" w:cs="Times New Roman"/>
      <w:sz w:val="30"/>
      <w:szCs w:val="20"/>
    </w:rPr>
  </w:style>
  <w:style w:type="paragraph" w:customStyle="1" w:styleId="-31">
    <w:name w:val="浅色列表 - 强调文字颜色 31"/>
    <w:uiPriority w:val="99"/>
    <w:semiHidden/>
    <w:qFormat/>
    <w:rPr>
      <w:rFonts w:ascii="Times New Roman" w:hAnsi="Times New Roman"/>
      <w:sz w:val="24"/>
    </w:rPr>
  </w:style>
  <w:style w:type="paragraph" w:customStyle="1" w:styleId="-310">
    <w:name w:val="浅色网格 - 强调文字颜色 31"/>
    <w:basedOn w:val="a"/>
    <w:uiPriority w:val="34"/>
    <w:qFormat/>
    <w:pPr>
      <w:ind w:firstLineChars="200" w:firstLine="420"/>
    </w:pPr>
  </w:style>
  <w:style w:type="paragraph" w:customStyle="1" w:styleId="Revision1">
    <w:name w:val="Revision1"/>
    <w:hidden/>
    <w:uiPriority w:val="99"/>
    <w:unhideWhenUsed/>
    <w:qFormat/>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image" Target="media/image15.png"/><Relationship Id="rId21" Type="http://schemas.openxmlformats.org/officeDocument/2006/relationships/comments" Target="comments.xml"/><Relationship Id="rId34" Type="http://schemas.openxmlformats.org/officeDocument/2006/relationships/image" Target="media/image10.png"/><Relationship Id="rId42" Type="http://schemas.openxmlformats.org/officeDocument/2006/relationships/hyperlink" Target="https://baike.baidu.com/item/%E5%AF%86%E4%BA%91%E5%8C%BA/18830737?fromModule=lemma_inlink" TargetMode="External"/><Relationship Id="rId47" Type="http://schemas.openxmlformats.org/officeDocument/2006/relationships/image" Target="media/image18.jpeg"/><Relationship Id="rId50" Type="http://schemas.openxmlformats.org/officeDocument/2006/relationships/header" Target="header10.xml"/><Relationship Id="rId55" Type="http://schemas.openxmlformats.org/officeDocument/2006/relationships/header" Target="header12.xml"/><Relationship Id="rId63" Type="http://schemas.openxmlformats.org/officeDocument/2006/relationships/image" Target="media/image20.png"/><Relationship Id="rId68" Type="http://schemas.openxmlformats.org/officeDocument/2006/relationships/image" Target="media/image25.png"/><Relationship Id="rId76" Type="http://schemas.openxmlformats.org/officeDocument/2006/relationships/image" Target="media/image31.png"/><Relationship Id="rId84" Type="http://schemas.openxmlformats.org/officeDocument/2006/relationships/chart" Target="charts/chart1.xml"/><Relationship Id="rId7" Type="http://schemas.openxmlformats.org/officeDocument/2006/relationships/webSettings" Target="webSettings.xml"/><Relationship Id="rId71"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5.png"/><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https://baike.baidu.com/item/%E6%98%8C%E5%B9%B3%E5%8C%BA/2504992?fromModule=lemma_inlink" TargetMode="External"/><Relationship Id="rId53" Type="http://schemas.openxmlformats.org/officeDocument/2006/relationships/footer" Target="footer11.xml"/><Relationship Id="rId58" Type="http://schemas.openxmlformats.org/officeDocument/2006/relationships/hyperlink" Target="https://baike.baidu.com/item/%E5%B9%B3%E8%B0%B7%E5%8C%BA/4461548?fromModule=lemma_inlink" TargetMode="External"/><Relationship Id="rId66" Type="http://schemas.openxmlformats.org/officeDocument/2006/relationships/image" Target="media/image23.png"/><Relationship Id="rId74" Type="http://schemas.openxmlformats.org/officeDocument/2006/relationships/image" Target="media/image30.png"/><Relationship Id="rId79" Type="http://schemas.openxmlformats.org/officeDocument/2006/relationships/image" Target="media/image34.jpeg"/><Relationship Id="rId87"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hyperlink" Target="https://baike.baidu.com/item/%E6%9C%9D%E9%98%B3%E5%8C%BA/2134?fromModule=lemma_inlink" TargetMode="External"/><Relationship Id="rId82" Type="http://schemas.openxmlformats.org/officeDocument/2006/relationships/image" Target="media/image35.jpeg"/><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3.jpe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baike.baidu.com/item/%E5%B9%B3%E8%B0%B7%E5%8C%BA/4461548?fromModule=lemma_inlink" TargetMode="External"/><Relationship Id="rId48" Type="http://schemas.openxmlformats.org/officeDocument/2006/relationships/header" Target="header9.xml"/><Relationship Id="rId56" Type="http://schemas.openxmlformats.org/officeDocument/2006/relationships/footer" Target="footer13.xml"/><Relationship Id="rId64" Type="http://schemas.openxmlformats.org/officeDocument/2006/relationships/image" Target="media/image21.png"/><Relationship Id="rId69" Type="http://schemas.openxmlformats.org/officeDocument/2006/relationships/image" Target="media/image26.png"/><Relationship Id="rId77" Type="http://schemas.openxmlformats.org/officeDocument/2006/relationships/image" Target="media/image32.jpeg"/><Relationship Id="rId8" Type="http://schemas.openxmlformats.org/officeDocument/2006/relationships/footnotes" Target="footnotes.xml"/><Relationship Id="rId51" Type="http://schemas.openxmlformats.org/officeDocument/2006/relationships/footer" Target="footer10.xml"/><Relationship Id="rId72" Type="http://schemas.openxmlformats.org/officeDocument/2006/relationships/image" Target="media/image28.png"/><Relationship Id="rId80" Type="http://schemas.openxmlformats.org/officeDocument/2006/relationships/hyperlink" Target="http://baike.baidu.com/view/641843.htm" TargetMode="External"/><Relationship Id="rId85" Type="http://schemas.openxmlformats.org/officeDocument/2006/relationships/footer" Target="footer15.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baike.baidu.com/item/%E6%9C%9D%E9%98%B3%E5%8C%BA/2134?fromModule=lemma_inlink" TargetMode="External"/><Relationship Id="rId59" Type="http://schemas.openxmlformats.org/officeDocument/2006/relationships/hyperlink" Target="https://baike.baidu.com/item/%E9%80%9A%E5%B7%9E%E5%8C%BA/5203?fromModule=lemma_inlink" TargetMode="External"/><Relationship Id="rId67" Type="http://schemas.openxmlformats.org/officeDocument/2006/relationships/image" Target="media/image24.png"/><Relationship Id="rId20" Type="http://schemas.openxmlformats.org/officeDocument/2006/relationships/footer" Target="footer6.xml"/><Relationship Id="rId41" Type="http://schemas.openxmlformats.org/officeDocument/2006/relationships/image" Target="media/image17.png"/><Relationship Id="rId54" Type="http://schemas.openxmlformats.org/officeDocument/2006/relationships/footer" Target="footer12.xml"/><Relationship Id="rId62" Type="http://schemas.openxmlformats.org/officeDocument/2006/relationships/image" Target="media/image19.png"/><Relationship Id="rId70" Type="http://schemas.openxmlformats.org/officeDocument/2006/relationships/hyperlink" Target="http://baike.baidu.com/view/641843.htm" TargetMode="External"/><Relationship Id="rId75" Type="http://schemas.openxmlformats.org/officeDocument/2006/relationships/hyperlink" Target="http://baike.baidu.com/view/641843.htm" TargetMode="External"/><Relationship Id="rId83" Type="http://schemas.openxmlformats.org/officeDocument/2006/relationships/image" Target="media/image36.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image" Target="media/image4.jpeg"/><Relationship Id="rId36" Type="http://schemas.openxmlformats.org/officeDocument/2006/relationships/image" Target="media/image12.png"/><Relationship Id="rId49" Type="http://schemas.openxmlformats.org/officeDocument/2006/relationships/footer" Target="footer9.xml"/><Relationship Id="rId57" Type="http://schemas.openxmlformats.org/officeDocument/2006/relationships/hyperlink" Target="https://baike.baidu.com/item/%E5%AF%86%E4%BA%91%E5%8C%BA/18830737?fromModule=lemma_inlink" TargetMode="External"/><Relationship Id="rId10" Type="http://schemas.openxmlformats.org/officeDocument/2006/relationships/header" Target="header1.xml"/><Relationship Id="rId31" Type="http://schemas.openxmlformats.org/officeDocument/2006/relationships/image" Target="media/image7.png"/><Relationship Id="rId44" Type="http://schemas.openxmlformats.org/officeDocument/2006/relationships/hyperlink" Target="https://baike.baidu.com/item/%E9%80%9A%E5%B7%9E%E5%8C%BA/5203?fromModule=lemma_inlink" TargetMode="External"/><Relationship Id="rId52" Type="http://schemas.openxmlformats.org/officeDocument/2006/relationships/header" Target="header11.xml"/><Relationship Id="rId60" Type="http://schemas.openxmlformats.org/officeDocument/2006/relationships/hyperlink" Target="https://baike.baidu.com/item/%E6%98%8C%E5%B9%B3%E5%8C%BA/2504992?fromModule=lemma_inlink" TargetMode="External"/><Relationship Id="rId65" Type="http://schemas.openxmlformats.org/officeDocument/2006/relationships/image" Target="media/image22.png"/><Relationship Id="rId73" Type="http://schemas.openxmlformats.org/officeDocument/2006/relationships/image" Target="media/image29.png"/><Relationship Id="rId78" Type="http://schemas.openxmlformats.org/officeDocument/2006/relationships/image" Target="media/image33.jpeg"/><Relationship Id="rId81" Type="http://schemas.openxmlformats.org/officeDocument/2006/relationships/footer" Target="footer14.xml"/><Relationship Id="rId86" Type="http://schemas.openxmlformats.org/officeDocument/2006/relationships/header" Target="header13.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E:\&#24037;&#20316;\2023&#24180;\&#32508;&#21512;&#37096;&#39033;&#30446;\&#20986;&#35753;-&#39034;&#20041;&#22799;&#21439;&#33829;\F04&#8212;&#8212;&#20303;&#23429;&#19981;&#21464;&#65292;&#21830;&#19994;&#35843;&#21040;8000+&#65292;&#20844;&#26381;&#35843;&#21040;3000+\F04&#27979;&#31639;-&#20986;&#35753;&#22799;&#21439;&#33829;&#8212;&#8212;&#20303;&#23429;15265&#12289;&#21830;&#19994;8128&#12289;&#20844;&#26381;3623&#65288;&#21830;&#21150;&#25442;&#26696;&#20363;.&#26032;&#22810;&#35268;&#22522;&#30784;&#35774;&#26045;&#20845;&#3689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dirty="0"/>
              <a:t>已审定的楼面熟地价</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val>
            <c:numRef>
              <c:f>Sheet4!$C$4:$C$6</c:f>
              <c:numCache>
                <c:formatCode>General</c:formatCode>
                <c:ptCount val="3"/>
                <c:pt idx="0">
                  <c:v>18670</c:v>
                </c:pt>
                <c:pt idx="1">
                  <c:v>18534</c:v>
                </c:pt>
                <c:pt idx="2">
                  <c:v>15265</c:v>
                </c:pt>
              </c:numCache>
            </c:numRef>
          </c:val>
          <c:extLst xmlns:c16r2="http://schemas.microsoft.com/office/drawing/2015/06/chart">
            <c:ext xmlns:c16="http://schemas.microsoft.com/office/drawing/2014/chart" uri="{C3380CC4-5D6E-409C-BE32-E72D297353CC}">
              <c16:uniqueId val="{00000000-CB41-47DC-B589-E418BDBA2515}"/>
            </c:ext>
          </c:extLst>
        </c:ser>
        <c:dLbls>
          <c:showLegendKey val="0"/>
          <c:showVal val="0"/>
          <c:showCatName val="0"/>
          <c:showSerName val="0"/>
          <c:showPercent val="0"/>
          <c:showBubbleSize val="0"/>
        </c:dLbls>
        <c:gapWidth val="219"/>
        <c:overlap val="-27"/>
        <c:axId val="203809536"/>
        <c:axId val="203811072"/>
      </c:barChart>
      <c:catAx>
        <c:axId val="2038095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03811072"/>
        <c:crosses val="autoZero"/>
        <c:auto val="1"/>
        <c:lblAlgn val="ctr"/>
        <c:lblOffset val="100"/>
        <c:noMultiLvlLbl val="0"/>
      </c:catAx>
      <c:valAx>
        <c:axId val="20381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03809536"/>
        <c:crossesAt val="1"/>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8F8393-A39C-4062-9212-76385612E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Pages>
  <Words>21337</Words>
  <Characters>121621</Characters>
  <Application>Microsoft Office Word</Application>
  <DocSecurity>0</DocSecurity>
  <Lines>1013</Lines>
  <Paragraphs>285</Paragraphs>
  <ScaleCrop>false</ScaleCrop>
  <Company>Microsoft</Company>
  <LinksUpToDate>false</LinksUpToDate>
  <CharactersWithSpaces>142673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cheny</cp:lastModifiedBy>
  <cp:revision>18</cp:revision>
  <cp:lastPrinted>2023-06-26T09:37:00Z</cp:lastPrinted>
  <dcterms:created xsi:type="dcterms:W3CDTF">2023-06-20T19:19:00Z</dcterms:created>
  <dcterms:modified xsi:type="dcterms:W3CDTF">2023-06-27T02:25:00Z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686E4C997CDA4A6C80CAF8E9CEA7542E_12</vt:lpwstr>
  </property>
</Properties>
</file>